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24, 2021.</w:t>
      </w:r>
    </w:p>
    <w:p>
      <w:pPr>
        <w:spacing w:after="0" w:line="25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Genenta Science S.p.A.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Republic of Italy</w:t>
            </w:r>
          </w:p>
        </w:tc>
        <w:tc>
          <w:tcPr>
            <w:tcW w:w="24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9"/>
              </w:rPr>
              <w:t>2836</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State or other jurisdiction of incorporation or</w:t>
            </w:r>
          </w:p>
        </w:tc>
        <w:tc>
          <w:tcPr>
            <w:tcW w:w="220" w:type="dxa"/>
            <w:vAlign w:val="bottom"/>
          </w:tcPr>
          <w:p>
            <w:pPr>
              <w:spacing w:after="0"/>
              <w:rPr>
                <w:sz w:val="17"/>
                <w:szCs w:val="17"/>
                <w:color w:val="auto"/>
              </w:rPr>
            </w:pPr>
          </w:p>
        </w:tc>
        <w:tc>
          <w:tcPr>
            <w:tcW w:w="360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i w:val="1"/>
                <w:iCs w:val="1"/>
                <w:color w:val="auto"/>
                <w:w w:val="93"/>
              </w:rPr>
              <w:t>(Primary Standard Industrial Classification Code</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organization)</w:t>
            </w: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0"/>
              </w:rPr>
              <w:t>Number</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1"/>
              </w:rPr>
              <w:t>Pierluigi Paracchi</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Chief Executive Officer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Cogency Global Inc.</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2"/>
              </w:rPr>
              <w:t>Via Olgettina No. 58</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0"/>
              </w:rPr>
              <w:t>122 East 42nd Street, 18th Floor</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5"/>
              </w:rPr>
              <w:t>20132 Milan, Italy</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New York, New York 10168</w:t>
            </w:r>
          </w:p>
        </w:tc>
      </w:tr>
      <w:tr>
        <w:trPr>
          <w:trHeight w:val="241"/>
        </w:trPr>
        <w:tc>
          <w:tcPr>
            <w:tcW w:w="3840" w:type="dxa"/>
            <w:vAlign w:val="bottom"/>
            <w:tcBorders>
              <w:bottom w:val="single" w:sz="8" w:color="auto"/>
            </w:tcBorders>
            <w:gridSpan w:val="2"/>
          </w:tcPr>
          <w:p>
            <w:pPr>
              <w:jc w:val="center"/>
              <w:ind w:left="1610"/>
              <w:spacing w:after="0"/>
              <w:rPr>
                <w:sz w:val="20"/>
                <w:szCs w:val="20"/>
                <w:color w:val="auto"/>
              </w:rPr>
            </w:pPr>
            <w:r>
              <w:rPr>
                <w:rFonts w:ascii="Arial" w:cs="Arial" w:eastAsia="Arial" w:hAnsi="Arial"/>
                <w:sz w:val="18"/>
                <w:szCs w:val="18"/>
                <w:b w:val="1"/>
                <w:bCs w:val="1"/>
                <w:color w:val="auto"/>
                <w:w w:val="91"/>
              </w:rPr>
              <w:t>Tel: +39-02-2643-4681</w:t>
            </w: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Arial" w:cs="Arial" w:eastAsia="Arial" w:hAnsi="Arial"/>
                <w:sz w:val="18"/>
                <w:szCs w:val="18"/>
                <w:b w:val="1"/>
                <w:bCs w:val="1"/>
                <w:color w:val="auto"/>
                <w:w w:val="90"/>
              </w:rPr>
              <w:t>Tel: +1.800.221.0102</w:t>
            </w:r>
          </w:p>
        </w:tc>
      </w:tr>
      <w:tr>
        <w:trPr>
          <w:trHeight w:val="202"/>
        </w:trPr>
        <w:tc>
          <w:tcPr>
            <w:tcW w:w="5520" w:type="dxa"/>
            <w:vAlign w:val="bottom"/>
            <w:gridSpan w:val="3"/>
          </w:tcPr>
          <w:p>
            <w:pPr>
              <w:jc w:val="center"/>
              <w:spacing w:after="0" w:line="201" w:lineRule="exact"/>
              <w:rPr>
                <w:sz w:val="20"/>
                <w:szCs w:val="20"/>
                <w:color w:val="auto"/>
              </w:rPr>
            </w:pPr>
            <w:r>
              <w:rPr>
                <w:rFonts w:ascii="Arial" w:cs="Arial" w:eastAsia="Arial" w:hAnsi="Arial"/>
                <w:sz w:val="18"/>
                <w:szCs w:val="18"/>
                <w:i w:val="1"/>
                <w:iCs w:val="1"/>
                <w:color w:val="auto"/>
                <w:w w:val="90"/>
              </w:rPr>
              <w:t>(Address, including zip code, and telephone number, including area code,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gridSpan w:val="3"/>
          </w:tcPr>
          <w:p>
            <w:pPr>
              <w:jc w:val="center"/>
              <w:ind w:right="530"/>
              <w:spacing w:after="0" w:line="201" w:lineRule="exact"/>
              <w:rPr>
                <w:sz w:val="20"/>
                <w:szCs w:val="20"/>
                <w:color w:val="auto"/>
              </w:rPr>
            </w:pPr>
            <w:r>
              <w:rPr>
                <w:rFonts w:ascii="Arial" w:cs="Arial" w:eastAsia="Arial" w:hAnsi="Arial"/>
                <w:sz w:val="18"/>
                <w:szCs w:val="18"/>
                <w:i w:val="1"/>
                <w:iCs w:val="1"/>
                <w:color w:val="auto"/>
                <w:w w:val="89"/>
              </w:rPr>
              <w:t>(Name, address, including zip code, and telephone</w:t>
            </w:r>
          </w:p>
        </w:tc>
      </w:tr>
      <w:tr>
        <w:trPr>
          <w:trHeight w:val="230"/>
        </w:trPr>
        <w:tc>
          <w:tcPr>
            <w:tcW w:w="6320" w:type="dxa"/>
            <w:vAlign w:val="bottom"/>
            <w:gridSpan w:val="5"/>
          </w:tcPr>
          <w:p>
            <w:pPr>
              <w:jc w:val="center"/>
              <w:ind w:right="800"/>
              <w:spacing w:after="0"/>
              <w:rPr>
                <w:sz w:val="20"/>
                <w:szCs w:val="20"/>
                <w:color w:val="auto"/>
              </w:rPr>
            </w:pPr>
            <w:r>
              <w:rPr>
                <w:rFonts w:ascii="Arial" w:cs="Arial" w:eastAsia="Arial" w:hAnsi="Arial"/>
                <w:sz w:val="18"/>
                <w:szCs w:val="18"/>
                <w:i w:val="1"/>
                <w:iCs w:val="1"/>
                <w:color w:val="auto"/>
                <w:w w:val="92"/>
              </w:rPr>
              <w:t>registrant’s principal executive offices)</w:t>
            </w: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i w:val="1"/>
                <w:iCs w:val="1"/>
                <w:color w:val="auto"/>
                <w:w w:val="90"/>
              </w:rPr>
              <w:t>number, including area code, of agent for service)</w:t>
            </w:r>
          </w:p>
        </w:tc>
      </w:tr>
      <w:tr>
        <w:trPr>
          <w:trHeight w:val="45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1"/>
              </w:rPr>
              <w:t>Copies to:</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89"/>
              </w:rPr>
              <w:t>Mitchell S. Nussbaum, Esq.</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89"/>
              </w:rPr>
              <w:t>Thomas S. Levato, Esq.</w:t>
            </w:r>
          </w:p>
        </w:tc>
      </w:tr>
      <w:tr>
        <w:trPr>
          <w:trHeight w:val="216"/>
        </w:trPr>
        <w:tc>
          <w:tcPr>
            <w:tcW w:w="6320" w:type="dxa"/>
            <w:vAlign w:val="bottom"/>
            <w:gridSpan w:val="5"/>
          </w:tcPr>
          <w:p>
            <w:pPr>
              <w:ind w:left="1740"/>
              <w:spacing w:after="0"/>
              <w:rPr>
                <w:sz w:val="20"/>
                <w:szCs w:val="20"/>
                <w:color w:val="auto"/>
              </w:rPr>
            </w:pPr>
            <w:r>
              <w:rPr>
                <w:rFonts w:ascii="Arial" w:cs="Arial" w:eastAsia="Arial" w:hAnsi="Arial"/>
                <w:sz w:val="18"/>
                <w:szCs w:val="18"/>
                <w:b w:val="1"/>
                <w:bCs w:val="1"/>
                <w:color w:val="auto"/>
              </w:rPr>
              <w:t>Norwood P. Beveridge, Esq.</w:t>
            </w: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0"/>
              </w:rPr>
              <w:t>Ettore A. Santucci, Esq.</w:t>
            </w:r>
          </w:p>
        </w:tc>
      </w:tr>
      <w:tr>
        <w:trPr>
          <w:trHeight w:val="216"/>
        </w:trPr>
        <w:tc>
          <w:tcPr>
            <w:tcW w:w="3840" w:type="dxa"/>
            <w:vAlign w:val="bottom"/>
            <w:gridSpan w:val="2"/>
          </w:tcPr>
          <w:p>
            <w:pPr>
              <w:ind w:left="2020"/>
              <w:spacing w:after="0"/>
              <w:rPr>
                <w:sz w:val="20"/>
                <w:szCs w:val="20"/>
                <w:color w:val="auto"/>
              </w:rPr>
            </w:pPr>
            <w:r>
              <w:rPr>
                <w:rFonts w:ascii="Arial" w:cs="Arial" w:eastAsia="Arial" w:hAnsi="Arial"/>
                <w:sz w:val="18"/>
                <w:szCs w:val="18"/>
                <w:b w:val="1"/>
                <w:bCs w:val="1"/>
                <w:color w:val="auto"/>
              </w:rPr>
              <w:t>Loeb &amp; Loeb LLP</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3"/>
              </w:rPr>
              <w:t>Goodwin Procter LLP</w:t>
            </w:r>
          </w:p>
        </w:tc>
      </w:tr>
      <w:tr>
        <w:trPr>
          <w:trHeight w:val="216"/>
        </w:trPr>
        <w:tc>
          <w:tcPr>
            <w:tcW w:w="3840" w:type="dxa"/>
            <w:vAlign w:val="bottom"/>
            <w:gridSpan w:val="2"/>
          </w:tcPr>
          <w:p>
            <w:pPr>
              <w:ind w:left="2080"/>
              <w:spacing w:after="0"/>
              <w:rPr>
                <w:sz w:val="20"/>
                <w:szCs w:val="20"/>
                <w:color w:val="auto"/>
              </w:rPr>
            </w:pPr>
            <w:r>
              <w:rPr>
                <w:rFonts w:ascii="Arial" w:cs="Arial" w:eastAsia="Arial" w:hAnsi="Arial"/>
                <w:sz w:val="18"/>
                <w:szCs w:val="18"/>
                <w:b w:val="1"/>
                <w:bCs w:val="1"/>
                <w:color w:val="auto"/>
              </w:rPr>
              <w:t>345 Park Avenue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620 Eighth Avenue</w:t>
            </w:r>
          </w:p>
        </w:tc>
      </w:tr>
      <w:tr>
        <w:trPr>
          <w:trHeight w:val="216"/>
        </w:trPr>
        <w:tc>
          <w:tcPr>
            <w:tcW w:w="3840" w:type="dxa"/>
            <w:vAlign w:val="bottom"/>
            <w:gridSpan w:val="2"/>
          </w:tcPr>
          <w:p>
            <w:pPr>
              <w:ind w:left="2060"/>
              <w:spacing w:after="0"/>
              <w:rPr>
                <w:sz w:val="20"/>
                <w:szCs w:val="20"/>
                <w:color w:val="auto"/>
              </w:rPr>
            </w:pPr>
            <w:r>
              <w:rPr>
                <w:rFonts w:ascii="Arial" w:cs="Arial" w:eastAsia="Arial" w:hAnsi="Arial"/>
                <w:sz w:val="18"/>
                <w:szCs w:val="18"/>
                <w:b w:val="1"/>
                <w:bCs w:val="1"/>
                <w:color w:val="auto"/>
              </w:rPr>
              <w:t>New York, NY 10154</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92"/>
              </w:rPr>
              <w:t>New York, New York 10018</w:t>
            </w:r>
          </w:p>
        </w:tc>
      </w:tr>
      <w:tr>
        <w:trPr>
          <w:trHeight w:val="234"/>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0"/>
              </w:rPr>
              <w:t>Tel: +1.212.407.4000</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Tel: +1.212.813.8800</w:t>
            </w:r>
          </w:p>
        </w:tc>
      </w:tr>
    </w:tbl>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Approximate date of commencement of proposed sale to the public: As soon as practicable after the effective date hereof.</w:t>
      </w:r>
    </w:p>
    <w:p>
      <w:pPr>
        <w:spacing w:after="0" w:line="252"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[X]</w:t>
      </w:r>
    </w:p>
    <w:p>
      <w:pPr>
        <w:spacing w:after="0" w:line="197" w:lineRule="exact"/>
        <w:rPr>
          <w:sz w:val="24"/>
          <w:szCs w:val="24"/>
          <w:color w:val="auto"/>
        </w:rPr>
      </w:pPr>
    </w:p>
    <w:p>
      <w:pPr>
        <w:ind w:right="200" w:firstLine="648"/>
        <w:spacing w:after="0" w:line="30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3"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23" w:lineRule="exact"/>
        <w:rPr>
          <w:sz w:val="24"/>
          <w:szCs w:val="24"/>
          <w:color w:val="auto"/>
        </w:rPr>
      </w:pPr>
    </w:p>
    <w:p>
      <w:pPr>
        <w:ind w:left="8980"/>
        <w:spacing w:after="0"/>
        <w:rPr>
          <w:sz w:val="20"/>
          <w:szCs w:val="20"/>
          <w:color w:val="auto"/>
        </w:rPr>
      </w:pPr>
      <w:r>
        <w:rPr>
          <w:rFonts w:ascii="Arial" w:cs="Arial" w:eastAsia="Arial" w:hAnsi="Arial"/>
          <w:sz w:val="16"/>
          <w:szCs w:val="16"/>
          <w:color w:val="auto"/>
        </w:rPr>
        <w:t>Emerging growth company [X]</w:t>
      </w:r>
    </w:p>
    <w:p>
      <w:pPr>
        <w:spacing w:after="0" w:line="261" w:lineRule="exact"/>
        <w:rPr>
          <w:sz w:val="24"/>
          <w:szCs w:val="24"/>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rPr>
          <w:sz w:val="20"/>
          <w:szCs w:val="20"/>
          <w:color w:val="auto"/>
        </w:rPr>
      </w:pPr>
      <w:r>
        <w:rPr>
          <w:rFonts w:ascii="Arial" w:cs="Arial" w:eastAsia="Arial" w:hAnsi="Arial"/>
          <w:sz w:val="18"/>
          <w:szCs w:val="18"/>
          <w:color w:val="auto"/>
        </w:rPr>
        <w:t>(2)(B) of the Securities Act. [ ]</w:t>
      </w:r>
    </w:p>
    <w:p>
      <w:pPr>
        <w:spacing w:after="0" w:line="238" w:lineRule="exact"/>
        <w:rPr>
          <w:sz w:val="24"/>
          <w:szCs w:val="24"/>
          <w:color w:val="auto"/>
        </w:rPr>
      </w:pPr>
    </w:p>
    <w:p>
      <w:pPr>
        <w:ind w:right="720" w:firstLine="648"/>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48" w:lineRule="exact"/>
        <w:rPr>
          <w:sz w:val="24"/>
          <w:szCs w:val="24"/>
          <w:color w:val="auto"/>
        </w:rPr>
      </w:pPr>
    </w:p>
    <w:p>
      <w:pPr>
        <w:ind w:left="8000"/>
        <w:spacing w:after="0"/>
        <w:rPr>
          <w:sz w:val="20"/>
          <w:szCs w:val="20"/>
          <w:color w:val="auto"/>
        </w:rPr>
      </w:pPr>
      <w:r>
        <w:rPr>
          <w:rFonts w:ascii="Arial" w:cs="Arial" w:eastAsia="Arial" w:hAnsi="Arial"/>
          <w:sz w:val="14"/>
          <w:szCs w:val="14"/>
          <w:b w:val="1"/>
          <w:bCs w:val="1"/>
          <w:color w:val="auto"/>
        </w:rPr>
        <w:t>Proposed</w:t>
      </w:r>
    </w:p>
    <w:p>
      <w:pPr>
        <w:ind w:left="7980"/>
        <w:spacing w:after="0" w:line="226" w:lineRule="auto"/>
        <w:rPr>
          <w:sz w:val="20"/>
          <w:szCs w:val="20"/>
          <w:color w:val="auto"/>
        </w:rPr>
      </w:pPr>
      <w:r>
        <w:rPr>
          <w:rFonts w:ascii="Arial" w:cs="Arial" w:eastAsia="Arial" w:hAnsi="Arial"/>
          <w:sz w:val="14"/>
          <w:szCs w:val="14"/>
          <w:b w:val="1"/>
          <w:bCs w:val="1"/>
          <w:color w:val="auto"/>
        </w:rPr>
        <w:t>maximum</w:t>
      </w:r>
    </w:p>
    <w:p>
      <w:pPr>
        <w:ind w:left="7980"/>
        <w:spacing w:after="0" w:line="221" w:lineRule="auto"/>
        <w:tabs>
          <w:tab w:leader="none" w:pos="9940" w:val="left"/>
        </w:tabs>
        <w:rPr>
          <w:sz w:val="20"/>
          <w:szCs w:val="20"/>
          <w:color w:val="auto"/>
        </w:rPr>
      </w:pPr>
      <w:r>
        <w:rPr>
          <w:rFonts w:ascii="Arial" w:cs="Arial" w:eastAsia="Arial" w:hAnsi="Arial"/>
          <w:sz w:val="14"/>
          <w:szCs w:val="14"/>
          <w:b w:val="1"/>
          <w:bCs w:val="1"/>
          <w:color w:val="auto"/>
        </w:rPr>
        <w:t>aggregate</w:t>
      </w:r>
      <w:r>
        <w:rPr>
          <w:sz w:val="20"/>
          <w:szCs w:val="20"/>
          <w:color w:val="auto"/>
        </w:rPr>
        <w:tab/>
      </w:r>
      <w:r>
        <w:rPr>
          <w:rFonts w:ascii="Arial" w:cs="Arial" w:eastAsia="Arial" w:hAnsi="Arial"/>
          <w:sz w:val="14"/>
          <w:szCs w:val="14"/>
          <w:b w:val="1"/>
          <w:bCs w:val="1"/>
          <w:color w:val="auto"/>
        </w:rPr>
        <w:t>Amount of</w:t>
      </w:r>
    </w:p>
    <w:p>
      <w:pPr>
        <w:ind w:left="8040"/>
        <w:spacing w:after="0" w:line="234" w:lineRule="auto"/>
        <w:tabs>
          <w:tab w:leader="none" w:pos="9920" w:val="left"/>
        </w:tabs>
        <w:rPr>
          <w:sz w:val="20"/>
          <w:szCs w:val="20"/>
          <w:color w:val="auto"/>
        </w:rPr>
      </w:pPr>
      <w:r>
        <w:rPr>
          <w:rFonts w:ascii="Arial" w:cs="Arial" w:eastAsia="Arial" w:hAnsi="Arial"/>
          <w:sz w:val="14"/>
          <w:szCs w:val="14"/>
          <w:b w:val="1"/>
          <w:bCs w:val="1"/>
          <w:color w:val="auto"/>
        </w:rPr>
        <w:t>offering</w:t>
      </w:r>
      <w:r>
        <w:rPr>
          <w:sz w:val="20"/>
          <w:szCs w:val="20"/>
          <w:color w:val="auto"/>
        </w:rPr>
        <w:tab/>
      </w:r>
      <w:r>
        <w:rPr>
          <w:rFonts w:ascii="Arial" w:cs="Arial" w:eastAsia="Arial" w:hAnsi="Arial"/>
          <w:sz w:val="14"/>
          <w:szCs w:val="14"/>
          <w:b w:val="1"/>
          <w:bCs w:val="1"/>
          <w:color w:val="auto"/>
        </w:rPr>
        <w:t>registration</w:t>
      </w:r>
    </w:p>
    <w:p>
      <w:pPr>
        <w:ind w:left="2200"/>
        <w:spacing w:after="0"/>
        <w:tabs>
          <w:tab w:leader="none" w:pos="7880" w:val="left"/>
          <w:tab w:leader="none" w:pos="10100" w:val="left"/>
        </w:tabs>
        <w:rPr>
          <w:sz w:val="20"/>
          <w:szCs w:val="20"/>
          <w:color w:val="auto"/>
        </w:rPr>
      </w:pPr>
      <w:r>
        <w:rPr>
          <w:rFonts w:ascii="Arial" w:cs="Arial" w:eastAsia="Arial" w:hAnsi="Arial"/>
          <w:sz w:val="14"/>
          <w:szCs w:val="14"/>
          <w:b w:val="1"/>
          <w:bCs w:val="1"/>
          <w:color w:val="auto"/>
        </w:rPr>
        <w:t>Title of each class of securities to be registered</w:t>
      </w:r>
      <w:r>
        <w:rPr>
          <w:sz w:val="20"/>
          <w:szCs w:val="20"/>
          <w:color w:val="auto"/>
        </w:rPr>
        <w:tab/>
      </w:r>
      <w:r>
        <w:rPr>
          <w:rFonts w:ascii="Arial" w:cs="Arial" w:eastAsia="Arial" w:hAnsi="Arial"/>
          <w:sz w:val="14"/>
          <w:szCs w:val="14"/>
          <w:b w:val="1"/>
          <w:bCs w:val="1"/>
          <w:color w:val="auto"/>
        </w:rPr>
        <w:t xml:space="preserve">price </w:t>
      </w:r>
      <w:r>
        <w:rPr>
          <w:rFonts w:ascii="Arial" w:cs="Arial" w:eastAsia="Arial" w:hAnsi="Arial"/>
          <w:sz w:val="23"/>
          <w:szCs w:val="23"/>
          <w:b w:val="1"/>
          <w:bCs w:val="1"/>
          <w:color w:val="auto"/>
          <w:vertAlign w:val="superscript"/>
        </w:rPr>
        <w:t>(1)(2)(3)</w:t>
      </w:r>
      <w:r>
        <w:rPr>
          <w:sz w:val="20"/>
          <w:szCs w:val="20"/>
          <w:color w:val="auto"/>
        </w:rPr>
        <w:tab/>
      </w:r>
      <w:r>
        <w:rPr>
          <w:rFonts w:ascii="Arial" w:cs="Arial" w:eastAsia="Arial" w:hAnsi="Arial"/>
          <w:sz w:val="12"/>
          <w:szCs w:val="12"/>
          <w:b w:val="1"/>
          <w:bCs w:val="1"/>
          <w:color w:val="auto"/>
        </w:rPr>
        <w:t xml:space="preserve">fee </w:t>
      </w:r>
      <w:r>
        <w:rPr>
          <w:rFonts w:ascii="Arial" w:cs="Arial" w:eastAsia="Arial" w:hAnsi="Arial"/>
          <w:sz w:val="18"/>
          <w:szCs w:val="18"/>
          <w:b w:val="1"/>
          <w:bCs w:val="1"/>
          <w:color w:val="auto"/>
          <w:vertAlign w:val="superscript"/>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0637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ectPr>
          <w:pgSz w:w="11900" w:h="16968" w:orient="portrait"/>
          <w:cols w:equalWidth="0" w:num="1">
            <w:col w:w="11240"/>
          </w:cols>
          <w:pgMar w:left="320" w:top="472"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with no par value, as represented by American Depositary Shares</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34,500,000</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line="199" w:lineRule="exact"/>
              <w:rPr>
                <w:sz w:val="20"/>
                <w:szCs w:val="20"/>
                <w:color w:val="auto"/>
              </w:rPr>
            </w:pPr>
            <w:r>
              <w:rPr>
                <w:rFonts w:ascii="Arial" w:cs="Arial" w:eastAsia="Arial" w:hAnsi="Arial"/>
                <w:sz w:val="18"/>
                <w:szCs w:val="18"/>
                <w:color w:val="auto"/>
                <w:w w:val="97"/>
              </w:rPr>
              <w:t>Representatives’ warrants to purchase ordinary shares as represented by American Depositary</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7440" w:type="dxa"/>
            <w:vAlign w:val="bottom"/>
          </w:tcPr>
          <w:p>
            <w:pPr>
              <w:spacing w:after="0" w:line="267" w:lineRule="exact"/>
              <w:rPr>
                <w:sz w:val="20"/>
                <w:szCs w:val="20"/>
                <w:color w:val="auto"/>
              </w:rPr>
            </w:pPr>
            <w:r>
              <w:rPr>
                <w:rFonts w:ascii="Arial" w:cs="Arial" w:eastAsia="Arial" w:hAnsi="Arial"/>
                <w:sz w:val="18"/>
                <w:szCs w:val="18"/>
                <w:color w:val="auto"/>
              </w:rPr>
              <w:t>Shares</w:t>
            </w:r>
            <w:r>
              <w:rPr>
                <w:rFonts w:ascii="Arial" w:cs="Arial" w:eastAsia="Arial" w:hAnsi="Arial"/>
                <w:sz w:val="29"/>
                <w:szCs w:val="29"/>
                <w:color w:val="auto"/>
                <w:vertAlign w:val="superscript"/>
              </w:rPr>
              <w:t>(4)</w:t>
            </w: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7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Ordinary shares as represented by American Depositary Shares underlying Representatives’</w:t>
            </w: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7440" w:type="dxa"/>
            <w:vAlign w:val="bottom"/>
            <w:shd w:val="clear" w:color="auto" w:fill="CCEEFF"/>
          </w:tcPr>
          <w:p>
            <w:pPr>
              <w:spacing w:after="0" w:line="267" w:lineRule="exact"/>
              <w:rPr>
                <w:sz w:val="20"/>
                <w:szCs w:val="20"/>
                <w:color w:val="auto"/>
              </w:rPr>
            </w:pPr>
            <w:r>
              <w:rPr>
                <w:rFonts w:ascii="Arial" w:cs="Arial" w:eastAsia="Arial" w:hAnsi="Arial"/>
                <w:sz w:val="18"/>
                <w:szCs w:val="18"/>
                <w:color w:val="auto"/>
              </w:rPr>
              <w:t>warrants</w:t>
            </w:r>
            <w:r>
              <w:rPr>
                <w:rFonts w:ascii="Arial" w:cs="Arial" w:eastAsia="Arial" w:hAnsi="Arial"/>
                <w:sz w:val="29"/>
                <w:szCs w:val="29"/>
                <w:color w:val="auto"/>
                <w:vertAlign w:val="superscript"/>
              </w:rPr>
              <w:t>(5)</w:t>
            </w:r>
          </w:p>
        </w:tc>
        <w:tc>
          <w:tcPr>
            <w:tcW w:w="4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460,000</w:t>
            </w:r>
          </w:p>
        </w:tc>
        <w:tc>
          <w:tcPr>
            <w:tcW w:w="5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34,960,000</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3,240.79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5" w:lineRule="exact"/>
        <w:rPr>
          <w:sz w:val="20"/>
          <w:szCs w:val="20"/>
          <w:color w:val="auto"/>
        </w:rPr>
      </w:pPr>
    </w:p>
    <w:p>
      <w:pPr>
        <w:ind w:left="460" w:right="640" w:hanging="412"/>
        <w:spacing w:after="0" w:line="230" w:lineRule="auto"/>
        <w:tabs>
          <w:tab w:leader="none" w:pos="46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ordinary shares may be represented by American Depositary Shares, or ADSs, each of which represents one ordinary share. A separate Registration Statement on Form F-6 (Registration No. 333-261223) has been filed for the registration of ADSs issuable upon deposit of the ordinary shares.</w:t>
      </w:r>
    </w:p>
    <w:p>
      <w:pPr>
        <w:ind w:left="460" w:right="520" w:hanging="412"/>
        <w:spacing w:after="0" w:line="238" w:lineRule="auto"/>
        <w:tabs>
          <w:tab w:leader="none" w:pos="460" w:val="left"/>
        </w:tabs>
        <w:numPr>
          <w:ilvl w:val="0"/>
          <w:numId w:val="1"/>
        </w:numPr>
        <w:rPr>
          <w:rFonts w:ascii="Arial" w:cs="Arial" w:eastAsia="Arial" w:hAnsi="Arial"/>
          <w:sz w:val="11"/>
          <w:szCs w:val="11"/>
          <w:color w:val="auto"/>
        </w:rPr>
      </w:pPr>
      <w:r>
        <w:rPr>
          <w:rFonts w:ascii="Arial" w:cs="Arial" w:eastAsia="Arial" w:hAnsi="Arial"/>
          <w:sz w:val="13"/>
          <w:szCs w:val="13"/>
          <w:color w:val="auto"/>
        </w:rPr>
        <w:t>Pursuant to Rule 416 under the Securities Act of 1933, as amended, or the Securities Act, the ordinary shares registered hereby also include an indeterminate number of additional ordinary shares as may from time to time become issuable by reason of stock splits, stock dividends, recapitalizations or other similar transactions.</w:t>
      </w:r>
    </w:p>
    <w:p>
      <w:pPr>
        <w:ind w:left="460" w:right="360" w:hanging="412"/>
        <w:spacing w:after="0" w:line="221" w:lineRule="auto"/>
        <w:tabs>
          <w:tab w:leader="none" w:pos="460" w:val="left"/>
        </w:tabs>
        <w:numPr>
          <w:ilvl w:val="0"/>
          <w:numId w:val="1"/>
        </w:numPr>
        <w:rPr>
          <w:rFonts w:ascii="Arial" w:cs="Arial" w:eastAsia="Arial" w:hAnsi="Arial"/>
          <w:sz w:val="12"/>
          <w:szCs w:val="12"/>
          <w:color w:val="auto"/>
        </w:rPr>
      </w:pPr>
      <w:r>
        <w:rPr>
          <w:rFonts w:ascii="Arial" w:cs="Arial" w:eastAsia="Arial" w:hAnsi="Arial"/>
          <w:sz w:val="14"/>
          <w:szCs w:val="14"/>
          <w:color w:val="auto"/>
        </w:rPr>
        <w:t>Estimated solely for purposes of calculating the amount of the registration fee pursuant to Rule 457(o) under the Securities Act. Includes the offering price of ordinary shares that the underwriters have the option to purchase to cover over-allotments, if any.</w:t>
      </w:r>
    </w:p>
    <w:p>
      <w:pPr>
        <w:ind w:left="460" w:right="100" w:hanging="412"/>
        <w:spacing w:after="0" w:line="221" w:lineRule="auto"/>
        <w:tabs>
          <w:tab w:leader="none" w:pos="460" w:val="left"/>
        </w:tabs>
        <w:numPr>
          <w:ilvl w:val="0"/>
          <w:numId w:val="1"/>
        </w:numPr>
        <w:rPr>
          <w:rFonts w:ascii="Arial" w:cs="Arial" w:eastAsia="Arial" w:hAnsi="Arial"/>
          <w:sz w:val="12"/>
          <w:szCs w:val="12"/>
          <w:color w:val="auto"/>
        </w:rPr>
      </w:pPr>
      <w:r>
        <w:rPr>
          <w:rFonts w:ascii="Arial" w:cs="Arial" w:eastAsia="Arial" w:hAnsi="Arial"/>
          <w:sz w:val="14"/>
          <w:szCs w:val="14"/>
          <w:color w:val="auto"/>
        </w:rPr>
        <w:t>In accordance with Rule 457(g) under the Securities Act, because the registrant’s ordinary shares as represented by American Depositary Shares underlying the Representatives’ warrants are being registered hereby, no separate registration fee is required with respect to the warrants registered hereby.</w:t>
      </w:r>
    </w:p>
    <w:p>
      <w:pPr>
        <w:jc w:val="both"/>
        <w:ind w:left="460" w:right="60" w:hanging="412"/>
        <w:spacing w:after="0" w:line="255" w:lineRule="auto"/>
        <w:tabs>
          <w:tab w:leader="none" w:pos="460" w:val="left"/>
        </w:tabs>
        <w:numPr>
          <w:ilvl w:val="0"/>
          <w:numId w:val="1"/>
        </w:numPr>
        <w:rPr>
          <w:rFonts w:ascii="Arial" w:cs="Arial" w:eastAsia="Arial" w:hAnsi="Arial"/>
          <w:sz w:val="11"/>
          <w:szCs w:val="11"/>
          <w:color w:val="auto"/>
        </w:rPr>
      </w:pPr>
      <w:r>
        <w:rPr>
          <w:rFonts w:ascii="Arial" w:cs="Arial" w:eastAsia="Arial" w:hAnsi="Arial"/>
          <w:sz w:val="13"/>
          <w:szCs w:val="13"/>
          <w:color w:val="auto"/>
        </w:rPr>
        <w:t>As estimated solely for the purpose of calculating the registration fee pursuant to Rule 457(g) under the Securities Act based on an estimated 1,000,000 ordinary shares or ADSs reserved for sale outside the U.S., with respect to which the Representatives will not be entitled to compensation equal to 4% warrant coverage. The warrants are exercisable at a per share exercise price equal to 125% of the public offering price, and the proposed maximum aggregate offering price of shares underlying the representative’s warrants is $460,000.</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ind w:right="80"/>
        <w:spacing w:after="0" w:line="266" w:lineRule="auto"/>
        <w:rPr>
          <w:sz w:val="20"/>
          <w:szCs w:val="20"/>
          <w:color w:val="auto"/>
        </w:rPr>
      </w:pPr>
      <w:r>
        <w:rPr>
          <w:rFonts w:ascii="Arial" w:cs="Arial" w:eastAsia="Arial" w:hAnsi="Arial"/>
          <w:sz w:val="16"/>
          <w:szCs w:val="16"/>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NOVEMBER 24,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 PROSPECTUS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2,608,695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174625</wp:posOffset>
            </wp:positionV>
            <wp:extent cx="4286250" cy="969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862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(Including 1,608,695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174625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is a public offering of 2,608,695 ordinary shares with no par value, or ordinary shares, of Genenta S.p.A., which consists of (i) an initial public offering of 1,608,695 ordinary shares in the form of American Depositary Shares, or ADSs, each representing one of our ordinary shares, which we refer to as the “ADS offering,” and (ii) a concurrent offering of 1,000,000 ordinary shares exclusively offered to existing shareholders in Italy, as a mitigant for the exclusion of pre-emptive rights as resolved by the general shareholders meeting of the company in accordance with Italian corporate law and our by-laws, which we refer to as the “Reserved Offering”. We refer in this prospectus to the ADS offering and the Reserved Offering collectively as the “offering.” Ordinary shares may be offered directly or in the form of ADSs, which likewise may be evidenced by American Depositary Receipts, or ADRs.</w:t>
      </w:r>
    </w:p>
    <w:p>
      <w:pPr>
        <w:spacing w:after="0" w:line="19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No public market currently exists for the ADSs or ordinary shares. We estimate the initial public offering price of the ADSs and ordinary shares will be between $10.50 and $12.50 per ADS or ordinary share, as the case may be. We refer to the ADSs, including the underlying ordinary shares and the ordinary shares being offered hereby, collectively, as the “securities.”</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have applied to list the ADSs on the Nasdaq Capital Market, or Nasdaq, under the symbol “GNTA.” There can be no assurance that we will be successful in listing the ADSs on Nasdaq.</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an “emerging growth company” and a “foreign private issuer” under applicable U.S. federal securities laws and are eligible for reduced public company reporting requirements. See “Prospectus Summary—Implications of Being an Emerging Growth Company” and “Prospectus Summary— Implications of Being a Foreign Private Issuer”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142875</wp:posOffset>
            </wp:positionV>
            <wp:extent cx="123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losing your entire investment. See “Risk Factors” beginning on page 12 of this prospectus for a discussion of information that should be considered in connection with an investment in our securities.</w:t>
      </w:r>
    </w:p>
    <w:p>
      <w:pPr>
        <w:spacing w:after="0" w:line="143" w:lineRule="exact"/>
        <w:rPr>
          <w:sz w:val="20"/>
          <w:szCs w:val="20"/>
          <w:color w:val="auto"/>
        </w:rPr>
      </w:pPr>
    </w:p>
    <w:p>
      <w:pPr>
        <w:ind w:right="34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102235</wp:posOffset>
            </wp:positionV>
            <wp:extent cx="123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40" w:type="dxa"/>
            <w:vAlign w:val="bottom"/>
          </w:tcPr>
          <w:p>
            <w:pPr>
              <w:jc w:val="right"/>
              <w:ind w:right="327"/>
              <w:spacing w:after="0"/>
              <w:rPr>
                <w:sz w:val="20"/>
                <w:szCs w:val="20"/>
                <w:color w:val="auto"/>
              </w:rPr>
            </w:pPr>
            <w:r>
              <w:rPr>
                <w:rFonts w:ascii="Arial" w:cs="Arial" w:eastAsia="Arial" w:hAnsi="Arial"/>
                <w:sz w:val="14"/>
                <w:szCs w:val="14"/>
                <w:b w:val="1"/>
                <w:bCs w:val="1"/>
                <w:color w:val="auto"/>
              </w:rPr>
              <w:t>Per ADS</w:t>
            </w:r>
          </w:p>
        </w:tc>
        <w:tc>
          <w:tcPr>
            <w:tcW w:w="120" w:type="dxa"/>
            <w:vAlign w:val="bottom"/>
          </w:tcPr>
          <w:p>
            <w:pPr>
              <w:spacing w:after="0"/>
              <w:rPr>
                <w:sz w:val="15"/>
                <w:szCs w:val="15"/>
                <w:color w:val="auto"/>
              </w:rPr>
            </w:pP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5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780" w:type="dxa"/>
            <w:vAlign w:val="bottom"/>
          </w:tcPr>
          <w:p>
            <w:pPr>
              <w:spacing w:after="0" w:line="256"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29"/>
                <w:szCs w:val="29"/>
                <w:color w:val="auto"/>
                <w:vertAlign w:val="superscript"/>
              </w:rPr>
              <w:t>(1)</w:t>
            </w:r>
          </w:p>
        </w:tc>
        <w:tc>
          <w:tcPr>
            <w:tcW w:w="390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90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1" w:lineRule="exact"/>
        <w:rPr>
          <w:sz w:val="20"/>
          <w:szCs w:val="20"/>
          <w:color w:val="auto"/>
        </w:rPr>
      </w:pPr>
    </w:p>
    <w:p>
      <w:pPr>
        <w:ind w:left="340" w:right="120" w:hanging="332"/>
        <w:spacing w:after="0" w:line="233"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4"/>
          <w:szCs w:val="14"/>
          <w:color w:val="auto"/>
        </w:rPr>
        <w:t>We have agreed to reimburse the underwriters for certain expenses. Certain of our existing shareholders in Italy are expected to purchase ordinary shares directly from us concurrently with the closing of this offering for which we will not incur any underwriting discount or commission but will owe an advisory fee to the representatives of the underwriters. The amounts reflected as total underwriting discounts and commissions and proceeds to us (before expenses) are reflective of these arrangements. See “Underwriting” beginning on page 191 of this prospectus for additional disclosure regarding underwriter compensation and offering expenses.</w:t>
      </w:r>
    </w:p>
    <w:p>
      <w:pPr>
        <w:spacing w:after="0" w:line="21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241,304 ADSs to cover over-allotments, if any.</w:t>
      </w:r>
    </w:p>
    <w:p>
      <w:pPr>
        <w:spacing w:after="0" w:line="197" w:lineRule="exact"/>
        <w:rPr>
          <w:sz w:val="20"/>
          <w:szCs w:val="20"/>
          <w:color w:val="auto"/>
        </w:rPr>
      </w:pPr>
    </w:p>
    <w:p>
      <w:pPr>
        <w:ind w:left="660"/>
        <w:spacing w:after="0"/>
        <w:tabs>
          <w:tab w:leader="none" w:pos="5640" w:val="left"/>
        </w:tabs>
        <w:rPr>
          <w:sz w:val="20"/>
          <w:szCs w:val="20"/>
          <w:color w:val="auto"/>
        </w:rPr>
      </w:pPr>
      <w:r>
        <w:rPr>
          <w:rFonts w:ascii="Arial" w:cs="Arial" w:eastAsia="Arial" w:hAnsi="Arial"/>
          <w:sz w:val="18"/>
          <w:szCs w:val="18"/>
          <w:color w:val="auto"/>
        </w:rPr>
        <w:t>Delivery of the ADSs will be made on or about December</w:t>
      </w:r>
      <w:r>
        <w:rPr>
          <w:sz w:val="20"/>
          <w:szCs w:val="20"/>
          <w:color w:val="auto"/>
        </w:rPr>
        <w:tab/>
      </w:r>
      <w:r>
        <w:rPr>
          <w:rFonts w:ascii="Arial" w:cs="Arial" w:eastAsia="Arial" w:hAnsi="Arial"/>
          <w:sz w:val="16"/>
          <w:szCs w:val="16"/>
          <w:color w:val="auto"/>
        </w:rPr>
        <w:t>, 2021, subject to customary closing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Roth Capital Partners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Lead Manager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Maxim Group LLC</w:t>
      </w:r>
    </w:p>
    <w:p>
      <w:pPr>
        <w:sectPr>
          <w:pgSz w:w="11900" w:h="16838" w:orient="portrait"/>
          <w:cols w:equalWidth="0" w:num="1">
            <w:col w:w="11240"/>
          </w:cols>
          <w:pgMar w:left="320" w:top="688"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840" w:type="dxa"/>
            <w:vAlign w:val="bottom"/>
          </w:tcPr>
          <w:p>
            <w:pPr>
              <w:ind w:left="3640"/>
              <w:spacing w:after="0"/>
              <w:rPr>
                <w:sz w:val="20"/>
                <w:szCs w:val="20"/>
                <w:color w:val="auto"/>
              </w:rPr>
            </w:pPr>
            <w:r>
              <w:rPr>
                <w:rFonts w:ascii="Arial" w:cs="Arial" w:eastAsia="Arial" w:hAnsi="Arial"/>
                <w:sz w:val="18"/>
                <w:szCs w:val="18"/>
                <w:color w:val="auto"/>
                <w:w w:val="98"/>
              </w:rPr>
              <w:t>The date of this prospectus is December</w:t>
            </w:r>
          </w:p>
        </w:tc>
        <w:tc>
          <w:tcPr>
            <w:tcW w:w="4400" w:type="dxa"/>
            <w:vAlign w:val="bottom"/>
          </w:tcPr>
          <w:p>
            <w:pPr>
              <w:jc w:val="right"/>
              <w:ind w:right="3550"/>
              <w:spacing w:after="0"/>
              <w:rPr>
                <w:sz w:val="20"/>
                <w:szCs w:val="20"/>
                <w:color w:val="auto"/>
              </w:rPr>
            </w:pPr>
            <w:r>
              <w:rPr>
                <w:rFonts w:ascii="Arial" w:cs="Arial" w:eastAsia="Arial" w:hAnsi="Arial"/>
                <w:sz w:val="18"/>
                <w:szCs w:val="18"/>
                <w:color w:val="auto"/>
              </w:rPr>
              <w:t>, 2021</w:t>
            </w:r>
          </w:p>
        </w:tc>
      </w:tr>
      <w:tr>
        <w:trPr>
          <w:trHeight w:val="466"/>
        </w:trPr>
        <w:tc>
          <w:tcPr>
            <w:tcW w:w="68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66"/>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540" w:type="dxa"/>
            <w:vAlign w:val="bottom"/>
            <w:tcBorders>
              <w:bottom w:val="single" w:sz="8" w:color="0000EE"/>
            </w:tcBorders>
            <w:gridSpan w:val="10"/>
            <w:shd w:val="clear" w:color="auto" w:fill="CCEEFF"/>
          </w:tcPr>
          <w:p>
            <w:pPr>
              <w:spacing w:after="0" w:line="142" w:lineRule="exact"/>
              <w:rPr>
                <w:rFonts w:ascii="Arial" w:cs="Arial" w:eastAsia="Arial" w:hAnsi="Arial"/>
                <w:sz w:val="16"/>
                <w:szCs w:val="16"/>
                <w:color w:val="0000EE"/>
                <w:w w:val="99"/>
              </w:rPr>
            </w:pPr>
            <w:hyperlink w:anchor="page7">
              <w:r>
                <w:rPr>
                  <w:rFonts w:ascii="Arial" w:cs="Arial" w:eastAsia="Arial" w:hAnsi="Arial"/>
                  <w:sz w:val="16"/>
                  <w:szCs w:val="16"/>
                  <w:color w:val="0000EE"/>
                  <w:w w:val="99"/>
                </w:rPr>
                <w:t>Prospectus Summary</w:t>
              </w:r>
            </w:hyperlink>
          </w:p>
        </w:tc>
        <w:tc>
          <w:tcPr>
            <w:tcW w:w="90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Cautionary Note Regarding Forward-Looking Statements</w:t>
              </w:r>
            </w:hyperlink>
          </w:p>
        </w:tc>
        <w:tc>
          <w:tcPr>
            <w:tcW w:w="64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Dividend Policy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176"/>
        </w:trPr>
        <w:tc>
          <w:tcPr>
            <w:tcW w:w="11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Capitalization</w:t>
              </w:r>
            </w:hyperlink>
          </w:p>
        </w:tc>
        <w:tc>
          <w:tcPr>
            <w:tcW w:w="94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Dilution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Business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Management</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137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57">
              <w:r>
                <w:rPr>
                  <w:rFonts w:ascii="Arial" w:cs="Arial" w:eastAsia="Arial" w:hAnsi="Arial"/>
                  <w:sz w:val="18"/>
                  <w:szCs w:val="18"/>
                  <w:color w:val="0000EE"/>
                </w:rPr>
                <w:t>Beneficial Ownership of Principal Shareholders and Management</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146</w:t>
            </w:r>
          </w:p>
        </w:tc>
      </w:tr>
      <w:tr>
        <w:trPr>
          <w:trHeight w:val="176"/>
        </w:trPr>
        <w:tc>
          <w:tcPr>
            <w:tcW w:w="474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Related Party Transactions</w:t>
              </w:r>
            </w:hyperlink>
          </w:p>
        </w:tc>
        <w:tc>
          <w:tcPr>
            <w:tcW w:w="586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147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Description of Share Capital and Governing Documents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150</w:t>
            </w:r>
          </w:p>
        </w:tc>
      </w:tr>
      <w:tr>
        <w:trPr>
          <w:trHeight w:val="176"/>
        </w:trPr>
        <w:tc>
          <w:tcPr>
            <w:tcW w:w="404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73">
              <w:r>
                <w:rPr>
                  <w:rFonts w:ascii="Arial" w:cs="Arial" w:eastAsia="Arial" w:hAnsi="Arial"/>
                  <w:sz w:val="18"/>
                  <w:szCs w:val="18"/>
                  <w:color w:val="0000EE"/>
                </w:rPr>
                <w:t>Description of American Depositary Shares</w:t>
              </w:r>
            </w:hyperlink>
          </w:p>
        </w:tc>
        <w:tc>
          <w:tcPr>
            <w:tcW w:w="65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161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Comparison of Italian Law and Delaware Law</w:t>
              </w:r>
            </w:hyperlink>
          </w:p>
        </w:tc>
        <w:tc>
          <w:tcPr>
            <w:tcW w:w="72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169</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96">
              <w:r>
                <w:rPr>
                  <w:rFonts w:ascii="Arial" w:cs="Arial" w:eastAsia="Arial" w:hAnsi="Arial"/>
                  <w:sz w:val="18"/>
                  <w:szCs w:val="18"/>
                  <w:color w:val="0000EE"/>
                </w:rPr>
                <w:t>Taxation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184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4"/>
              </w:rPr>
            </w:pPr>
            <w:hyperlink w:anchor="page203">
              <w:r>
                <w:rPr>
                  <w:rFonts w:ascii="Arial" w:cs="Arial" w:eastAsia="Arial" w:hAnsi="Arial"/>
                  <w:sz w:val="18"/>
                  <w:szCs w:val="18"/>
                  <w:color w:val="0000EE"/>
                  <w:w w:val="94"/>
                </w:rPr>
                <w:t>Underwriting</w:t>
              </w:r>
            </w:hyperlink>
          </w:p>
        </w:tc>
        <w:tc>
          <w:tcPr>
            <w:tcW w:w="96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Expenses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210">
              <w:r>
                <w:rPr>
                  <w:rFonts w:ascii="Arial" w:cs="Arial" w:eastAsia="Arial" w:hAnsi="Arial"/>
                  <w:sz w:val="18"/>
                  <w:szCs w:val="18"/>
                  <w:color w:val="0000EE"/>
                  <w:w w:val="91"/>
                </w:rPr>
                <w:t>Legal Matters</w:t>
              </w:r>
            </w:hyperlink>
          </w:p>
        </w:tc>
        <w:tc>
          <w:tcPr>
            <w:tcW w:w="95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210">
              <w:r>
                <w:rPr>
                  <w:rFonts w:ascii="Arial" w:cs="Arial" w:eastAsia="Arial" w:hAnsi="Arial"/>
                  <w:sz w:val="18"/>
                  <w:szCs w:val="18"/>
                  <w:color w:val="0000EE"/>
                  <w:w w:val="97"/>
                </w:rPr>
                <w:t>Enforceability of Civil Liabilities</w:t>
              </w:r>
            </w:hyperlink>
          </w:p>
        </w:tc>
        <w:tc>
          <w:tcPr>
            <w:tcW w:w="818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Where You Can Find Additional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Index of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466"/>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41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ind w:right="60" w:firstLine="648"/>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securities, and seeking offers to buy our securities, only in jurisdictions where offers and sales are permitted. The information in this prospectus is accurate only as of the date of this prospectus, regardless of the time of delivery of this prospectus or any sale of our securities.</w:t>
      </w:r>
    </w:p>
    <w:p>
      <w:pPr>
        <w:spacing w:after="0" w:line="18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organized under the laws of Italy and our registered office and domicile is located in Milan, Italy.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Moreover, the chairman of the Board, the CEO and most of our directors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Italian counsel that there is doubt as to the enforceability in Italy of original actions, or in actions for enforcement of judgments of U.S. courts, of civil liabilities to the extent solely predicated upon the federal and state securities laws of the United States. See “Enforceability of Civil Liabilities” in this prospectus for additional information.</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May 2021, we changed the legal form of our company under Italian law (the “Corporate Conversion”) from a limited liability company (società a responsabilità limitata, or S.r.l.) to a joint stock company (società per azioni, or S.p.A.). Unless otherwise indicated or the context otherwise requires, all references in this prospectus to the terms “we,” “us,” “our,” the “Company” and “Genenta” refer to Genenta Science S.p.A. after the transformation of Genenta Science S.r.l. to an Italian joint stock company.</w:t>
      </w:r>
    </w:p>
    <w:p>
      <w:pPr>
        <w:spacing w:after="0" w:line="21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reporting currency and functional currency is the Euro. Unless otherwise expressly stated or the context otherwise requires, references in this prospectus to “dollars,” “USD” or “$” mean U.S. dollars, and references to “euros,” “EUR” or “€” are to the European Union euros. U.S. dollar translations of EUR amounts presented in this prospectus were done on different dates in accordance with the date as of such entry in our books and are derived from our audited financial statements included elsewhere in this prospectus. U.S. dollar translations of EUR amounts presented in this prospectus that are not derived from our audited financial statements included elsewhere in this prospectus are translated using the rate of € 1.00 to $1.1271, based on the euro foreign exchange reference rate provided by the European Central Bank on November 19, 2021.</w:t>
      </w:r>
    </w:p>
    <w:p>
      <w:pPr>
        <w:spacing w:after="0" w:line="20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950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7950835"/>
                    </a:xfrm>
                    <a:prstGeom prst="rect">
                      <a:avLst/>
                    </a:prstGeom>
                    <a:noFill/>
                  </pic:spPr>
                </pic:pic>
              </a:graphicData>
            </a:graphic>
          </wp:anchor>
        </w:drawing>
        <w:t>PROSPECTUS SUMMARY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proprietary platform. Our proprietary platform consists of (i) the Tie-2 promoter, that drives transgene sequence transcription specifically in TEMs, and</w:t>
      </w:r>
    </w:p>
    <w:p>
      <w:pPr>
        <w:spacing w:after="0" w:line="32" w:lineRule="exact"/>
        <w:rPr>
          <w:sz w:val="20"/>
          <w:szCs w:val="20"/>
          <w:color w:val="auto"/>
        </w:rPr>
      </w:pPr>
    </w:p>
    <w:p>
      <w:pPr>
        <w:ind w:right="360" w:firstLine="5"/>
        <w:spacing w:after="0" w:line="260"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miRNA-126 target sequences to downregulate transgene expression post-transcription in those cells where the Tie-2 promoter is active and the miRNA-126 is present. We believe there are many advantages to our approach:</w:t>
      </w:r>
    </w:p>
    <w:p>
      <w:pPr>
        <w:spacing w:after="0" w:line="212" w:lineRule="exact"/>
        <w:rPr>
          <w:rFonts w:ascii="Arial" w:cs="Arial" w:eastAsia="Arial" w:hAnsi="Arial"/>
          <w:sz w:val="18"/>
          <w:szCs w:val="18"/>
          <w:color w:val="auto"/>
        </w:rPr>
      </w:pPr>
    </w:p>
    <w:p>
      <w:pPr>
        <w:ind w:left="660" w:right="40" w:hanging="331"/>
        <w:spacing w:after="0" w:line="263"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60" w:hanging="331"/>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80" w:hanging="331"/>
        <w:spacing w:after="0" w:line="342" w:lineRule="auto"/>
        <w:tabs>
          <w:tab w:leader="none" w:pos="66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candidate is designed to be a “</w:t>
      </w:r>
      <w:r>
        <w:rPr>
          <w:rFonts w:ascii="Arial" w:cs="Arial" w:eastAsia="Arial" w:hAnsi="Arial"/>
          <w:sz w:val="16"/>
          <w:szCs w:val="16"/>
          <w:i w:val="1"/>
          <w:iCs w:val="1"/>
          <w:color w:val="auto"/>
        </w:rPr>
        <w:t>living therapy</w:t>
      </w:r>
      <w:r>
        <w:rPr>
          <w:rFonts w:ascii="Arial" w:cs="Arial" w:eastAsia="Arial" w:hAnsi="Arial"/>
          <w:sz w:val="16"/>
          <w:szCs w:val="16"/>
          <w:color w:val="auto"/>
        </w:rPr>
        <w:t>” that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to 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right="60" w:hanging="331"/>
        <w:spacing w:after="0" w:line="263"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chimeric antigen receptor T cells (CAR-T), our platform is not restricted to a pre-selected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tumor antigen, nor any one tumor type. As such, it may be applied to a broad number of solid tumors and cancer subtypes, thereby overcoming one of the central unresolved challenges of immune-oncology cancer therapies.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is currently rarely used due to its systemic toxicity. The Temferon-modified TEMs express the transgene payload, IFN-α, in the tumor microenvironment resulting in the breakdown of tumor induced immune-tolerance. As a result, the immune system can recognize the tumor, respond, and inhibit tumor growth. Because Temferon delivers the IFN-α payload directly to the tumor, we believe it will demonstrate clinical activity without the side effect profile of systemic delivery of IFN-α. In preclinical cancer mouse models treated with Temferon, both direct (anti-angiogenic, pro-apoptotic) and indirect (immune response) effects were observed.</w:t>
      </w:r>
    </w:p>
    <w:p>
      <w:pPr>
        <w:spacing w:after="0" w:line="22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We are currently developing Temferon for the treatment of glioblastoma multiforme (GBM) in patients with GBM who have an unmethylated MGMT gene promoter (uMGMT-GBM). GBM is the most common malignant primary brain tumor accounting for more than half of all central nervous system (CNS) cancers, and unmethylated MGMT promoter status is identified in approximately 60% of GBM patients. Patients suffering from GBM have limited, non-curative treatment options. Although these treatments may improve survival, the prognosis for GBM patients remains poor with a median overall survival (mOS) of approximately 13 to 15 months and only 5.5% of patients estimated to be alive five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uMGMT-GBM patients potentially interested in participating in our study. As a result, we believe GBM offers a good profile for our initial proof of concept trial in humans. We are currently conducting a Phase 1/2a dose-escalation clinical trial with Temferon in newly diagnosed uMGMT-GBM patients in Italy. We intend to complete patient enrollment by the second quarter of 2022 and to use the preliminary results of our Phase 1/2a clinical trial to support a Clinical Trial Application to conduct in Europe a multicenter Phase 2 trial in uMGMT-GBM, which we currently intend to</w:t>
      </w:r>
    </w:p>
    <w:p>
      <w:pPr>
        <w:spacing w:after="0" w:line="4" w:lineRule="exact"/>
        <w:rPr>
          <w:sz w:val="20"/>
          <w:szCs w:val="20"/>
          <w:color w:val="auto"/>
        </w:rPr>
      </w:pPr>
    </w:p>
    <w:p>
      <w:pPr>
        <w:ind w:right="460"/>
        <w:spacing w:after="0" w:line="209" w:lineRule="auto"/>
        <w:rPr>
          <w:sz w:val="20"/>
          <w:szCs w:val="20"/>
          <w:color w:val="auto"/>
        </w:rPr>
      </w:pPr>
      <w:r>
        <w:rPr>
          <w:rFonts w:ascii="Arial" w:cs="Arial" w:eastAsia="Arial" w:hAnsi="Arial"/>
          <w:sz w:val="18"/>
          <w:szCs w:val="18"/>
          <w:color w:val="auto"/>
        </w:rPr>
        <w:t>conduct primarily in Italy.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have administered Temferon to a total of 15 patients in clinical trials. The preliminary results to date show that Temferon was generally well tolerated with no dose limiting toxicities identified so far.</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58" w:right="519" w:bottom="1440" w:gutter="0" w:footer="0" w:header="0"/>
        </w:sectPr>
      </w:pPr>
    </w:p>
    <w:bookmarkStart w:id="7" w:name="page8"/>
    <w:bookmarkEnd w:id="7"/>
    <w:p>
      <w:pPr>
        <w:ind w:firstLine="64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411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4110355"/>
                    </a:xfrm>
                    <a:prstGeom prst="rect">
                      <a:avLst/>
                    </a:prstGeom>
                    <a:noFill/>
                  </pic:spPr>
                </pic:pic>
              </a:graphicData>
            </a:graphic>
          </wp:anchor>
        </w:drawing>
        <w:t>We also intend to develop Temferon for the treatment of other solid tumor indications, and locally advanced hepatocellular carcinoma (HCC) and intra-hepatic cholangiocarcinoma (ICC) are two indications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which have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If HCC and ICC will be selected, we intend to submit a Clinical Trial Application (CTA) for conducting a Phase 1/2a study of Temferon to the Italian Medicines Agency (Agenzia Italiana del Farmaco, or AIFA), the public institution responsible for the regulatory activity of pharmaceuticals in Italy.</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to our Temferon programs being developed in uMGMT-GBM patients,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Our portfolio of clinical and preclinical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autologous gene cancer therapies is based on our technology platform, which was originally developed in our founders’ laboratories at Ospedale San Raffaele, or OSR. Through our collaboration with OSR, we have worldwide commercial rights to Temferon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immune checkpoint inhibitors (ICI), CAR-T cell therapies and T cell receptor (TCR) therapies.</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480" w:top="989" w:right="55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8524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8524875"/>
                    </a:xfrm>
                    <a:prstGeom prst="rect">
                      <a:avLst/>
                    </a:prstGeom>
                    <a:noFill/>
                  </pic:spPr>
                </pic:pic>
              </a:graphicData>
            </a:graphic>
          </wp:anchor>
        </w:drawing>
        <w:t>Our current pipeline, with clinical and preclinical stage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patients and patients suffering from another solid cancer indication such as HCC and ICC.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currently conducting a Phase 1/2a dose-escalation study to primarily evaluate the safety and tolerability of Temferon in up to 21 uMGMT-GBM patients, following radiotherapy treatment. In the fourth quarter of 2022, we intend to file the regulatory package required to initiate in Europe a multicenter Phase 2 trial in uMGMT-GBM, which we currently intend to conduct primarily in Italy, to evaluate the safety and efficacy of Temferon in up to 27 uMGMT-GBM patients (both newly diagnosed and with progressive disease) who have an unmethylated MGMT promoter where we intend to measure progression free survival (PFS) and overall survival (OS) as endpoints. In advance of our CTA submission and although it is not required for our European trial, we submitted a pre-IND meeting request to the FDA and received written responses from the Agency regarding future possible Phase 2 clinical studies and drug product manufacturing as part of our development of long-term strategies following our European trial. There cannot be any assurance that such meetings will lead to clinical and manufacturing strategies in the US in the future, which is dependent on feedback from the FDA and advice from key opinion leaders and US partnering clinical centers, as well as the availability of financial and other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extend our product pipeline by:</w:t>
      </w:r>
    </w:p>
    <w:p>
      <w:pPr>
        <w:spacing w:after="0" w:line="252" w:lineRule="exact"/>
        <w:rPr>
          <w:sz w:val="20"/>
          <w:szCs w:val="20"/>
          <w:color w:val="auto"/>
        </w:rPr>
      </w:pPr>
    </w:p>
    <w:p>
      <w:pPr>
        <w:ind w:left="660" w:right="80" w:hanging="331"/>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another solid tumor indication and locally advanced HCC and ICC are under consideration. The Istituto Superiore di Sanità (ISS), an independent committee with oversight from the Italian Ministry of Health, must issue a positive opinion regarding our CTA before AIFA will approve it. In addition to these indications,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40" w:hanging="331"/>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Using our platform with different transgene payloads. </w:t>
      </w:r>
      <w:r>
        <w:rPr>
          <w:rFonts w:ascii="Arial" w:cs="Arial" w:eastAsia="Arial" w:hAnsi="Arial"/>
          <w:sz w:val="18"/>
          <w:szCs w:val="18"/>
          <w:color w:val="auto"/>
        </w:rPr>
        <w:t>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80" w:hanging="331"/>
        <w:spacing w:after="0" w:line="31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sectPr>
      </w:pPr>
    </w:p>
    <w:bookmarkStart w:id="9" w:name="page10"/>
    <w:bookmarkEnd w:id="9"/>
    <w:p>
      <w:pPr>
        <w:ind w:left="660" w:right="80" w:hanging="331"/>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6501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Exploring combination therapies. We will seek to enter into collaborations with other companies to explore combination studies of our therapeutics with other cancer therapies, such as ICI, CAR-T cell therapies and TCR therapies. We believe our product candidate, as a result of its MoA, has the potential to enhance the durability and efficacy of the existing therapies, thus abolishing the immune tolerance to the tumor.</w:t>
      </w:r>
    </w:p>
    <w:p>
      <w:pPr>
        <w:spacing w:after="0" w:line="146"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Exploiting in-licensing opportunities with OSR</w:t>
      </w:r>
      <w:r>
        <w:rPr>
          <w:rFonts w:ascii="Arial" w:cs="Arial" w:eastAsia="Arial" w:hAnsi="Arial"/>
          <w:sz w:val="17"/>
          <w:szCs w:val="17"/>
          <w:color w:val="auto"/>
        </w:rPr>
        <w:t>. We intend to exploit in-licensing opportunities with OSR, a co-founding shareholder.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Currently, for Temferon manufacturing we rely on AGC Biologics, a contract development and manufacturing organization (CDMO), at their cell and gene therapy facility located in Milan (Italy). After the completion of our planned multicenter Phase 2 uMGMT- GBM study most likely to be conducted in Italy, to meet our drug product supply needs for conducting larger trials we intend to enter into a supply agreement with a US-based CMO for the manufacturing of our products. In July 2021 AGC Biologics purchased a 60,000 square meters cells and gene therapy manufacturing facility located in Longmont, Colorado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choose to partner with larger pharmaceutical companies whose core competencies and oncology strategies are in line with ours.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We believe that our growing body of early clinical data supporting the potential of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214" w:lineRule="exact"/>
        <w:rPr>
          <w:sz w:val="20"/>
          <w:szCs w:val="20"/>
          <w:color w:val="auto"/>
        </w:rPr>
      </w:pPr>
    </w:p>
    <w:p>
      <w:pPr>
        <w:ind w:left="660" w:right="80" w:hanging="331"/>
        <w:spacing w:after="0" w:line="288"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that are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0" w:name="page11"/>
    <w:bookmarkEnd w:id="10"/>
    <w:p>
      <w:pPr>
        <w:ind w:left="340" w:right="180" w:hanging="331"/>
        <w:spacing w:after="0" w:line="28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593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5593080"/>
                    </a:xfrm>
                    <a:prstGeom prst="rect">
                      <a:avLst/>
                    </a:prstGeom>
                    <a:noFill/>
                  </pic:spPr>
                </pic:pic>
              </a:graphicData>
            </a:graphic>
          </wp:anchor>
        </w:drawing>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 additional programs, give us the ability to grow our pipeline by targeting a broad set of cancer diseases.</w:t>
      </w:r>
    </w:p>
    <w:p>
      <w:pPr>
        <w:spacing w:after="0" w:line="121" w:lineRule="exact"/>
        <w:rPr>
          <w:rFonts w:ascii="Arial" w:cs="Arial" w:eastAsia="Arial" w:hAnsi="Arial"/>
          <w:sz w:val="18"/>
          <w:szCs w:val="18"/>
          <w:color w:val="auto"/>
        </w:rPr>
      </w:pPr>
    </w:p>
    <w:p>
      <w:pPr>
        <w:ind w:left="340" w:right="880" w:hanging="331"/>
        <w:spacing w:after="0" w:line="312"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Durable therapeutic potential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Preliminary interim clinical data collected from fifteen uMGMT- GBM patients following a single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administration of Temferon displayed modified cells at 18 months, the last measured timepoint to date.</w:t>
      </w:r>
    </w:p>
    <w:p>
      <w:pPr>
        <w:spacing w:after="0" w:line="99" w:lineRule="exact"/>
        <w:rPr>
          <w:rFonts w:ascii="Arial" w:cs="Arial" w:eastAsia="Arial" w:hAnsi="Arial"/>
          <w:sz w:val="17"/>
          <w:szCs w:val="17"/>
          <w:color w:val="auto"/>
        </w:rPr>
      </w:pPr>
    </w:p>
    <w:p>
      <w:pPr>
        <w:ind w:left="340" w:right="80" w:hanging="331"/>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 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color w:val="auto"/>
        </w:rPr>
      </w:pPr>
    </w:p>
    <w:p>
      <w:pPr>
        <w:ind w:left="340" w:right="40" w:hanging="331"/>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color w:val="auto"/>
        </w:rPr>
      </w:pPr>
    </w:p>
    <w:p>
      <w:pPr>
        <w:ind w:left="340" w:right="200" w:hanging="331"/>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novel 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color w:val="auto"/>
        </w:rPr>
      </w:pPr>
    </w:p>
    <w:p>
      <w:pPr>
        <w:ind w:left="340" w:hanging="331"/>
        <w:spacing w:after="0" w:line="340"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Active and sustained tumor surveillance. </w:t>
      </w:r>
      <w:r>
        <w:rPr>
          <w:rFonts w:ascii="Arial" w:cs="Arial" w:eastAsia="Arial" w:hAnsi="Arial"/>
          <w:sz w:val="15"/>
          <w:szCs w:val="15"/>
          <w:color w:val="auto"/>
        </w:rPr>
        <w:t>Our immune-gene therapy is designed to trigger the patient’s own immune response that establishes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90" w:lineRule="exact"/>
        <w:rPr>
          <w:rFonts w:ascii="Arial" w:cs="Arial" w:eastAsia="Arial" w:hAnsi="Arial"/>
          <w:sz w:val="15"/>
          <w:szCs w:val="15"/>
          <w:color w:val="auto"/>
        </w:rPr>
      </w:pPr>
    </w:p>
    <w:p>
      <w:pPr>
        <w:ind w:left="340" w:hanging="331"/>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Fine dose tuning. </w:t>
      </w:r>
      <w:r>
        <w:rPr>
          <w:rFonts w:ascii="Arial" w:cs="Arial" w:eastAsia="Arial" w:hAnsi="Arial"/>
          <w:sz w:val="17"/>
          <w:szCs w:val="17"/>
          <w:color w:val="auto"/>
        </w:rPr>
        <w:t>Our platform holds promise to fine tune the dose to be administered based on individual patient characteristics.</w:t>
      </w:r>
    </w:p>
    <w:p>
      <w:pPr>
        <w:spacing w:after="0" w:line="196" w:lineRule="exact"/>
        <w:rPr>
          <w:rFonts w:ascii="Arial" w:cs="Arial" w:eastAsia="Arial" w:hAnsi="Arial"/>
          <w:sz w:val="17"/>
          <w:szCs w:val="17"/>
          <w:color w:val="auto"/>
        </w:rPr>
      </w:pPr>
    </w:p>
    <w:p>
      <w:pPr>
        <w:ind w:left="340" w:right="260" w:hanging="331"/>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patients 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340" w:right="200" w:hanging="331"/>
        <w:spacing w:after="0" w:line="272"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340" w:right="120" w:hanging="331"/>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00" w:lineRule="exact"/>
        <w:rPr>
          <w:sz w:val="20"/>
          <w:szCs w:val="20"/>
          <w:color w:val="auto"/>
        </w:rPr>
      </w:pPr>
    </w:p>
    <w:p>
      <w:pPr>
        <w:spacing w:after="0" w:line="28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800" w:top="985"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110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7110730"/>
                    </a:xfrm>
                    <a:prstGeom prst="rect">
                      <a:avLst/>
                    </a:prstGeom>
                    <a:noFill/>
                  </pic:spPr>
                </pic:pic>
              </a:graphicData>
            </a:graphic>
          </wp:anchor>
        </w:drawing>
        <w:t>Company History and Management Team</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(OSR) in Milan, a globally recognized premier research hospital for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with Pierluigi Paracchi (our CEO), Luigi Naldini (Chairman of our Executive Scientific Board) and Bernhard Gentner (a member of our Executive Scientific Board), to develop potential ground-breaking cell and gene cancer therapies. We leverage the vast experience in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Its research has resulted in a number of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option rights, to certain intellectual property (IP) originating there.</w:t>
      </w:r>
    </w:p>
    <w:p>
      <w:pPr>
        <w:spacing w:after="0" w:line="21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 (June 2018).</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business, and investing in our securities, are subject to numerous risks and uncertainties, as more fully described in the section “Risk Factors” included elsewhere in this prospectus. You should read these risks before making a decision to invest in our securities. If any of these risks actually occur, our business, financial condition or results of operations would likely be materially adversely affected. In each case, the trading price of our securities would likely decline, and you may lose all or part of your investment. The following is a summary of some of the principal risks we face:</w:t>
      </w:r>
    </w:p>
    <w:p>
      <w:pPr>
        <w:spacing w:after="0" w:line="184" w:lineRule="exact"/>
        <w:rPr>
          <w:sz w:val="20"/>
          <w:szCs w:val="20"/>
          <w:color w:val="auto"/>
        </w:rPr>
      </w:pPr>
    </w:p>
    <w:p>
      <w:pPr>
        <w:ind w:left="660" w:right="500" w:hanging="331"/>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143" w:lineRule="exact"/>
        <w:rPr>
          <w:rFonts w:ascii="Arial" w:cs="Arial" w:eastAsia="Arial" w:hAnsi="Arial"/>
          <w:sz w:val="18"/>
          <w:szCs w:val="18"/>
          <w:color w:val="auto"/>
        </w:rPr>
      </w:pPr>
    </w:p>
    <w:p>
      <w:pPr>
        <w:ind w:left="660" w:right="20" w:hanging="331"/>
        <w:spacing w:after="0" w:line="27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OSR and any failure to comply with the terms of such license agreement could have a material adverse effect on our intellectual property position and our ability to seek approval for and ultimately commercialize such product candidates.</w:t>
      </w:r>
    </w:p>
    <w:p>
      <w:pPr>
        <w:spacing w:after="0" w:line="135" w:lineRule="exact"/>
        <w:rPr>
          <w:rFonts w:ascii="Arial" w:cs="Arial" w:eastAsia="Arial" w:hAnsi="Arial"/>
          <w:sz w:val="17"/>
          <w:szCs w:val="17"/>
          <w:color w:val="auto"/>
        </w:rPr>
      </w:pPr>
    </w:p>
    <w:p>
      <w:pPr>
        <w:ind w:left="660" w:right="40" w:hanging="331"/>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12" w:name="page13"/>
    <w:bookmarkEnd w:id="12"/>
    <w:p>
      <w:pPr>
        <w:ind w:left="660" w:hanging="331"/>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764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5764530"/>
                    </a:xfrm>
                    <a:prstGeom prst="rect">
                      <a:avLst/>
                    </a:prstGeom>
                    <a:noFill/>
                  </pic:spPr>
                </pic:pic>
              </a:graphicData>
            </a:graphic>
          </wp:anchor>
        </w:drawing>
        <w:t>We currently have very few employees and rely almost entirely on the efforts of third parties over which we have limited control and in certain cases are reliant on a sole supplier for our materials. Our contract research organizations, or CROs, may fail to observe the standards to which our studies must be conducted and our product candidates may not be approved as a result. Likewise, our contract manufacturing organizations, or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151" w:lineRule="exact"/>
        <w:rPr>
          <w:rFonts w:ascii="Arial" w:cs="Arial" w:eastAsia="Arial" w:hAnsi="Arial"/>
          <w:sz w:val="18"/>
          <w:szCs w:val="18"/>
          <w:color w:val="auto"/>
        </w:rPr>
      </w:pPr>
    </w:p>
    <w:p>
      <w:pPr>
        <w:ind w:left="660" w:right="140" w:hanging="331"/>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151" w:lineRule="exact"/>
        <w:rPr>
          <w:rFonts w:ascii="Arial" w:cs="Arial" w:eastAsia="Arial" w:hAnsi="Arial"/>
          <w:sz w:val="18"/>
          <w:szCs w:val="18"/>
          <w:color w:val="auto"/>
        </w:rPr>
      </w:pPr>
    </w:p>
    <w:p>
      <w:pPr>
        <w:ind w:left="660" w:right="4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ongoing and planned clinical trials, operations and financial condition, and our overall generation of revenues may not succeed on the time frames we expect or at all.</w:t>
      </w:r>
    </w:p>
    <w:p>
      <w:pPr>
        <w:spacing w:after="0" w:line="129" w:lineRule="exact"/>
        <w:rPr>
          <w:rFonts w:ascii="Arial" w:cs="Arial" w:eastAsia="Arial" w:hAnsi="Arial"/>
          <w:sz w:val="18"/>
          <w:szCs w:val="18"/>
          <w:color w:val="auto"/>
        </w:rPr>
      </w:pPr>
    </w:p>
    <w:p>
      <w:pPr>
        <w:ind w:left="660" w:right="280" w:hanging="331"/>
        <w:spacing w:after="0" w:line="31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Chief Executive Officer, directors and shareholders who own more than 5% of our outstanding ordinary shares before this offering currently own approximately 47.1% of our outstanding ordinary shares and will own approximately 40.2% of our ordinary shares upon the completion of this offering and will therefore be able to exert significant control over matters submitted to our shareholders for approval.</w:t>
      </w:r>
    </w:p>
    <w:p>
      <w:pPr>
        <w:spacing w:after="0" w:line="108" w:lineRule="exact"/>
        <w:rPr>
          <w:rFonts w:ascii="Arial" w:cs="Arial" w:eastAsia="Arial" w:hAnsi="Arial"/>
          <w:sz w:val="16"/>
          <w:szCs w:val="16"/>
          <w:color w:val="auto"/>
        </w:rPr>
      </w:pPr>
    </w:p>
    <w:p>
      <w:pPr>
        <w:ind w:left="660" w:right="980" w:hanging="331"/>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a public company following the conclusion of this offering, we will need to comply with extensive additional U.S. and Italian governmental and Nasdaq regulations, which will be expensive, and which will require significant management attention.</w:t>
      </w:r>
    </w:p>
    <w:p>
      <w:pPr>
        <w:spacing w:after="0" w:line="83" w:lineRule="exact"/>
        <w:rPr>
          <w:rFonts w:ascii="Arial" w:cs="Arial" w:eastAsia="Arial" w:hAnsi="Arial"/>
          <w:sz w:val="16"/>
          <w:szCs w:val="16"/>
          <w:color w:val="auto"/>
        </w:rPr>
      </w:pPr>
    </w:p>
    <w:p>
      <w:pPr>
        <w:jc w:val="both"/>
        <w:ind w:left="660" w:right="100" w:hanging="331"/>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company organized under the laws of Italy and whose shares are represented by ADSs, the rights of investors in the company following this offering will differ in several material respects from the rights of holders of shares of common stock of a US domestic company and may not afford investors the same protections.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Genenta was formed as an Italian limited liability company (società a responsabilità limitata, or S.r.l.) in 2014. In May 2021, we changed the legal form of our company under Italian law to a joint stock company (società per azioni, or S.p.A.).</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principal executive offices are located at Via Olgettina No. 58, 20132 Milan, Italy. Our telephone number in Italy is +39.02.2643.6639. Our website address is www.genenta.com. The information contained on, or that can be accessed through, our website is not part of this prospectus. We have included our website address in this prospectus solely as an inactive textual reference.</w:t>
      </w:r>
    </w:p>
    <w:p>
      <w:pPr>
        <w:spacing w:after="0" w:line="211"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The Securities and Exchange Commission, or the SEC, also maintains an Internet website that contains reports, proxy and information statements and other information regarding issuers that file electronically with the SEC. Our filings with the U.S. Securities and Exchange Commission, or the SEC, will also be available to the public through the SEC’s website at http://www.sec.gov.</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6518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6518910"/>
                    </a:xfrm>
                    <a:prstGeom prst="rect">
                      <a:avLst/>
                    </a:prstGeom>
                    <a:noFill/>
                  </pic:spPr>
                </pic:pic>
              </a:graphicData>
            </a:graphic>
          </wp:anchor>
        </w:drawing>
        <w:t>Implications of Being an “Emerging Growth Company”</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Jumpstart Our Business Startups Act of 2012, or the JOBS Act. As such, we are eligible to, and intend to, take advantage of certain exemptions from various reporting requirements applicable to other public companies that are otherwise applicable generally to public companies. These provisions include:</w:t>
      </w:r>
    </w:p>
    <w:p>
      <w:pPr>
        <w:spacing w:after="0" w:line="214" w:lineRule="exact"/>
        <w:rPr>
          <w:sz w:val="20"/>
          <w:szCs w:val="20"/>
          <w:color w:val="auto"/>
        </w:rPr>
      </w:pPr>
    </w:p>
    <w:p>
      <w:pPr>
        <w:ind w:left="660" w:right="20" w:hanging="331"/>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84" w:lineRule="exact"/>
        <w:rPr>
          <w:rFonts w:ascii="Arial" w:cs="Arial" w:eastAsia="Arial" w:hAnsi="Arial"/>
          <w:sz w:val="18"/>
          <w:szCs w:val="18"/>
          <w:color w:val="auto"/>
        </w:rPr>
      </w:pPr>
    </w:p>
    <w:p>
      <w:pPr>
        <w:ind w:left="660" w:hanging="33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84" w:lineRule="exact"/>
        <w:rPr>
          <w:rFonts w:ascii="Arial" w:cs="Arial" w:eastAsia="Arial" w:hAnsi="Arial"/>
          <w:sz w:val="18"/>
          <w:szCs w:val="18"/>
          <w:color w:val="auto"/>
        </w:rPr>
      </w:pPr>
    </w:p>
    <w:p>
      <w:pPr>
        <w:ind w:left="660" w:right="100" w:hanging="331"/>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 exceeds $1.07 billion, (b) the date that we become a “large accelerated filer” as defined in Rule 12b-2 under the Securities Exchange Act of 1934, as amended, or the Exchange Act, which would occur if the market value of our securities that is held by non-affiliates exceeds $700 million as of the last business day of our most recently completed second fiscal quarter, or (c) the date on which we have issued more than $1 billion in nonconvertible debt during the preceding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consummation of this offering, we will be subject to the information reporting requirements of the Exchange Act that are applicable to “foreign private issuers,” and under those requirements we will file reports with the SEC. As a foreign private issuer, we will not be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proxy statements that comply with the requirements applicable to U.S. domestic reporting companies, or individual executive compensation information that is as detailed as that required of U.S. domestic reporting companies. We also will have four months after the end of each fiscal year to file our annual report with the SEC and will not be required to file current reports as frequently or promptly as U.S. domestic reporting companies. Our officers, directors and principal shareholders will be exempt from the requirements to report transactions in our equity securities and from the short-swing profit liability provisions contained in Section 16 of the Exchange Act. As a foreign private issuer, we will not be subject to the requirements of Regulation FD (Fair Disclosure) promulgated under the Exchange Act. In addition, as a foreign private issuer, we will be permitted to follow certain home country corporate governance practices instead of those otherwise required under the Nasdaq Stock Market rules for domestic U.S. issuers and will not be required to be compliant with all Nasdaq Stock Market rules as of the date of our initial listing on Nasdaq as would domestic U.S. issuers (see “Risk Factors—Risks Related to this Offering and Ownership of Our Securities”). These exemptions and leniencies will reduce the frequency and scope of information and protections available to you in comparison to those applicable to a U.S. domestic reporting company. We intend to take advantage of the exemptions available to us as a foreign private issuer during and after the period we qualify as a “foreign private issuer.”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420" w:type="dxa"/>
            <w:vAlign w:val="bottom"/>
          </w:tcPr>
          <w:p>
            <w:pPr>
              <w:spacing w:after="0"/>
              <w:rPr>
                <w:sz w:val="20"/>
                <w:szCs w:val="20"/>
                <w:color w:val="auto"/>
              </w:rPr>
            </w:pPr>
            <w:r>
              <w:rPr>
                <w:rFonts w:ascii="Arial" w:cs="Arial" w:eastAsia="Arial" w:hAnsi="Arial"/>
                <w:sz w:val="18"/>
                <w:szCs w:val="18"/>
                <w:color w:val="auto"/>
              </w:rPr>
              <w:t>Securities offered by us</w:t>
            </w: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2,608,695, including ADSs representing 1,608,695 ordinary shares</w:t>
            </w: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w w:val="92"/>
              </w:rPr>
              <w:t>Ordinary shares issued and outstanding prior to this offering</w:t>
            </w: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15,000,000 ordinary shares</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Ordinary shares to be issued and outstanding after this</w:t>
            </w: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2"/>
              </w:rPr>
              <w:t>17,608,695 ordinary shares (or 18,000,000 ordinary shares if the underwriters exercise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offering</w:t>
            </w: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4"/>
              </w:rPr>
              <w:t>their option to purchase additional ADSs within 30 days of the date of this prospectus</w:t>
            </w:r>
          </w:p>
        </w:tc>
      </w:tr>
      <w:tr>
        <w:trPr>
          <w:trHeight w:val="230"/>
        </w:trPr>
        <w:tc>
          <w:tcPr>
            <w:tcW w:w="4420" w:type="dxa"/>
            <w:vAlign w:val="bottom"/>
          </w:tcPr>
          <w:p>
            <w:pPr>
              <w:spacing w:after="0"/>
              <w:rPr>
                <w:sz w:val="20"/>
                <w:szCs w:val="20"/>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from us in full) (includes ordinary shares represented by the ADSs)</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Reserved Offering</w:t>
            </w: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0"/>
              </w:rPr>
              <w:t>At our request, 1,000,000 ordinary shares covered by the registration statement of which</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1"/>
              </w:rPr>
              <w:t>this prospectus is part have been reserved for sale, at the initial public offering price, by</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the Company, directly or through agents, in the Reserved Offering to existing</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4"/>
              </w:rPr>
              <w:t>shareholders of the Company, as a mitigant for the exclusion of pre-emptive rights as</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0"/>
              </w:rPr>
              <w:t>resolved by the general shareholders meeting of the Company in accordance with Italian</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5"/>
              </w:rPr>
              <w:t>corporate law and our by-laws. The Reserved Offering will be effected in compliance</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6"/>
              </w:rPr>
              <w:t>with the laws of Italy, at the same price to investors as the offering of ADSs. We will</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3"/>
              </w:rPr>
              <w:t>receive the full proceeds from the Reserved Offering and will not pay any underwriting</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3"/>
              </w:rPr>
              <w:t>discounts or commissions with respect to ordinary shares that we sell in the Reserved</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3"/>
              </w:rPr>
              <w:t>Offering but have agreed to pay an advisory fee to the representatives with respect to</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such sales. The offer and sale of ordinary shares in the Reserved Offering (i) is</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7"/>
              </w:rPr>
              <w:t>contingent upon the completion of the offering of ADSs and will commence and be</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7"/>
              </w:rPr>
              <w:t>consummated concurrently with such offering of ADSs, (ii) has been registered for</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2"/>
              </w:rPr>
              <w:t>purposes of the securities laws of the United States under the registration statement of</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2"/>
              </w:rPr>
              <w:t>which this prospectus is part, and (iii) is conducted in Italy under applicable exemptions</w:t>
            </w:r>
          </w:p>
        </w:tc>
      </w:tr>
      <w:tr>
        <w:trPr>
          <w:trHeight w:val="230"/>
        </w:trPr>
        <w:tc>
          <w:tcPr>
            <w:tcW w:w="4420" w:type="dxa"/>
            <w:vAlign w:val="bottom"/>
          </w:tcPr>
          <w:p>
            <w:pPr>
              <w:spacing w:after="0"/>
              <w:rPr>
                <w:sz w:val="20"/>
                <w:szCs w:val="20"/>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from Italian and European regulations concerning prospectus.</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The ADSs</w:t>
            </w: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2"/>
              </w:rPr>
              <w:t>Each ADS represents one of our ordinary shares, with no par value. The ADSs may be</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8"/>
              </w:rPr>
              <w:t>evidenced by American Depositary Receipts, or ADRs. The depositary will hold in</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1"/>
              </w:rPr>
              <w:t>custody the ordinary shares underlying the ADSs and you will have the rights of an ADS</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2"/>
              </w:rPr>
              <w:t>holder as provided in the deposit agreement among us, the depositary and owners and</w:t>
            </w:r>
          </w:p>
        </w:tc>
      </w:tr>
      <w:tr>
        <w:trPr>
          <w:trHeight w:val="230"/>
        </w:trPr>
        <w:tc>
          <w:tcPr>
            <w:tcW w:w="4420" w:type="dxa"/>
            <w:vAlign w:val="bottom"/>
          </w:tcPr>
          <w:p>
            <w:pPr>
              <w:spacing w:after="0"/>
              <w:rPr>
                <w:sz w:val="20"/>
                <w:szCs w:val="20"/>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holders of ADSs from time to time.</w:t>
            </w:r>
          </w:p>
        </w:tc>
      </w:tr>
      <w:tr>
        <w:trPr>
          <w:trHeight w:val="445"/>
        </w:trPr>
        <w:tc>
          <w:tcPr>
            <w:tcW w:w="4420" w:type="dxa"/>
            <w:vAlign w:val="bottom"/>
          </w:tcPr>
          <w:p>
            <w:pPr>
              <w:spacing w:after="0"/>
              <w:rPr>
                <w:sz w:val="24"/>
                <w:szCs w:val="24"/>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2"/>
              </w:rPr>
              <w:t>To better understand the terms of the ADSs, you should carefully read the “Description</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1"/>
              </w:rPr>
              <w:t>of the Offered Securities” section of this prospectus. We also encourage you to read the</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3"/>
              </w:rPr>
              <w:t>deposit agreement, which is incorporated by reference as an exhibit to the registration</w:t>
            </w:r>
          </w:p>
        </w:tc>
      </w:tr>
      <w:tr>
        <w:trPr>
          <w:trHeight w:val="230"/>
        </w:trPr>
        <w:tc>
          <w:tcPr>
            <w:tcW w:w="4420" w:type="dxa"/>
            <w:vAlign w:val="bottom"/>
          </w:tcPr>
          <w:p>
            <w:pPr>
              <w:spacing w:after="0"/>
              <w:rPr>
                <w:sz w:val="20"/>
                <w:szCs w:val="20"/>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statement that includes this prospectus.</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Over-allotment option</w:t>
            </w: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2"/>
              </w:rPr>
              <w:t>We have granted to the underwriters an option exercisable for a period of 30 days after</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1"/>
              </w:rPr>
              <w:t>the date of this prospectus to purchase up to 241,304 additional ADSs from us solely to</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2"/>
              </w:rPr>
              <w:t>cover over-allotments, if any. If the underwriters exercise all or part of this option, it will</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2"/>
              </w:rPr>
              <w:t>purchase securities covered by the option at the public offering price per ADS, less the</w:t>
            </w:r>
          </w:p>
        </w:tc>
      </w:tr>
      <w:tr>
        <w:trPr>
          <w:trHeight w:val="230"/>
        </w:trPr>
        <w:tc>
          <w:tcPr>
            <w:tcW w:w="4420" w:type="dxa"/>
            <w:vAlign w:val="bottom"/>
          </w:tcPr>
          <w:p>
            <w:pPr>
              <w:spacing w:after="0"/>
              <w:rPr>
                <w:sz w:val="20"/>
                <w:szCs w:val="20"/>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underwriting discounts and advisory fees. See “Underwriting.”</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Use of proceeds</w:t>
            </w: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1"/>
              </w:rPr>
              <w:t>We estimate that the net proceeds from our issuance and sale of 2,608,695 securities in</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4"/>
              </w:rPr>
              <w:t>this offering will be approximately $26.4 million, assuming an offering price of $11.50</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4"/>
              </w:rPr>
              <w:t>per ADS, the midpoint of the estimated price range set forth on the cover page of this</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3"/>
              </w:rPr>
              <w:t>prospectus, and after deducting underwriting discounts and commissions and offering</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0"/>
              </w:rPr>
              <w:t>expenses payable by us. If the underwriters exercise the over-allotment option in full, we</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6"/>
              </w:rPr>
              <w:t>estimate that the net proceeds from this offering will be approximately $30.6 million,</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assuming an offering price of $11.50 per ADS, and after deducting underwriting</w:t>
            </w:r>
          </w:p>
        </w:tc>
      </w:tr>
      <w:tr>
        <w:trPr>
          <w:trHeight w:val="216"/>
        </w:trPr>
        <w:tc>
          <w:tcPr>
            <w:tcW w:w="4420" w:type="dxa"/>
            <w:vAlign w:val="bottom"/>
          </w:tcPr>
          <w:p>
            <w:pPr>
              <w:spacing w:after="0"/>
              <w:rPr>
                <w:sz w:val="18"/>
                <w:szCs w:val="18"/>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0"/>
              </w:rPr>
              <w:t>discounts and commissions and offering expenses payable by us. We currently expect to</w:t>
            </w:r>
          </w:p>
        </w:tc>
      </w:tr>
      <w:tr>
        <w:trPr>
          <w:trHeight w:val="230"/>
        </w:trPr>
        <w:tc>
          <w:tcPr>
            <w:tcW w:w="4420" w:type="dxa"/>
            <w:vAlign w:val="bottom"/>
          </w:tcPr>
          <w:p>
            <w:pPr>
              <w:spacing w:after="0"/>
              <w:rPr>
                <w:sz w:val="20"/>
                <w:szCs w:val="20"/>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use the net proceeds from this offering:</w:t>
            </w:r>
          </w:p>
        </w:tc>
      </w:tr>
      <w:tr>
        <w:trPr>
          <w:trHeight w:val="459"/>
        </w:trPr>
        <w:tc>
          <w:tcPr>
            <w:tcW w:w="44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140" w:type="dxa"/>
            <w:vAlign w:val="bottom"/>
          </w:tcPr>
          <w:p>
            <w:pPr>
              <w:ind w:left="220"/>
              <w:spacing w:after="0"/>
              <w:rPr>
                <w:sz w:val="20"/>
                <w:szCs w:val="20"/>
                <w:color w:val="auto"/>
              </w:rPr>
            </w:pPr>
            <w:r>
              <w:rPr>
                <w:rFonts w:ascii="Arial" w:cs="Arial" w:eastAsia="Arial" w:hAnsi="Arial"/>
                <w:sz w:val="18"/>
                <w:szCs w:val="18"/>
                <w:color w:val="auto"/>
              </w:rPr>
              <w:t>to conduct a clinical trial in selected cancer patient populations;</w:t>
            </w:r>
          </w:p>
        </w:tc>
      </w:tr>
      <w:tr>
        <w:trPr>
          <w:trHeight w:val="445"/>
        </w:trPr>
        <w:tc>
          <w:tcPr>
            <w:tcW w:w="44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140" w:type="dxa"/>
            <w:vAlign w:val="bottom"/>
          </w:tcPr>
          <w:p>
            <w:pPr>
              <w:ind w:left="220"/>
              <w:spacing w:after="0"/>
              <w:rPr>
                <w:sz w:val="20"/>
                <w:szCs w:val="20"/>
                <w:color w:val="auto"/>
              </w:rPr>
            </w:pPr>
            <w:r>
              <w:rPr>
                <w:rFonts w:ascii="Arial" w:cs="Arial" w:eastAsia="Arial" w:hAnsi="Arial"/>
                <w:sz w:val="18"/>
                <w:szCs w:val="18"/>
                <w:color w:val="auto"/>
                <w:w w:val="96"/>
              </w:rPr>
              <w:t>to support the ongoing Temferon TEM-GBM 001 trial and its long term follow</w:t>
            </w:r>
          </w:p>
        </w:tc>
      </w:tr>
      <w:tr>
        <w:trPr>
          <w:trHeight w:val="230"/>
        </w:trPr>
        <w:tc>
          <w:tcPr>
            <w:tcW w:w="442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95"/>
              </w:rPr>
              <w:t>up;</w:t>
            </w:r>
          </w:p>
        </w:tc>
        <w:tc>
          <w:tcPr>
            <w:tcW w:w="6140" w:type="dxa"/>
            <w:vAlign w:val="bottom"/>
          </w:tcPr>
          <w:p>
            <w:pPr>
              <w:spacing w:after="0"/>
              <w:rPr>
                <w:sz w:val="20"/>
                <w:szCs w:val="20"/>
                <w:color w:val="auto"/>
              </w:rPr>
            </w:pPr>
          </w:p>
        </w:tc>
      </w:tr>
      <w:tr>
        <w:trPr>
          <w:trHeight w:val="459"/>
        </w:trPr>
        <w:tc>
          <w:tcPr>
            <w:tcW w:w="44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140" w:type="dxa"/>
            <w:vAlign w:val="bottom"/>
          </w:tcPr>
          <w:p>
            <w:pPr>
              <w:ind w:left="220"/>
              <w:spacing w:after="0"/>
              <w:rPr>
                <w:sz w:val="20"/>
                <w:szCs w:val="20"/>
                <w:color w:val="auto"/>
              </w:rPr>
            </w:pPr>
            <w:r>
              <w:rPr>
                <w:rFonts w:ascii="Arial" w:cs="Arial" w:eastAsia="Arial" w:hAnsi="Arial"/>
                <w:sz w:val="18"/>
                <w:szCs w:val="18"/>
                <w:color w:val="auto"/>
                <w:w w:val="98"/>
              </w:rPr>
              <w:t>to start a new Temferon clinical program in a second solid tumor indication;</w:t>
            </w:r>
          </w:p>
        </w:tc>
      </w:tr>
      <w:tr>
        <w:trPr>
          <w:trHeight w:val="445"/>
        </w:trPr>
        <w:tc>
          <w:tcPr>
            <w:tcW w:w="44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140" w:type="dxa"/>
            <w:vAlign w:val="bottom"/>
          </w:tcPr>
          <w:p>
            <w:pPr>
              <w:ind w:left="220"/>
              <w:spacing w:after="0"/>
              <w:rPr>
                <w:sz w:val="20"/>
                <w:szCs w:val="20"/>
                <w:color w:val="auto"/>
              </w:rPr>
            </w:pPr>
            <w:r>
              <w:rPr>
                <w:rFonts w:ascii="Arial" w:cs="Arial" w:eastAsia="Arial" w:hAnsi="Arial"/>
                <w:sz w:val="18"/>
                <w:szCs w:val="18"/>
                <w:color w:val="auto"/>
                <w:w w:val="91"/>
              </w:rPr>
              <w:t>to fund further preclinical research for the development of Temferon across broad</w:t>
            </w:r>
          </w:p>
        </w:tc>
      </w:tr>
      <w:tr>
        <w:trPr>
          <w:trHeight w:val="230"/>
        </w:trPr>
        <w:tc>
          <w:tcPr>
            <w:tcW w:w="4420" w:type="dxa"/>
            <w:vAlign w:val="bottom"/>
          </w:tcPr>
          <w:p>
            <w:pPr>
              <w:spacing w:after="0"/>
              <w:rPr>
                <w:sz w:val="20"/>
                <w:szCs w:val="20"/>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cancer indications;</w:t>
            </w:r>
          </w:p>
        </w:tc>
      </w:tr>
      <w:tr>
        <w:trPr>
          <w:trHeight w:val="445"/>
        </w:trPr>
        <w:tc>
          <w:tcPr>
            <w:tcW w:w="44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140" w:type="dxa"/>
            <w:vAlign w:val="bottom"/>
          </w:tcPr>
          <w:p>
            <w:pPr>
              <w:ind w:left="220"/>
              <w:spacing w:after="0"/>
              <w:rPr>
                <w:sz w:val="20"/>
                <w:szCs w:val="20"/>
                <w:color w:val="auto"/>
              </w:rPr>
            </w:pPr>
            <w:r>
              <w:rPr>
                <w:rFonts w:ascii="Arial" w:cs="Arial" w:eastAsia="Arial" w:hAnsi="Arial"/>
                <w:sz w:val="18"/>
                <w:szCs w:val="18"/>
                <w:color w:val="auto"/>
                <w:w w:val="93"/>
              </w:rPr>
              <w:t>to fund Temferon manufacturing activities including LVV manufacturing, stability</w:t>
            </w:r>
          </w:p>
        </w:tc>
      </w:tr>
      <w:tr>
        <w:trPr>
          <w:trHeight w:val="230"/>
        </w:trPr>
        <w:tc>
          <w:tcPr>
            <w:tcW w:w="4420" w:type="dxa"/>
            <w:vAlign w:val="bottom"/>
          </w:tcPr>
          <w:p>
            <w:pPr>
              <w:spacing w:after="0"/>
              <w:rPr>
                <w:sz w:val="20"/>
                <w:szCs w:val="20"/>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and process scalability studies, and tech transfer activities; and</w:t>
            </w:r>
          </w:p>
        </w:tc>
      </w:tr>
      <w:tr>
        <w:trPr>
          <w:trHeight w:val="459"/>
        </w:trPr>
        <w:tc>
          <w:tcPr>
            <w:tcW w:w="44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140" w:type="dxa"/>
            <w:vAlign w:val="bottom"/>
          </w:tcPr>
          <w:p>
            <w:pPr>
              <w:ind w:left="180"/>
              <w:spacing w:after="0"/>
              <w:rPr>
                <w:sz w:val="20"/>
                <w:szCs w:val="20"/>
                <w:color w:val="auto"/>
              </w:rPr>
            </w:pPr>
            <w:r>
              <w:rPr>
                <w:rFonts w:ascii="Arial" w:cs="Arial" w:eastAsia="Arial" w:hAnsi="Arial"/>
                <w:sz w:val="18"/>
                <w:szCs w:val="18"/>
                <w:color w:val="auto"/>
              </w:rPr>
              <w:t>working capital and general corporate purposes.</w:t>
            </w:r>
          </w:p>
        </w:tc>
      </w:tr>
      <w:tr>
        <w:trPr>
          <w:trHeight w:val="445"/>
        </w:trPr>
        <w:tc>
          <w:tcPr>
            <w:tcW w:w="4420" w:type="dxa"/>
            <w:vAlign w:val="bottom"/>
          </w:tcPr>
          <w:p>
            <w:pPr>
              <w:spacing w:after="0"/>
              <w:rPr>
                <w:sz w:val="24"/>
                <w:szCs w:val="24"/>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w w:val="93"/>
              </w:rPr>
              <w:t>See “Use of Proceeds” for additional information. See “Use of Proceeds” for additional</w:t>
            </w:r>
          </w:p>
        </w:tc>
      </w:tr>
      <w:tr>
        <w:trPr>
          <w:trHeight w:val="230"/>
        </w:trPr>
        <w:tc>
          <w:tcPr>
            <w:tcW w:w="4420" w:type="dxa"/>
            <w:vAlign w:val="bottom"/>
          </w:tcPr>
          <w:p>
            <w:pPr>
              <w:spacing w:after="0"/>
              <w:rPr>
                <w:sz w:val="20"/>
                <w:szCs w:val="20"/>
                <w:color w:val="auto"/>
              </w:rPr>
            </w:pP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information.</w:t>
            </w:r>
          </w:p>
        </w:tc>
      </w:tr>
    </w:tbl>
    <w:p>
      <w:pPr>
        <w:ind w:left="60"/>
        <w:spacing w:after="0"/>
        <w:rPr>
          <w:sz w:val="20"/>
          <w:szCs w:val="20"/>
          <w:color w:val="auto"/>
        </w:rPr>
        <w:sectPr>
          <w:pgSz w:w="11900" w:h="16838" w:orient="portrait"/>
          <w:cols w:equalWidth="0" w:num="1">
            <w:col w:w="10880"/>
          </w:cols>
          <w:pgMar w:left="480" w:top="985" w:right="539" w:bottom="0" w:gutter="0" w:footer="0" w:header="0"/>
        </w:sect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10135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10135870"/>
                    </a:xfrm>
                    <a:prstGeom prst="rect">
                      <a:avLst/>
                    </a:prstGeom>
                    <a:noFill/>
                  </pic:spPr>
                </pic:pic>
              </a:graphicData>
            </a:graphic>
          </wp:anchor>
        </w:drawing>
      </w:r>
    </w:p>
    <w:bookmarkStart w:id="15" w:name="page16"/>
    <w:bookmarkEnd w:id="15"/>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210185</wp:posOffset>
            </wp:positionH>
            <wp:positionV relativeFrom="page">
              <wp:posOffset>88900</wp:posOffset>
            </wp:positionV>
            <wp:extent cx="7127875" cy="169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169545"/>
                    </a:xfrm>
                    <a:prstGeom prst="rect">
                      <a:avLst/>
                    </a:prstGeom>
                    <a:noFill/>
                  </pic:spPr>
                </pic:pic>
              </a:graphicData>
            </a:graphic>
          </wp:anchor>
        </w:drawing>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-283845</wp:posOffset>
            </wp:positionV>
            <wp:extent cx="7127875" cy="3647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7875" cy="36474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420"/>
          </w:cols>
          <w:pgMar w:left="480" w:top="989" w:right="51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Custodian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of New York Mellon, as custodian, acting through an office located in the United Kingdom</w:t>
      </w:r>
    </w:p>
    <w:p>
      <w:pPr>
        <w:spacing w:after="0" w:line="170"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Proposed Nasdaq trading symbol and listing</w:t>
      </w:r>
    </w:p>
    <w:p>
      <w:pPr>
        <w:spacing w:after="0" w:line="20" w:lineRule="exact"/>
        <w:rPr>
          <w:sz w:val="20"/>
          <w:szCs w:val="20"/>
          <w:color w:val="auto"/>
        </w:rPr>
      </w:pPr>
      <w:r>
        <w:rPr>
          <w:sz w:val="20"/>
          <w:szCs w:val="20"/>
          <w:color w:val="auto"/>
        </w:rPr>
        <w:br w:type="column"/>
      </w:r>
    </w:p>
    <w:p>
      <w:pPr>
        <w:ind w:right="220"/>
        <w:spacing w:after="0" w:line="263" w:lineRule="auto"/>
        <w:rPr>
          <w:sz w:val="20"/>
          <w:szCs w:val="20"/>
          <w:color w:val="auto"/>
        </w:rPr>
      </w:pPr>
      <w:r>
        <w:rPr>
          <w:rFonts w:ascii="Arial" w:cs="Arial" w:eastAsia="Arial" w:hAnsi="Arial"/>
          <w:sz w:val="18"/>
          <w:szCs w:val="18"/>
          <w:color w:val="auto"/>
        </w:rPr>
        <w:t>We have applied to list the ADSs on the Nasdaq Capital Market under the symbol “GNTA.” No assurance can be given that such listing will be approved or that a liquid trading market will develop for the ADSs.</w:t>
      </w:r>
    </w:p>
    <w:p>
      <w:pPr>
        <w:spacing w:after="0" w:line="184"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7"/>
          <w:szCs w:val="17"/>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Our directors, executive officers, and certain shareholders have agreed with the underwriters not to offer for sale, issue, sell, contract to sell, pledge or otherwise dispose of any of our ordinary shares or securities convertible into ordinary shares for a period of 180 days following the date of this prospectus. See “Underwriting.”</w:t>
      </w:r>
    </w:p>
    <w:p>
      <w:pPr>
        <w:spacing w:after="0" w:line="17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You should read the “Risk Factors” section starting on page 12 of this prospectus for a discussion of factors to consider carefully before deciding to invest in our securities.</w:t>
      </w:r>
    </w:p>
    <w:p>
      <w:pPr>
        <w:spacing w:after="0" w:line="15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jc w:val="both"/>
        <w:ind w:right="360" w:firstLine="648"/>
        <w:spacing w:after="0" w:line="263" w:lineRule="auto"/>
        <w:rPr>
          <w:sz w:val="20"/>
          <w:szCs w:val="20"/>
          <w:color w:val="auto"/>
        </w:rPr>
      </w:pPr>
      <w:r>
        <w:rPr>
          <w:rFonts w:ascii="Arial" w:cs="Arial" w:eastAsia="Arial" w:hAnsi="Arial"/>
          <w:sz w:val="18"/>
          <w:szCs w:val="18"/>
          <w:color w:val="auto"/>
        </w:rPr>
        <w:t>The number of our ordinary shares that are and will be outstanding immediately before and after this offering as shown above is based on 15,000,000 ordinary shares, with no par value, outstanding as of June 30, 2021, and excludes ordinary shares that are available for future issuance under our 2021-2025 Equity Incentive Plan.</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Unless otherwise indicated, this prospectus reflects and assumes no exercise by the underwriters of their over-allotment option or the warrants to purchase ADSs at an exercise price per share equal to 125% of the initial public offering price per ADS or $14.375, that will be issued to the representatives of the underwriters in connection with this offering (the “Representatives’ Warrants”).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916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7875" cy="7916545"/>
                    </a:xfrm>
                    <a:prstGeom prst="rect">
                      <a:avLst/>
                    </a:prstGeom>
                    <a:noFill/>
                  </pic:spPr>
                </pic:pic>
              </a:graphicData>
            </a:graphic>
          </wp:anchor>
        </w:drawing>
        <w:t>SUMMARY FINANCIAL DATA</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derived the following summary statements of operations data for the years ended December 31, 2020 and 2019, and the six months ended June 30, 2021 and 2020, and summary balance sheet data as of June 30, 2021 from our audited and unaudited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 and are qualified entirely by reference to such financial statements.</w:t>
      </w:r>
    </w:p>
    <w:p>
      <w:pPr>
        <w:spacing w:after="0" w:line="21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financial statements included in this prospectus are prepared and presented in accordance with accounting principles generally accepted in the United States, or U.S. GAAP.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4"/>
          </w:tcPr>
          <w:p>
            <w:pPr>
              <w:jc w:val="right"/>
              <w:ind w:right="87"/>
              <w:spacing w:after="0"/>
              <w:rPr>
                <w:sz w:val="20"/>
                <w:szCs w:val="20"/>
                <w:color w:val="auto"/>
              </w:rPr>
            </w:pPr>
            <w:r>
              <w:rPr>
                <w:rFonts w:ascii="Arial" w:cs="Arial" w:eastAsia="Arial" w:hAnsi="Arial"/>
                <w:sz w:val="18"/>
                <w:szCs w:val="18"/>
                <w:color w:val="auto"/>
              </w:rPr>
              <w:t>Year Ended</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jc w:val="center"/>
              <w:ind w:right="301"/>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80" w:type="dxa"/>
            <w:vAlign w:val="bottom"/>
            <w:gridSpan w:val="2"/>
          </w:tcPr>
          <w:p>
            <w:pPr>
              <w:spacing w:after="0"/>
              <w:rPr>
                <w:sz w:val="20"/>
                <w:szCs w:val="20"/>
                <w:color w:val="auto"/>
              </w:rPr>
            </w:pPr>
            <w:r>
              <w:rPr>
                <w:rFonts w:ascii="Arial" w:cs="Arial" w:eastAsia="Arial" w:hAnsi="Arial"/>
                <w:sz w:val="18"/>
                <w:szCs w:val="18"/>
                <w:color w:val="auto"/>
              </w:rPr>
              <w:t>in Euros, except share data</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91"/>
              </w:rPr>
              <w:t>(Unaudited)</w:t>
            </w: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4,688,461</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3,702,982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3,199,234</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901,765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842,236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Foreign exchange loss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(7,754)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(9,552)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(4,597,723)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(2,479,304)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(5,592,014)</w:t>
            </w: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(4,597,723)</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information (unaudited):</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 forma net loss</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(5,592,014)</w:t>
            </w:r>
          </w:p>
        </w:tc>
        <w:tc>
          <w:tcPr>
            <w:tcW w:w="5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Pro forma net loss per share - basic and diluted</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spacing w:after="0" w:line="195" w:lineRule="exact"/>
              <w:rPr>
                <w:sz w:val="20"/>
                <w:szCs w:val="20"/>
                <w:color w:val="auto"/>
              </w:rPr>
            </w:pPr>
            <w:r>
              <w:rPr>
                <w:rFonts w:ascii="Arial" w:cs="Arial" w:eastAsia="Arial" w:hAnsi="Arial"/>
                <w:sz w:val="18"/>
                <w:szCs w:val="18"/>
                <w:color w:val="auto"/>
                <w:w w:val="89"/>
              </w:rPr>
              <w:t>Weighted average pro forma number of shares outstanding -</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14,539,534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12,651,158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14,772,610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14,420,904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320" w:right="100" w:hanging="315"/>
        <w:spacing w:after="0" w:line="231" w:lineRule="auto"/>
        <w:tabs>
          <w:tab w:leader="none" w:pos="320" w:val="left"/>
        </w:tabs>
        <w:numPr>
          <w:ilvl w:val="0"/>
          <w:numId w:val="11"/>
        </w:numPr>
        <w:rPr>
          <w:rFonts w:ascii="Arial" w:cs="Arial" w:eastAsia="Arial" w:hAnsi="Arial"/>
          <w:sz w:val="12"/>
          <w:szCs w:val="12"/>
          <w:color w:val="auto"/>
        </w:rPr>
      </w:pPr>
      <w:r>
        <w:rPr>
          <w:rFonts w:ascii="Arial" w:cs="Arial" w:eastAsia="Arial" w:hAnsi="Arial"/>
          <w:sz w:val="14"/>
          <w:szCs w:val="14"/>
          <w:color w:val="auto"/>
        </w:rPr>
        <w:t>We have presented pro forma basic and diluted loss per share for the years ended December 31, 2020 and 2019 and the six months ended June 30, 2021 and 2020, which consists of our historical loss attributable to Genenta Science S.r.l., divided by the pro forma basic and diluted weighted average number of shares outstanding after giving effect to the Corporate Conversion. See Notes 2 and 10 to our interim financial statements and our Management Discussion and Analysis included elsewhere in this prospectus for additional information regarding the method used to calculate the pro forma basic and diluted loss per share and the pro forma weighted average number of shares used in the computation of the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center"/>
              <w:ind w:left="918"/>
              <w:spacing w:after="0"/>
              <w:rPr>
                <w:sz w:val="20"/>
                <w:szCs w:val="20"/>
                <w:color w:val="auto"/>
              </w:rPr>
            </w:pPr>
            <w:r>
              <w:rPr>
                <w:rFonts w:ascii="Arial" w:cs="Arial" w:eastAsia="Arial" w:hAnsi="Arial"/>
                <w:sz w:val="14"/>
                <w:szCs w:val="14"/>
                <w:b w:val="1"/>
                <w:bCs w:val="1"/>
                <w:color w:val="auto"/>
                <w:w w:val="91"/>
              </w:rPr>
              <w:t>As of</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4"/>
          </w:tcPr>
          <w:p>
            <w:pPr>
              <w:jc w:val="center"/>
              <w:ind w:left="918"/>
              <w:spacing w:after="0" w:line="149" w:lineRule="exact"/>
              <w:rPr>
                <w:sz w:val="20"/>
                <w:szCs w:val="20"/>
                <w:color w:val="auto"/>
              </w:rPr>
            </w:pPr>
            <w:r>
              <w:rPr>
                <w:rFonts w:ascii="Arial" w:cs="Arial" w:eastAsia="Arial" w:hAnsi="Arial"/>
                <w:sz w:val="14"/>
                <w:szCs w:val="14"/>
                <w:b w:val="1"/>
                <w:bCs w:val="1"/>
                <w:color w:val="auto"/>
                <w:w w:val="92"/>
              </w:rPr>
              <w:t>June 30, 2021</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5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left="898"/>
              <w:spacing w:after="0"/>
              <w:rPr>
                <w:sz w:val="20"/>
                <w:szCs w:val="20"/>
                <w:color w:val="auto"/>
              </w:rPr>
            </w:pPr>
            <w:r>
              <w:rPr>
                <w:rFonts w:ascii="Arial" w:cs="Arial" w:eastAsia="Arial" w:hAnsi="Arial"/>
                <w:sz w:val="14"/>
                <w:szCs w:val="14"/>
                <w:b w:val="1"/>
                <w:bCs w:val="1"/>
                <w:color w:val="auto"/>
                <w:w w:val="95"/>
              </w:rPr>
              <w:t>(Unaudited)</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6"/>
        </w:trPr>
        <w:tc>
          <w:tcPr>
            <w:tcW w:w="5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jc w:val="right"/>
              <w:ind w:right="435"/>
              <w:spacing w:after="0" w:line="136" w:lineRule="exact"/>
              <w:rPr>
                <w:sz w:val="20"/>
                <w:szCs w:val="20"/>
                <w:color w:val="auto"/>
              </w:rPr>
            </w:pPr>
            <w:r>
              <w:rPr>
                <w:rFonts w:ascii="Arial" w:cs="Arial" w:eastAsia="Arial" w:hAnsi="Arial"/>
                <w:sz w:val="14"/>
                <w:szCs w:val="14"/>
                <w:b w:val="1"/>
                <w:bCs w:val="1"/>
                <w:color w:val="auto"/>
              </w:rPr>
              <w:t>Proforma</w:t>
            </w:r>
          </w:p>
        </w:tc>
        <w:tc>
          <w:tcPr>
            <w:tcW w:w="100" w:type="dxa"/>
            <w:vAlign w:val="bottom"/>
          </w:tcPr>
          <w:p>
            <w:pPr>
              <w:spacing w:after="0"/>
              <w:rPr>
                <w:sz w:val="11"/>
                <w:szCs w:val="11"/>
                <w:color w:val="auto"/>
              </w:rPr>
            </w:pPr>
          </w:p>
        </w:tc>
      </w:tr>
      <w:tr>
        <w:trPr>
          <w:trHeight w:val="209"/>
        </w:trPr>
        <w:tc>
          <w:tcPr>
            <w:tcW w:w="5900" w:type="dxa"/>
            <w:vAlign w:val="bottom"/>
          </w:tcPr>
          <w:p>
            <w:pPr>
              <w:ind w:left="2700"/>
              <w:spacing w:after="0"/>
              <w:rPr>
                <w:sz w:val="20"/>
                <w:szCs w:val="20"/>
                <w:color w:val="auto"/>
              </w:rPr>
            </w:pPr>
            <w:r>
              <w:rPr>
                <w:rFonts w:ascii="Arial" w:cs="Arial" w:eastAsia="Arial" w:hAnsi="Arial"/>
                <w:sz w:val="14"/>
                <w:szCs w:val="14"/>
                <w:b w:val="1"/>
                <w:bCs w:val="1"/>
                <w:i w:val="1"/>
                <w:iCs w:val="1"/>
                <w:color w:val="auto"/>
              </w:rPr>
              <w:t>in Euros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23"/>
                <w:szCs w:val="23"/>
                <w:b w:val="1"/>
                <w:bCs w:val="1"/>
                <w:color w:val="auto"/>
                <w:w w:val="93"/>
                <w:vertAlign w:val="superscript"/>
              </w:rPr>
              <w:t>(1)</w:t>
            </w:r>
          </w:p>
        </w:tc>
      </w:tr>
      <w:tr>
        <w:trPr>
          <w:trHeight w:val="216"/>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10,553,906</w:t>
            </w: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33,967,971</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36,705,074</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21,645</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(25,538,377)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(25,538,377)</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11,601,054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35,015,119</w:t>
            </w:r>
          </w:p>
        </w:tc>
        <w:tc>
          <w:tcPr>
            <w:tcW w:w="100" w:type="dxa"/>
            <w:vAlign w:val="bottom"/>
          </w:tcPr>
          <w:p>
            <w:pPr>
              <w:spacing w:after="0"/>
              <w:rPr>
                <w:sz w:val="20"/>
                <w:szCs w:val="20"/>
                <w:color w:val="auto"/>
              </w:rPr>
            </w:pPr>
          </w:p>
        </w:tc>
      </w:tr>
    </w:tbl>
    <w:p>
      <w:pPr>
        <w:spacing w:after="0" w:line="250" w:lineRule="exact"/>
        <w:rPr>
          <w:sz w:val="20"/>
          <w:szCs w:val="20"/>
          <w:color w:val="auto"/>
        </w:rPr>
      </w:pPr>
    </w:p>
    <w:p>
      <w:pPr>
        <w:ind w:left="320" w:hanging="315"/>
        <w:spacing w:after="0" w:line="245" w:lineRule="auto"/>
        <w:tabs>
          <w:tab w:leader="none" w:pos="320" w:val="left"/>
        </w:tabs>
        <w:numPr>
          <w:ilvl w:val="0"/>
          <w:numId w:val="12"/>
        </w:numPr>
        <w:rPr>
          <w:rFonts w:ascii="Arial" w:cs="Arial" w:eastAsia="Arial" w:hAnsi="Arial"/>
          <w:sz w:val="11"/>
          <w:szCs w:val="11"/>
          <w:color w:val="auto"/>
        </w:rPr>
      </w:pPr>
      <w:r>
        <w:rPr>
          <w:rFonts w:ascii="Arial" w:cs="Arial" w:eastAsia="Arial" w:hAnsi="Arial"/>
          <w:sz w:val="13"/>
          <w:szCs w:val="13"/>
          <w:color w:val="auto"/>
        </w:rPr>
        <w:t>The as adjusted balance sheet data gives effect to the issuance and sale 2,608,695 securities, including ADSs, representing 1,608,695 ordinary shares, in this offering at the assumed initial public offering price of $11.50 per ADS or ordinary share, the midpoint of the price range set forth on the cover page of this prospectus, after deducting the estimated underwriting discounts, estimated advisory fees and estimated offering expenses payable by us. Each $1.00 increase (decrease) in the assumed initial public offering price of $11.50 per ADS would increase (decrease) the pro forma as adjusted amount of each of cash and cash equivalents, total assets and total equity by approximately €2.6 million, assuming that the number of ADSs offered by us, as set forth on the cover page of this prospectus, remains the same and after deducting the estimated underwriting discounts, estimated advisory fees and estimated offering expenses payable by us. Similarly, each increase (decrease) of 1.0 million in the number of ADSs and ordinary shares offered by us at the assumed initial public offering price would increase (decrease) each of cash and cash equivalents, total assets and total equity by approximately €11.5 million. The as adjusted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We operate in a dynamic and rapidly changing industry that involves numerous risks and uncertainties. You should consider carefully the risks described below, as well as the financial or other information included in this prospectus, including our financial statements and the related notes, before you decide to buy our securities. The risks and uncertainties described below are not the only risks facing us. We may face additional risks and uncertainties not currently known to us or that we currently deem to be immaterial. Any of the risks described below, and any such additional risks, could materially adversely affect our business, financial condition or results of operations. In such case, you may lose all or part of your original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limited operating history, which may make it difficult for you to evaluate the success of our business to date and to assess our future viability.</w:t>
      </w:r>
    </w:p>
    <w:p>
      <w:pPr>
        <w:spacing w:after="0" w:line="19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no products approved for commercial sale, have not generated any revenue from commercial sales of our product candidates, and have incurred losses each year since our inception. Our losses for the six months ended June 30, 2021 and 2020 were approximately €4.0 million and €2.5, respectively; and for the years ended December 31, 2020 and 2019 were approximately €5.6 million and €4.6 million, respectively. As of June 30, 2021 and December 31, 2020, we had an accumulated deficit of approximately €(25.5) million and €(21.5) million, respectively.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9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expect that it will be several years, if ever, before we have any product approved for commercial sale. We have funded our operations to date primarily through proceeds from the private placement of ordinary shares to our founding shareholders. We expect to continue to incur significant expenses and increasing operating losses for the foreseeable future. We anticipate that our expenses will increase substantially if, and as, we</w:t>
      </w:r>
    </w:p>
    <w:p>
      <w:pPr>
        <w:spacing w:after="0" w:line="176" w:lineRule="exact"/>
        <w:rPr>
          <w:sz w:val="20"/>
          <w:szCs w:val="20"/>
          <w:color w:val="auto"/>
        </w:rPr>
      </w:pPr>
    </w:p>
    <w:p>
      <w:pPr>
        <w:ind w:left="660" w:right="30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for our current product candidate Temferon and any additional product candidates that we may pursue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 w:name="page20"/>
    <w:bookmarkEnd w:id="19"/>
    <w:p>
      <w:pPr>
        <w:ind w:left="660" w:right="1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 if any, including obtaining orphan drug designation;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industrialize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into a robust, scalable and, if approved, commercially viable process;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and retain qualified technical personnel, such as clinical, quality control, commercial and scientific personnel;</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infrastructure and facilities to support our operations, including adding equipment and physical infrastructure to support our research and development;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revenue from product sales and may never be profitable.</w:t>
      </w:r>
    </w:p>
    <w:p>
      <w:pPr>
        <w:spacing w:after="0" w:line="25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spacing w:after="0" w:line="21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research and pre- and non-clinical development of our products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 if any;</w:t>
      </w:r>
    </w:p>
    <w:p>
      <w:pPr>
        <w:spacing w:after="0" w:line="184"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for marketing, as viable treatment options.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 w:name="page21"/>
    <w:bookmarkEnd w:id="20"/>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June 30, 2021 and December 31, 2020, our cash and cash equivalents were approximately €10.6 and €15.5 million, respectively. If we continue to use cash at our historical rates of use we will need significant additional financing, which we may seek through a combination of private and public equity offerings, debt financings and collaboration, strategic alliance and licensing arrangements.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 strategic alliance or licensing arrangements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660" w:right="2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 and non-clinical development and clinical trials for our product candidates, including Temferon;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and trademark applications, maintaining and enforcing our intellectual property rights and defending our intellectual property-related claims;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5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184"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19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We have concentrated our research and development efforts on our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188"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obtaining regulatory approval for our product candidates, as the FDA, the EMA, the AIFA and other regulatory authorities have limited experience with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therapies for cancer;</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developing and deploying consistent and reliable processes for engineering a patient’s HSPCs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infusing the engineered HSPCs back into the patient;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of the materials used to manufacture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creating viral vectors capable of delivering multiple programming modules;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developing a reliable and consistent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modification and manufacturing process;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securing manufacturing capacity suitable for the manufacture of our product candidates in line with expanding enrollment in our clinical studies and our projected commercial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minimizing and avoiding infection and contamination during production of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educating medical personnel regarding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technologies and the potential side effect profile of each of our product candidates, such as potential adverse effects related to pyrexia and infections;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cell therapies;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2" w:name="page23"/>
    <w:bookmarkEnd w:id="22"/>
    <w:p>
      <w:pPr>
        <w:jc w:val="both"/>
        <w:ind w:right="160" w:firstLine="648"/>
        <w:spacing w:after="0" w:line="263" w:lineRule="auto"/>
        <w:rPr>
          <w:sz w:val="20"/>
          <w:szCs w:val="20"/>
          <w:color w:val="auto"/>
        </w:rPr>
      </w:pPr>
      <w:r>
        <w:rPr>
          <w:rFonts w:ascii="Arial" w:cs="Arial" w:eastAsia="Arial" w:hAnsi="Arial"/>
          <w:sz w:val="18"/>
          <w:szCs w:val="18"/>
          <w:color w:val="auto"/>
        </w:rPr>
        <w:t xml:space="preserve">We may not be able to successfully develop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211" w:lineRule="exact"/>
        <w:rPr>
          <w:sz w:val="20"/>
          <w:szCs w:val="20"/>
          <w:color w:val="auto"/>
        </w:rPr>
      </w:pPr>
    </w:p>
    <w:p>
      <w:pPr>
        <w:ind w:left="660" w:right="2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regulatory requirements governing gene and cell therapy products have changed frequently and may continue to change in the future. To date, few CAR-T cell therapy products that involve the genetic modification of patient cells have been approved in the United States and/or the European Union, and no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have been approved by any regulatory authority. In this regard, the European Commission has granted conditional marketing authorization for ZYNTEGLO;</w:t>
      </w:r>
    </w:p>
    <w:p>
      <w:pPr>
        <w:spacing w:after="0" w:line="1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genetically modified products could lead to lymphoma, leukemia or other cancers, or other aberrantly functioning cells in the event of improper insertion of a gene sequence into a patient’s chromosome, or due to other unknown causes;</w:t>
      </w:r>
    </w:p>
    <w:p>
      <w:pPr>
        <w:spacing w:after="0" w:line="12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129"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21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0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Our gene therapy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23" w:name="page24"/>
    <w:bookmarkEnd w:id="23"/>
    <w:p>
      <w:pPr>
        <w:ind w:firstLine="648"/>
        <w:spacing w:after="0" w:line="279"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reported cases of leukemia with the use of gammaretrovirus vector and patient deaths in other clinical trials. There have been recent case reports of suspected unexpected serious adverse reactions (SUSARs) involving an ex-vivo transduced lentivirus vector (LVV) gene therapy product, BlueBird Bio’s elivaldogene autotemcel (“Lenti-D”), involving two SUSARs for cases of acute myeloid leukemia (AML), and one case involving myelodysplastic syndrome.</w:t>
      </w:r>
    </w:p>
    <w:p>
      <w:pPr>
        <w:spacing w:after="0" w:line="17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safety concern for gene therapies using viral vectors has been the possibility of insertional mutagenesis by the vectors, leading to malignant transformation of transduced cells. While our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hemapoietic stem progenitor cells (HSPCs)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spacing w:after="0" w:line="20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(ASCT),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two GBM patients died (day +60 and +122) due to complications following the conditioning regimens.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Patient deaths and severe adverse effects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4" w:name="page25"/>
    <w:bookmarkEnd w:id="24"/>
    <w:p>
      <w:pPr>
        <w:ind w:right="140" w:firstLine="648"/>
        <w:spacing w:after="0" w:line="255"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and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21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evaluating Temferon in a Phase 1/2a clinical trial in newly diagnosed unmethylated MGMT gene promoter glioblastoma tumor patients (TEM-GBM Study). To date, the TEM-GBM Study is ongoing and not complete.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at a very early stage of development for all of our gene therapy product candidates. At this stage, only our lead product candidate Temferon has been authorized by the AIFA to be evaluated in a Phase 1/2a clinical trial in Italy. A study testing Temferon in multiple myeloma study was also approved by AIFA, but we closed the study due to lack of enrollment feasibility, rather than clinical events, as no multiple myeloma patients have been treated with Temferon.</w:t>
      </w:r>
    </w:p>
    <w:p>
      <w:pPr>
        <w:spacing w:after="0" w:line="21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order to commence a clinical trial in the United States, we will be required to seek FDA acceptance of an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w:t>
      </w:r>
    </w:p>
    <w:p>
      <w:pPr>
        <w:spacing w:after="0" w:line="21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If so, the FDA or EMA may require us to obtain and submit additional preclinical, manufacturing or clinical data.</w:t>
      </w:r>
    </w:p>
    <w:p>
      <w:pPr>
        <w:spacing w:after="0" w:line="21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need to complete our Phase 1/2a clinical trial for Temferon, as well as additional clinical trials in order to obtain regulatory approvals to market Temferon. Carrying out later-stage clinical trials is a complicated process. We are a small organization with limited experience in preparing, submitting and prosecuting regulatory filings, and we have not previously submitted a biologics license application, or BLA, to the FDA for any product candidate.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5" w:name="page26"/>
    <w:bookmarkEnd w:id="25"/>
    <w:p>
      <w:pPr>
        <w:ind w:right="20" w:firstLine="648"/>
        <w:spacing w:after="0" w:line="255" w:lineRule="auto"/>
        <w:rPr>
          <w:sz w:val="20"/>
          <w:szCs w:val="20"/>
          <w:color w:val="auto"/>
        </w:rPr>
      </w:pPr>
      <w:r>
        <w:rPr>
          <w:rFonts w:ascii="Arial" w:cs="Arial" w:eastAsia="Arial" w:hAnsi="Arial"/>
          <w:sz w:val="18"/>
          <w:szCs w:val="18"/>
          <w:color w:val="auto"/>
        </w:rPr>
        <w:t>In addition, we have not yet conducted clinical trials of any our product candidates in the United States,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substantial delays in commencement and completion of clinical trials.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a number of reasons, including:</w:t>
      </w:r>
    </w:p>
    <w:p>
      <w:pPr>
        <w:spacing w:after="0" w:line="21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9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CROs, other third parties or us to adhere to clinical trial protocol and record keeping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trial sites or patients dropping out of a study;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occurrence of SAEs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FDA or the EMA or other regulatory authorities elect to enact policy changes, as a result of the COVID-19 pandemic or otherwise.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26" w:name="page27"/>
    <w:bookmarkEnd w:id="26"/>
    <w:p>
      <w:pPr>
        <w:jc w:val="both"/>
        <w:ind w:right="20" w:firstLine="648"/>
        <w:spacing w:after="0" w:line="263"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a data safety monitoring board overseeing the clinical trial at issue or by other regulatory authorities due to a number of factors, including:</w:t>
      </w:r>
    </w:p>
    <w:p>
      <w:pPr>
        <w:spacing w:after="0" w:line="21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safety issues (including those that result from the COVID-19 pandemic) or lack of effectiveness;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91" w:lineRule="exact"/>
        <w:rPr>
          <w:sz w:val="20"/>
          <w:szCs w:val="20"/>
          <w:color w:val="auto"/>
        </w:rPr>
      </w:pPr>
    </w:p>
    <w:p>
      <w:pPr>
        <w:jc w:val="both"/>
        <w:ind w:right="1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spacing w:after="0" w:line="1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 available. In general, we conduct interim analyses at pre-specified times, which do not include data subsequent to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20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A number of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7" w:name="page28"/>
    <w:bookmarkEnd w:id="27"/>
    <w:p>
      <w:pPr>
        <w:ind w:right="40" w:firstLine="648"/>
        <w:spacing w:after="0" w:line="269" w:lineRule="auto"/>
        <w:rPr>
          <w:sz w:val="20"/>
          <w:szCs w:val="20"/>
          <w:color w:val="auto"/>
        </w:rPr>
      </w:pPr>
      <w:r>
        <w:rPr>
          <w:rFonts w:ascii="Arial" w:cs="Arial" w:eastAsia="Arial" w:hAnsi="Arial"/>
          <w:sz w:val="17"/>
          <w:szCs w:val="17"/>
          <w:color w:val="auto"/>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the ability to obtain and maintain subject consent; the risk that enrolled subjects will drop out before completion of the trial.</w:t>
      </w:r>
    </w:p>
    <w:p>
      <w:pPr>
        <w:spacing w:after="0" w:line="21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the evolving COVID-19 pandemic may directly or indirectly impact the pace of enrollment in our clinical trials as patients may avoid or may not be able to travel to healthcare facilities and physicians’ offices due to a health emergency and clinical trial staff can no longer get to the clinic. Additionally, such facilities and offices have been and may continue to be required to focus limited resources on non-clinical trial matters, including treatment of COVID-19 patients, thereby decreasing availability, in whole or in part, for clinical trial services. See “Risks Related to Our Business Operations – We face business disruption and related risks resulting from the recent outbreak of COVID-19, which could have a material adverse effect on our business and results of operations” for additional information.</w:t>
      </w:r>
    </w:p>
    <w:p>
      <w:pPr>
        <w:spacing w:after="0" w:line="21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The results of clinical trials conducted at clinical sites outside the United States may not be accepted by the FDA and the results of clinical trials conducted at clinical sites in the United States may not be accepted by international regulatory authorities.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date our only ongoing recruiting clinical trial has been conducted in Europe but we are planning to globally develop Temferon, including in the United States. Although the FDA may accept data from clinical trials conducted outside the United States,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United States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outside of the location in which each regulatory authority is based as adequate support of a marketing application in a given jurisdiction. If the FDA does not accept the data from sites in our globally conducted clinical trials, or if international regulatory authorities do not accept the data from our U.S. clinical trials, it would likely result in the need for additional trials, which would be costly and time-consuming and could delay or permanently halt the development of one or more of our product candidates.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8" w:name="page29"/>
    <w:bookmarkEnd w:id="28"/>
    <w:p>
      <w:pPr>
        <w:ind w:right="220" w:firstLine="648"/>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including the United States, is subject to numerous risks unique to conducting business in foreign countries, including:</w:t>
      </w:r>
    </w:p>
    <w:p>
      <w:pPr>
        <w:spacing w:after="0" w:line="19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84"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laws, medical standards and regulatory requirements, including the regulation of pharmaceutical and biotechnology products and treatment.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9" w:name="page30"/>
    <w:bookmarkEnd w:id="29"/>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21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FDA,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20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0" w:name="page31"/>
    <w:bookmarkEnd w:id="30"/>
    <w:p>
      <w:pPr>
        <w:ind w:firstLine="648"/>
        <w:spacing w:after="0" w:line="267"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applicant will provide the comprehensive clinical data post-authorization;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is still required.</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1" w:name="page32"/>
    <w:bookmarkEnd w:id="31"/>
    <w:p>
      <w:pPr>
        <w:ind w:right="200" w:firstLine="648"/>
        <w:spacing w:after="0" w:line="279" w:lineRule="auto"/>
        <w:rPr>
          <w:sz w:val="20"/>
          <w:szCs w:val="20"/>
          <w:color w:val="auto"/>
        </w:rPr>
      </w:pPr>
      <w:r>
        <w:rPr>
          <w:rFonts w:ascii="Arial" w:cs="Arial" w:eastAsia="Arial" w:hAnsi="Arial"/>
          <w:sz w:val="17"/>
          <w:szCs w:val="17"/>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19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or a patient population of 200,000 or more individuals in the United States, but for which there is no reasonable expectation that the cost of developing the drug will be recovered from sales in the United States.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209" w:lineRule="exact"/>
        <w:rPr>
          <w:sz w:val="20"/>
          <w:szCs w:val="20"/>
          <w:color w:val="auto"/>
        </w:rPr>
      </w:pPr>
    </w:p>
    <w:p>
      <w:pPr>
        <w:ind w:right="360" w:firstLine="648"/>
        <w:spacing w:after="0" w:line="275" w:lineRule="auto"/>
        <w:rPr>
          <w:sz w:val="20"/>
          <w:szCs w:val="20"/>
          <w:color w:val="auto"/>
        </w:rPr>
      </w:pPr>
      <w:r>
        <w:rPr>
          <w:rFonts w:ascii="Arial" w:cs="Arial" w:eastAsia="Arial" w:hAnsi="Arial"/>
          <w:sz w:val="17"/>
          <w:szCs w:val="17"/>
          <w:color w:val="auto"/>
        </w:rPr>
        <w:t>If we request orphan drug designation (or the international equivalent) for Temferon 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0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215" w:lineRule="exact"/>
        <w:rPr>
          <w:sz w:val="20"/>
          <w:szCs w:val="20"/>
          <w:color w:val="auto"/>
        </w:rPr>
      </w:pPr>
    </w:p>
    <w:p>
      <w:pPr>
        <w:ind w:left="660" w:right="8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2" w:name="page33"/>
    <w:bookmarkEnd w:id="32"/>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207"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and maintain regulatory approval for a product candidate, our products will remain subject to ongoing regulatory oversight.</w:t>
      </w:r>
    </w:p>
    <w:p>
      <w:pPr>
        <w:spacing w:after="0" w:line="2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United States,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or comparable foreign regulatory authorities, Department of Justice, Department of Health and Human Services’, or HHS,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or a comparable foreign regulatory authority’s strict requirements regarding the content of promotion and advertising.</w:t>
      </w:r>
    </w:p>
    <w:p>
      <w:pPr>
        <w:spacing w:after="0" w:line="21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or comparable foreign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0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fail to comply with applicable regulatory requirements, a regulatory authority may:</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an untitled letter or warning letter that we are in violation of the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511" w:gutter="0" w:footer="0" w:header="0"/>
        </w:sectPr>
      </w:pPr>
    </w:p>
    <w:bookmarkStart w:id="33" w:name="page34"/>
    <w:bookmarkEnd w:id="33"/>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refuse to approve BLA or comparable foreign marketing application (or any supplements thereto) submitted by us or our strategic partners;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the products or require the withdrawal of the product from the market;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permit the import or export of the products;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of our processes, quality systems, methods, and equipment are compliant with 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19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4" w:name="page35"/>
    <w:bookmarkEnd w:id="34"/>
    <w:p>
      <w:pPr>
        <w:ind w:right="80"/>
        <w:spacing w:after="0" w:line="308" w:lineRule="auto"/>
        <w:rPr>
          <w:sz w:val="20"/>
          <w:szCs w:val="20"/>
          <w:color w:val="auto"/>
        </w:rPr>
      </w:pPr>
      <w:r>
        <w:rPr>
          <w:rFonts w:ascii="Arial" w:cs="Arial" w:eastAsia="Arial" w:hAnsi="Arial"/>
          <w:sz w:val="17"/>
          <w:szCs w:val="17"/>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17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9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17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available therapies;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or warnings, including use restrictions contained in the product’s approved labeling;</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the EMA or other regulatory authority or agreed to by us as part of a mandatory or voluntary risk management plan;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alternative treatments, including competitive products expected to be commercially launched in the near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and cost effectiveness in relation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product is included under physician treatment guidelines as a first-, second,- or third-line therapy;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the willingness of patients to pay out-of-pocket in the absence of coverage by third-party payors;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5" w:name="page36"/>
    <w:bookmarkEnd w:id="35"/>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could harm our business.</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21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6" w:name="page37"/>
    <w:bookmarkEnd w:id="36"/>
    <w:p>
      <w:pPr>
        <w:ind w:right="140" w:firstLine="648"/>
        <w:spacing w:after="0" w:line="288"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or cost-effective for a specific indication, or that coverage or an adequate level of reimbursement will be available.</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abroad, and any approval we are granted for our product candidates in the United States would not assure approval of product candidates in foreign jurisdictions.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 and efficacy. The research, testing, manufacturing, labeling, approval, sale, marketing and distribution of drugs are subject to extensive regulation by the FDA in the United States and other regulatory authorities in other countries.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7" w:name="page38"/>
    <w:bookmarkEnd w:id="37"/>
    <w:p>
      <w:pPr>
        <w:ind w:right="60" w:firstLine="648"/>
        <w:spacing w:after="0" w:line="255" w:lineRule="auto"/>
        <w:rPr>
          <w:sz w:val="20"/>
          <w:szCs w:val="20"/>
          <w:color w:val="auto"/>
        </w:rPr>
      </w:pPr>
      <w:r>
        <w:rPr>
          <w:rFonts w:ascii="Arial" w:cs="Arial" w:eastAsia="Arial" w:hAnsi="Arial"/>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United States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21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21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20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Europe, the European Commission has granted marketing authorizations for several biosimilar products pursuant to a set of general and product class-specific guidelines for biosimilar approvals issued over the past few years. In the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19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9" w:name="page40"/>
    <w:bookmarkEnd w:id="39"/>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such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21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negative media attention;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or increased warnings on product labels;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to defend the related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 and our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clinical trial participants, patients or other claimants;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insurance premiums;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initiation of investigations by regulators or other authorities;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successfully commercialize our product candidates, if approved.</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21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product candidate, Temferon, is being studied for GBM patients with unmethylated MGMT status, as determined by a laboratory test. If approved for use only in uMGMT-GBM patients, use of such a laboratory test would be required for each patient before treatment with Temferon. There are several currently-marketed, CE-marked tests for uMGMT status in the EU, one or more of which may be used in our clinical trials and which we would expect to be used in clinical practice upon approval of Temferon. If a regulatory authority were, however, to deem that no currently-available tests are appropriate for use with Temferon, or if appropriate tests were to become commercially unavailable, we might be required to develop and obtain regulatory approval for our own version of such a companion diagnostic test, or work with another entity to develop such a test, in which case we could experience significant delays in obtaining regulatory approval or interruptions in our ability to market Temferon.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0" w:name="page41"/>
    <w:bookmarkEnd w:id="40"/>
    <w:p>
      <w:pPr>
        <w:ind w:right="40" w:firstLine="648"/>
        <w:spacing w:after="0" w:line="253" w:lineRule="auto"/>
        <w:rPr>
          <w:sz w:val="20"/>
          <w:szCs w:val="20"/>
          <w:color w:val="auto"/>
        </w:rPr>
      </w:pPr>
      <w:r>
        <w:rPr>
          <w:rFonts w:ascii="Arial" w:cs="Arial" w:eastAsia="Arial" w:hAnsi="Arial"/>
          <w:sz w:val="18"/>
          <w:szCs w:val="18"/>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drug product for clinical trials. We expect this CMO will be capable of providing sufficient quantities of our viral vectors and gene therapy products to meet the anticipated scales for our clinical trials, in due course, and commercial demands, if approved. However, to meet our projected needs for further commercial manufacturing and large 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22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two vaccines for COVID-19 were granted Emergency Use Authorization by the FDA in late 2020,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Before we can begin to commercially manufacture our viral vector or product candidates in our own facility, or the facility of a CMO, we must obtain regulatory approval from the FDA for our manufacturing processes and for the facility in which manufacturing is performed. A manufacturing authorization must also be obtained from the appropriate European Union regulatory authorities. In addition, we must pass a pre-approval inspection of our or our CMOs manufacturing facility by the FDA and other relevant regulatory authorities before any of our gene therapy product candidates can obtain marketing approval. Since March 2020, foreign and domestic inspections by FDA have largely been on hold with FDA announcing plans in July 2020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In order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41" w:name="page42"/>
    <w:bookmarkEnd w:id="41"/>
    <w:p>
      <w:pPr>
        <w:ind w:right="500"/>
        <w:spacing w:after="0" w:line="277"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our CMOs or we fail to comply with applicable 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drug product.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5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5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2" w:name="page43"/>
    <w:bookmarkEnd w:id="42"/>
    <w:p>
      <w:pPr>
        <w:ind w:right="40"/>
        <w:spacing w:after="0" w:line="308" w:lineRule="auto"/>
        <w:rPr>
          <w:sz w:val="20"/>
          <w:szCs w:val="20"/>
          <w:color w:val="auto"/>
        </w:rPr>
      </w:pPr>
      <w:r>
        <w:rPr>
          <w:rFonts w:ascii="Arial" w:cs="Arial" w:eastAsia="Arial" w:hAnsi="Arial"/>
          <w:sz w:val="17"/>
          <w:szCs w:val="17"/>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a customs point or other events, and is not delivered to the clinical site within the time period that the very low temperature is maintained, the drug product may be unsuitable for administration to the patient or harmful.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 therapies are for autologous use only. Therefore, if a drug product is administered to the wrong patient, the patient could suffer harm.</w:t>
      </w:r>
    </w:p>
    <w:p>
      <w:pPr>
        <w:spacing w:after="0" w:line="2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 namely Temferon.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93" w:lineRule="exact"/>
        <w:rPr>
          <w:sz w:val="20"/>
          <w:szCs w:val="20"/>
          <w:color w:val="auto"/>
        </w:rPr>
      </w:pPr>
    </w:p>
    <w:p>
      <w:pPr>
        <w:jc w:val="both"/>
        <w:ind w:right="460" w:firstLine="648"/>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19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9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currently rely on our CMO for the production of our viral vectors and product candidate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the FDA, EMA or other regulatory agencies may refuse to accept our clinical or preclinical data. In such instances, we may need to enter into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20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for the production of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certain circumstances, our current CMO is entitled to terminate their engagements with us. If we need to enter into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 or drug product in the future and to perform quality testing, and reliance on these third parties entails risks including:</w:t>
      </w:r>
    </w:p>
    <w:p>
      <w:pPr>
        <w:spacing w:after="0" w:line="21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4" w:name="page45"/>
    <w:bookmarkEnd w:id="44"/>
    <w:p>
      <w:pPr>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OSR License Agreement,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Good Clinical Practices, or 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the FDA, the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These risks may be heightened as a result of the evolving COVID-19 pandemic due to difficulties in recruiting study subjects during times of travel restriction, delays in obtaining required regulatory inspections, and potential unavailability of our CROs due to their involvement with COVID-related development activities. Our failure to comply with these regulations may require us to repeat clinical studies, which would delay the regulatory approval process.</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and our collaborators and contract manufacturers are subject to significant regulation with respect to manufacturing our product candidates. The manufacturing facilities on which we rely may not meet regulatory requirements and have limited capacity.</w:t>
      </w:r>
    </w:p>
    <w:p>
      <w:pPr>
        <w:spacing w:after="0" w:line="17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BLA or MAA on a timely basis and must adhere to GLP and GMP regulations enforced by the FDA and other regulatory authorities through their facilities inspection program.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5" w:name="page46"/>
    <w:bookmarkEnd w:id="45"/>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208"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19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6" w:name="page47"/>
    <w:bookmarkEnd w:id="46"/>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seek collaboration arrangements with biotechnology or pharmaceutical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biotechnology or pharmaceutical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21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2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provided that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depend on license agreements with OSR to permit us to use patents and patent applications, as well as to exploit specific OSR know-how. Termination of these rights or the failure to comply with obligations under these agreements could materially harm our business and prevent us from developing or commercializing our product candidates (Temferon in particular).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party to a license agreement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our license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license agreement with OSR imposes upon us various diligence, payment and other obligations, including the following:</w:t>
      </w:r>
    </w:p>
    <w:p>
      <w:pPr>
        <w:spacing w:after="0" w:line="252" w:lineRule="exact"/>
        <w:rPr>
          <w:sz w:val="20"/>
          <w:szCs w:val="20"/>
          <w:color w:val="auto"/>
        </w:rPr>
      </w:pPr>
    </w:p>
    <w:p>
      <w:pPr>
        <w:ind w:left="660" w:right="2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obligation to pay OSR various milestone payments in the aggregate amount of up to €10 million related to the Lympho-Hematopoietic Indication of each Licensed Product and up to €53 million related to each Solid Cancer indication, contingent upon our achievement of certain late-stage regulatory and sales milestones with respect to use of Temferon for GBM, and additional amounts for milestones with other solid cancer indications upon exercising those rights. However, starting with the fifth Solid Cancer indication, the first two related milestone payments totaling €7.0 million are reduced to €3.5 million.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obligation to pay OSR royalties based on net sales of each licensed product that we commercialize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obligation to pay a percentage of income derived from sublicensees for each licensed product sublicensed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obligation to pay fees associated with the prosecution, maintenance, or filing of the patents and patent applications we have licensed.</w:t>
      </w:r>
    </w:p>
    <w:p>
      <w:pPr>
        <w:spacing w:after="0" w:line="2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we fail to comply with any of our obligations under the OSR license agreement, or we are subject to a bankruptcy or dissolution, OSR may have the right to terminate the license agreement, in which event we would not be able to market any product candidates covered by the license.</w:t>
      </w:r>
    </w:p>
    <w:p>
      <w:pPr>
        <w:spacing w:after="0" w:line="17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do not currently own any patents, and we are heavily reliant upon license from OSR to certain patent rights that are important or necessary to the development of our technology and product candidates, including the patents relating to Temferon. Our license is exclusive only to specific fields of use, namely: GBM, solid liver cancer and any lympho-hematopoietic indication. Although we have exclusive option rights to license additional fields of use, or indications, upon the payment of additional fees to OSR, there is no guarantee that we will be in a position to do so within the time period specified to exercise such right. As a result, we may not be able to prevent competitors from developing and commercializing competitive products.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do not control the prosecution, maintenance, or filing of the patents and patent applications that are licensed to us under the OSR license agreement (unless OSR chooses i) not to file and/or prosecute certain patent applications, or ii) to abandon such patent application and issued patents, in which cases we have the right to – at our expense – file, prosecute and/or maintain such patent applications), or the enforcement of these patents and patent applications against infringement by third parties. Thus, these patents and patent applications were not drafted by us or our attorneys, and we do not control or have any input into the prosecution of these patents and patent applications. We cannot be certain that drafting or prosecution of the patents and patent applications licensed to us has been conducted in compliance with applicable laws and regulations or will result in valid and enforceable patents. OSR controls the preparation, filing and prosecution of patent applications, and is responsible for maintaining the patents, covering technology that we license.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our license, we are required to file an IND regarding Temferon for GBM prior to February 2022. If we fail to comply with the obligations under our license agreement, including as a result of COVID-19 impacting our operations or due to lack of funds, or if we use the licensed intellectual property in an unauthorized manner, we may be required to pay damages and our licensors may have the right to terminate the license. If our license agreement is terminated, we may not be able to develop, manufacture, market or sell the product candidates covered by our agreement and those being tested or approved in combination with such products. Such an occurrence could materially adversely affect the value of the product candidates being developed under any such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8" w:name="page49"/>
    <w:bookmarkEnd w:id="48"/>
    <w:p>
      <w:pPr>
        <w:ind w:right="60" w:firstLine="648"/>
        <w:spacing w:after="0" w:line="277" w:lineRule="auto"/>
        <w:rPr>
          <w:sz w:val="20"/>
          <w:szCs w:val="20"/>
          <w:color w:val="auto"/>
        </w:rPr>
      </w:pPr>
      <w:r>
        <w:rPr>
          <w:rFonts w:ascii="Arial" w:cs="Arial" w:eastAsia="Arial" w:hAnsi="Arial"/>
          <w:sz w:val="18"/>
          <w:szCs w:val="18"/>
          <w:color w:val="auto"/>
        </w:rPr>
        <w:t>Disputes may arise regarding intellectual property subject to, and any of our rights and obligations under, any license or other strategic agreement, including:</w:t>
      </w:r>
    </w:p>
    <w:p>
      <w:pPr>
        <w:spacing w:after="0" w:line="19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violate the intellectual property of the licensor that is not subject to the license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any such agreement or collaborative relationships;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1"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2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have been granted licenses in certain fields of use to patent applications. There can be no assurance that any of the patent applications that we have licenses to will result in issued patents. As a result, our ability to protect our proprietary technology in the marketplace may be limited.</w:t>
      </w:r>
    </w:p>
    <w:p>
      <w:pPr>
        <w:spacing w:after="0" w:line="15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9" w:name="page50"/>
    <w:bookmarkEnd w:id="49"/>
    <w:p>
      <w:pPr>
        <w:ind w:right="560"/>
        <w:spacing w:after="0" w:line="277" w:lineRule="auto"/>
        <w:rPr>
          <w:sz w:val="20"/>
          <w:szCs w:val="20"/>
          <w:color w:val="auto"/>
        </w:rPr>
      </w:pPr>
      <w:r>
        <w:rPr>
          <w:rFonts w:ascii="Arial" w:cs="Arial" w:eastAsia="Arial" w:hAnsi="Arial"/>
          <w:sz w:val="18"/>
          <w:szCs w:val="18"/>
          <w:b w:val="1"/>
          <w:bCs w:val="1"/>
          <w:i w:val="1"/>
          <w:iCs w:val="1"/>
          <w:color w:val="auto"/>
        </w:rPr>
        <w:t>Our proprietary position for our product candidates currently depends in part upon licenses to patents protecting methods of use, which may not prevent a competitor or other third party from using the same product candidate for another use.</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Composition of matter patent claims on the active pharmaceutical ingredient, or API, in pharmaceutical drug products are generally considered to be the favored form of intellectual property protection for pharmaceutical products, as such patents generally provide protection without regard to any particular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20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patents that may be issued based on patent applications that we have been granted licenses to will not ensure sufficient protection with respect to our activities for a number of reasons, including without limitation the following:</w:t>
      </w:r>
    </w:p>
    <w:p>
      <w:pPr>
        <w:spacing w:after="0" w:line="197" w:lineRule="exact"/>
        <w:rPr>
          <w:sz w:val="20"/>
          <w:szCs w:val="20"/>
          <w:color w:val="auto"/>
        </w:rPr>
      </w:pPr>
    </w:p>
    <w:p>
      <w:pPr>
        <w:ind w:left="660" w:right="4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issued patents may not be broad or strong enough to prevent competition from other gene therapy products including identical or similar products;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patents are not issued or if issued patents expire, there would be no protections against competitors making generic equivalents;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18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patents that we have been granted licenses to are challenged, a court could determine that they are not valid or enforceable;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patents that we have been granted licenses to;</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patents to which we have been granted licenses could irretrievably lapse due to failure to pay fees or otherwise comply with regulations, or could be subject to compulsory licensing;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0" w:name="page51"/>
    <w:bookmarkEnd w:id="50"/>
    <w:p>
      <w:pPr>
        <w:jc w:val="both"/>
        <w:ind w:right="8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21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22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United States and other countries may diminish the value of our patents or narrow the scope of our patent protection.</w:t>
      </w: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patents and pending patent applications licensed to us for our product candidates are expected to expire on various dates as described in “Business—Intellectual Property.” Upon the expiration, we will not be able to assert such licensed patent rights against potential competitors, which would materially adversely affect our business, financial condition, results of operations and prospects.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1" w:name="page52"/>
    <w:bookmarkEnd w:id="51"/>
    <w:p>
      <w:pPr>
        <w:ind w:right="6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22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 consuming and unsuccessful.</w:t>
      </w:r>
    </w:p>
    <w:p>
      <w:pPr>
        <w:spacing w:after="0" w:line="27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addition to the possibility of litigation relating to infringement claims asserted against it, we may become a party to other patent litigation and other proceedings,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OSR License Agreement,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and/or that any of our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2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breadth or strength of our patent or other intellectual property rights is compromised or threatened, it could allow third parties to exploit and, in particular,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2" w:name="page53"/>
    <w:bookmarkEnd w:id="52"/>
    <w:p>
      <w:pPr>
        <w:ind w:right="20" w:firstLine="648"/>
        <w:spacing w:after="0" w:line="29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so as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20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3" w:name="page54"/>
    <w:bookmarkEnd w:id="53"/>
    <w:p>
      <w:pPr>
        <w:ind w:right="80" w:firstLine="648"/>
        <w:spacing w:after="0" w:line="296"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intellectual property rights throughout the world.</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United States and Italy can be less extensive than those in the United States and Italy. In addition, the laws of some foreign countries do not protect intellectual property to the same extent as laws in the United States and Italy. Consequently, we may not be able to seek to prevent third parties from practicing inventions that are the subject of patents that we have been granted licenses to in all countries outside the United States and Italy, or from selling or importing products made using inventions that are the subject of patents that we have been granted licenses to in and into the United States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United States and Italy.</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proprietary rights for our product candidates, we may not be able to compete effectively in our markets.</w:t>
      </w:r>
    </w:p>
    <w:p>
      <w:pPr>
        <w:spacing w:after="0" w:line="27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54" w:name="page55"/>
    <w:bookmarkEnd w:id="54"/>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March 2013, the United States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aware of issued patents in the United States that cover the lentiviral vectors used in the manufacture of our product candidates.</w:t>
      </w:r>
    </w:p>
    <w:p>
      <w:pPr>
        <w:spacing w:after="0" w:line="264"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this respect, our key people Mr. Luigi Naldini and Mr. Bernhard Gentner are also employees of Ospedale San Raffaele, and have been appointed, according to a consultancy agreement, as directors of our scientific committee for the purpose of designing and developing the preclinic research and clinic experimentation program in the area of cancers (Prof. Naldini) and mieloma (Dr. Gentner) gene therapy. The relevant consultancy agreements do not set forth any specific representation and warranty in our favor that their activities do not infringe any third-party’s intellectual property rights (in particular, of OSR). In this respect, Mr. Naldini and Mr. Gentner have executed a statement whereby they have declared that their consultancy activities in our favor have been carried out by the same without infringing upon the intellectual property rights of OSR. OSR is not part of this statement and, therefore, OSR could in any case address claims against us with respect to an infringement of its intellectual property right by Mr. Naldini and Mr. Gentner in relation to their activity in our favor.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There may be claims challenging the inventorship of patents and other intellectual property that we have been granted licenses to.</w:t>
      </w:r>
    </w:p>
    <w:p>
      <w:pPr>
        <w:spacing w:after="0" w:line="25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for compensation for their work in developing intellectual property, which in turn could impact our future profitability.</w:t>
      </w:r>
    </w:p>
    <w:p>
      <w:pPr>
        <w:spacing w:after="0" w:line="192"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spacing w:after="0" w:line="14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To date, we have not entered into non-competition agreements with our current employees in order to prevent them, after the termination of their employment, to perform competitive activity in favor of other employers. Therefore, we cannot exclude that, after the termination of the employment, such employers may benefit from the expertise of our current employees developed while working for us. We sometimes enter into non-competition agreements with certain key consultants. These agreements prohibit key consultants, if they cease working for us, from competing directly with us or working for our competitors or clients for a limited period of time.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spacing w:after="0" w:line="20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addition, under Italian law, in case of inventions developed by our employees, which were developed while performing their employment activities, but outside the performance of their contractual duties, the rights to the inventions belong to us but we are required to compensate the employees for the rights to their respective inventions. With regard to independent consultants, Italian law provides that, save for the case in which the inventive activity of the same has been set forth as the subject of the consulting agreement and compensated for this purpose, the rights to economically exploit the original contributions and inventions realized in the execution of the consulting agreement will belong to consultant.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date, both the employment agreements and consultancy agreements do not provide any specific compensation related to the inventive activity.</w:t>
      </w:r>
    </w:p>
    <w:p>
      <w:pPr>
        <w:spacing w:after="0" w:line="24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a consequence, employees and independent consultants may ask for a fair compensation due to such inventions and, with regard to independent consultants, the failure to pay a fair compensation could prevent us from obtaining rights on their inventions, and this could have a material adverse effect on our operations and ability to effectively compete.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184"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129"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6" w:name="page57"/>
    <w:bookmarkEnd w:id="56"/>
    <w:p>
      <w:pPr>
        <w:ind w:left="660" w:right="4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pending patent applications currently licensed or those to which we may enter into a license regarding in the future will not lead to issued patents;</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the issued patents that have been licensed to us, or parts of such issued patents;</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issued patents to which we hold rights to may be held invalid or unenforceable, including as a result of legal challenges by our competitors;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claims of patent applications, if and when issued, may not cover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engage in scientific collaborations and will continue to do so in the future, and our collaborators may develop adjacent or competing products that are outside the scope of our patents;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harm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a company currently with substantial operations outside of the United States, our business is subject to economic, political, regulatory and other risks associated with international operations.</w:t>
      </w:r>
    </w:p>
    <w:p>
      <w:pPr>
        <w:spacing w:after="0" w:line="19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a company with substantial operations in Italy,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21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7" w:name="page58"/>
    <w:bookmarkEnd w:id="57"/>
    <w:p>
      <w:pPr>
        <w:ind w:left="660" w:right="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foreign exchange risks and currency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15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manage our business through a small number of employees, key consultants and third-party contractors.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key people include our Chief Executive Officer and current Vice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and Stefania Mazzoleni, our Scientific Project Manager and Communications Officer. With the exception of Ms. Mazzoleni, our key personnel are not (currently) engaged as full-time employees. Dr. Russo shall become a full-time employee after this offering and Mr. Slansky has signed an agreement to become a full-time employee at the earlier of the conclusion of this offering or November 1, 2021, whichever is earlier. We expect that some of our key personnel and other personnel that join us after the completion of this offering will be engaged as full-time employees in the immediate future.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pacing w:after="0" w:line="21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8" w:name="page59"/>
    <w:bookmarkEnd w:id="58"/>
    <w:p>
      <w:pPr>
        <w:ind w:right="400"/>
        <w:spacing w:after="0" w:line="277" w:lineRule="auto"/>
        <w:rPr>
          <w:sz w:val="20"/>
          <w:szCs w:val="20"/>
          <w:color w:val="auto"/>
        </w:rPr>
      </w:pPr>
      <w:r>
        <w:rPr>
          <w:rFonts w:ascii="Arial" w:cs="Arial" w:eastAsia="Arial" w:hAnsi="Arial"/>
          <w:sz w:val="18"/>
          <w:szCs w:val="18"/>
          <w:b w:val="1"/>
          <w:bCs w:val="1"/>
          <w:i w:val="1"/>
          <w:iCs w:val="1"/>
          <w:color w:val="auto"/>
        </w:rPr>
        <w:t>We face business disruption and related risks resulting from the recent outbreak of the COVID-19 pandemic, which could have a material adverse effect on our business and results of operations.</w:t>
      </w:r>
    </w:p>
    <w:p>
      <w:pPr>
        <w:spacing w:after="0" w:line="19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December 2019, a novel strain of coronavirus, COVID-19, was identified in Wuhan, China. This virus continues to spread globally and, as of February 2021, has spread to over 200 countries and territories, including Italy and the United States. The spread of COVID-19 from China to other countries has resulted in the World Health Organization declaring the outbreak of COVID-19 as a “pandemic,” or a worldwide spread of a new disease. Many countries around the world have imposed quarantines and restrictions on travel and mass gatherings to slow the spread of the virus. Authorities around the world have and may continue implementing similar restrictions on businesses and individuals in their jurisdictions. While COVID-19 is still spreading and the final implications of the pandemic are difficult to estimate at this stage, it is clear that it has affected the lives of a large portion of the global population, including significant infections in Italy and the United States.</w:t>
      </w:r>
    </w:p>
    <w:p>
      <w:pPr>
        <w:spacing w:after="0" w:line="2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operations and business have experienced disruption due to the unprecedented conditions surrounding the COVID-19 pandemic spreading throughout Italy and the world. There can be no assurance we will be able to enact any remedial measures that will enable us to avoid part or all of any impact from the spread of COVID-19 or its consequences, including downturns in business sentiment generally or in our sector in particular. In addition, the impact of COVID-19 may cause delays to our preclinical studies and future clinical trials, and may make it difficult for us to enroll patients to clinical trials.</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It is not possible at this time to estimate the full impact that the COVID-19 pandemic, the continued spread of COVID-19, and any additional measures taken by governments, health officials or by us in response to such spread, could have on our business, including the timing of our future clinical trials, results of operations and financial condition. The COVID-19 pandemic and mitigation measures have also negatively impacted global economic conditions, which, in turn, could adversely affect our business, including the timing of our future clinical trials, results of operations and financial condition. We continue to monitor our operations and government recommendations. A significant reduction in our workforce and our compliance with instructions imposed by Italian and other European authorities may harm our ability to continue operating our business and materially and adversely affect our operations and financial condition. Therefore, there can be no assurances that we will be able to immediately comply with all government regulations and we may be subject to authorities’ inspections which may result, in case of non-compliance, in the application of sanctions (in the worst case, even the suspension of work activity). Moreover, we cannot foresee whether the Italian or other European authorities or the U.S. federal government will impose further restrictive instructions, which if implemented may lead to significant changes. The spread of COVID-19 may also result in the inability of our suppliers to deliver components or raw materials on a timely basis. The extent to which COVID-19 impacts our business, results of operations and financial condition will depend on future developments, which are highly uncertain and cannot be predicted, including new information which may emerge concerning the severity of COVID-19 and the actions to contain COVID-19 or treat its impact, among others. See “</w:t>
      </w:r>
      <w:r>
        <w:rPr>
          <w:rFonts w:ascii="Arial" w:cs="Arial" w:eastAsia="Arial" w:hAnsi="Arial"/>
          <w:sz w:val="17"/>
          <w:szCs w:val="17"/>
          <w:i w:val="1"/>
          <w:iCs w:val="1"/>
          <w:color w:val="auto"/>
        </w:rPr>
        <w:t>Risks Related to Product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and Commercialization – We may find it difficult to enroll patients in our clinical trials. Difficulty in enrolling patients could delay or prevent clinical trials of our product candidates</w:t>
      </w:r>
      <w:r>
        <w:rPr>
          <w:rFonts w:ascii="Arial" w:cs="Arial" w:eastAsia="Arial" w:hAnsi="Arial"/>
          <w:sz w:val="17"/>
          <w:szCs w:val="17"/>
          <w:color w:val="auto"/>
        </w:rPr>
        <w:t>” for additional information.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currently have a very limited number of employees. If we are successful in executing our business strategy and in order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21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 our administrative, accounting and management information systems and internal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EMA or of other foreign regulatory authorities, provide accurate information to the FDA, EMA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plan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1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7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3" w:lineRule="exact"/>
        <w:rPr>
          <w:sz w:val="20"/>
          <w:szCs w:val="20"/>
          <w:color w:val="auto"/>
        </w:rPr>
      </w:pPr>
    </w:p>
    <w:p>
      <w:pPr>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9" w:right="439" w:bottom="1440" w:gutter="0" w:footer="0" w:header="0"/>
        </w:sectPr>
      </w:pPr>
    </w:p>
    <w:bookmarkStart w:id="60" w:name="page61"/>
    <w:bookmarkEnd w:id="60"/>
    <w:p>
      <w:pPr>
        <w:ind w:left="660" w:right="40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29" w:lineRule="exact"/>
        <w:rPr>
          <w:rFonts w:ascii="Arial" w:cs="Arial" w:eastAsia="Arial" w:hAnsi="Arial"/>
          <w:sz w:val="18"/>
          <w:szCs w:val="18"/>
          <w:color w:val="auto"/>
        </w:rPr>
      </w:pPr>
    </w:p>
    <w:p>
      <w:pPr>
        <w:ind w:left="660" w:right="140" w:hanging="328"/>
        <w:spacing w:after="0" w:line="25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or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47" w:lineRule="exact"/>
        <w:rPr>
          <w:rFonts w:ascii="Arial" w:cs="Arial" w:eastAsia="Arial" w:hAnsi="Arial"/>
          <w:sz w:val="18"/>
          <w:szCs w:val="18"/>
          <w:color w:val="auto"/>
        </w:rPr>
      </w:pPr>
    </w:p>
    <w:p>
      <w:pPr>
        <w:ind w:left="660" w:right="40" w:hanging="328"/>
        <w:spacing w:after="0" w:line="29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25"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European and other foreign law equivalents of each of the laws, including reporting requirements detailing interactions with and payments to healthcare providers, and the European General Data Protection Regulation, or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and regulatory reform measures may have a material adverse effect on our business and results of operations.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industry is highly regulated and changes in law may adversely impact our business, operations or financial results. The PPACA is a sweeping measure intended to, among other things, expand healthcare coverage within the United States, primarily through the imposition of health insurance mandates on employers and individuals and expansion of the Medicaid program. Several provisions of the law may affect us and increase certain of our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1" w:name="page62"/>
    <w:bookmarkEnd w:id="61"/>
    <w:p>
      <w:pPr>
        <w:ind w:right="180" w:firstLine="648"/>
        <w:spacing w:after="0" w:line="293" w:lineRule="auto"/>
        <w:rPr>
          <w:sz w:val="20"/>
          <w:szCs w:val="20"/>
          <w:color w:val="auto"/>
        </w:rPr>
      </w:pPr>
      <w:r>
        <w:rPr>
          <w:rFonts w:ascii="Arial" w:cs="Arial" w:eastAsia="Arial" w:hAnsi="Arial"/>
          <w:sz w:val="16"/>
          <w:szCs w:val="16"/>
          <w:color w:val="auto"/>
        </w:rPr>
        <w:t>In addition, other legislative changes have been adopted since the PPACA was enacted. These changes include aggregate reductions in Medicare payments to providers of 2% per fiscal year, which went into effect on April 1, 2013 and, following passage of the Bipartisan Budget Act of 2018, will remain in effect through 2027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9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anticipate that the PPACA, as well as other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or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1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exposes us to an inherent risk of potential product liability or similar claims. The biotechnology and pharmaceutical industries has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in excess of, or outside of, our insurance coverage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2" w:name="page63"/>
    <w:bookmarkEnd w:id="62"/>
    <w:p>
      <w:pPr>
        <w:ind w:right="12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collaborators or other contractors or consultants, may fail or suffer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21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21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internal information technology systems and those of our current and any future third-party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particularly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20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3" w:name="page64"/>
    <w:bookmarkEnd w:id="63"/>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Unsuccessful compliance with certain European privacy regulations could have an adverse effect on our business and reputation.</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collection and use of personal health data in the EU is governed, as of May 2018, by the General Data Protection Regulation 2016/679 (GDPR) as implemented by European Data Protection Board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similar to GDPR. With regard to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European Data Protection Board (EDPB) on the correct interpretation and application of GDPR and the ruling activity of the Court of Justice of the European Union (see, for instance, the recent CJEU case C-3111/18, also known as Schremes II which invalidated the EU-US Privacy Shield Framework for transfer of data to United States).</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is compliant with most recent legislative changes in European data protection rules, adopting Data Processing Agreements containing Standard Contractual Clauses with all partners based in the United States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ADSs may not develop and you may not be able to resell the ADSs at or above the initial offering price, or at all.</w:t>
      </w:r>
    </w:p>
    <w:p>
      <w:pPr>
        <w:spacing w:after="0" w:line="2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This offering constitutes the initial public offering of the ADSs, and no public market has previously existed for the ADSs. Any delay in the commencement of trading of the ADSs on Nasdaq would impair the liquidity of the market for the ADSs and make it more difficult for holders to sell the ADSs. There can be no assurance that an active trading market for the ADSs will develop or be sustained after this offering is completed.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initial public offering price.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as to the use of the net proceeds from this offering and may not use the proceeds effectively.</w:t>
      </w:r>
    </w:p>
    <w:p>
      <w:pPr>
        <w:spacing w:after="0" w:line="26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currently intend to use the net proceeds of this offering for working capital and general corporate purposes, possible in licensing of additional intellectual property and product candidates, and next generation product development. See “Use of Proceeds.”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If you purchase the securities in this offering, you will incur immediate and substantial dilution in the book value of the securities.</w:t>
      </w:r>
    </w:p>
    <w:p>
      <w:pPr>
        <w:spacing w:after="0" w:line="25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Because the price per security being offered is substantially higher than our net tangible book value per ADS or ordinary share, you will suffer substantial dilution in the net tangible book value of any ADSs or ordinary shares you purchase in this offering. After giving effect to the sale by us of securities in this offering, based on an assumed public offering price of $11.50 per security, the midpoint of the estimated price range set forth on the cover page of this prospectus, and after deducting underwriting discounts, estimated advisory fees and offering expenses payable by us, our as adjusted net tangible book value of the securities would be approximately $35.0 million, or approximately $1.76 per ADS or ordinary share, as of June 30, 2021. If you purchase ADSs or ordinary shares in this offering, you will suffer immediate and substantial dilution of our as adjusted net tangible book value of approximately $9.74 per ADS or ordinary share. As a result of this dilution, investors purchasing shares in this offering may receive significantly less than the purchase price paid in this offering in the event of liquidation. See “Dilution” for additional information.</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 representing a substantial percentage of our outstanding ordinary shares may be sold in this offering, which could cause the price of the ADSs to decline.</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may sell in this offering securities representing approximately 1,608,695 ADSs and approximately 1,000,000 ordinary shares, or approximately 17%, of our outstanding securities as of June 30, 2021. This sale and any future sales of a substantial number of ADSs in the public market, or the perception that such sales may occur, could materially adversely affect the price of the ADSs. We cannot predict the effect, if any, that market sales of those ADSs or the availability of those ADSs for sale will have on the market price of the ADSs. While the securities sold to non-affiliates in this offering will be freely tradable in the public market, substantially all of the securities owned prior to this offering are expected to be subject to lock-up agreements with the underwriters that restrict the ability of these shareholders to transfer our securities held by them for at least six months from the date of this prospectus. These outstanding securities that are subject to lock-up agreements are expected to become eligible for unrestricted sale upon expiration of the lock-up period. In addition, securities issued or issuable upon exercise of options and warrants vested as of the expiration of the lock-up period will be eligible for sale at that time. Sales of securities by these shareholders could have a material adverse effect on the trading price of the ADSs.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know what the trading price of the ADSs will be following this offering and as a result it may be difficult for you to sell the ADSs.</w:t>
      </w:r>
    </w:p>
    <w:p>
      <w:pPr>
        <w:spacing w:after="0" w:line="2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trading price of the ADSs is likely to be volatile. The following factors, in addition to other risk factors described in this section, may have a significant impact on the market price of the ADSs:</w:t>
      </w:r>
    </w:p>
    <w:p>
      <w:pPr>
        <w:spacing w:after="0" w:line="19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results or delays in pre- and non-clinical studies or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5" w:name="page66"/>
    <w:bookmarkEnd w:id="65"/>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adverse actions taken by regulatory authorities with respect to our clinical trials, manufacturing supply chain or sales and marketing activities;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the treatment of cancer tumors, or any other indication that we may seek to develop;</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concerning our competitors or the biotechnology and pharmaceutical industries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recruit and retain qualified regulatory, research and development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biotechnology or gene therapy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depth of the trading market in the ADSs;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termination of the lock-up agreements or other restrictions limiting our ability or that of any of our existing shareholders to sell our securities (or any other securities that we may issue, if any) after this offering;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interruptions resulting from a local or worldwide pandemic, such as COVID-19, geopolitical actions, including war and terrorism, or natural disasters;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granting or exercise of employee stock options or other equity awards;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investors’ and securities analysts’ perception of the business risks and conditions of our business.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66" w:name="page67"/>
    <w:bookmarkEnd w:id="66"/>
    <w:p>
      <w:pPr>
        <w:ind w:right="180"/>
        <w:spacing w:after="0" w:line="263" w:lineRule="auto"/>
        <w:rPr>
          <w:sz w:val="20"/>
          <w:szCs w:val="20"/>
          <w:color w:val="auto"/>
        </w:rPr>
      </w:pPr>
      <w:r>
        <w:rPr>
          <w:rFonts w:ascii="Arial" w:cs="Arial" w:eastAsia="Arial" w:hAnsi="Arial"/>
          <w:sz w:val="18"/>
          <w:szCs w:val="18"/>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Depositary for the ADSs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must act through the Depositary to exercise voting rights relating to the ordinary shares.</w:t>
      </w:r>
    </w:p>
    <w:p>
      <w:pPr>
        <w:spacing w:after="0" w:line="25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Holders of the ADSs do not have the same rights of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 ordinary shares underlying their ADSs are not voted as they requested. In addition, in the capacity as a holder of ADSs, they will not be able to call a shareholder meeting.</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19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owners and holders of ADSs, including those who purchase the ADSs in a secondary transaction,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owner or holder of ADSs or by us or the depositary of compliance with any provision of the federal securities laws. If you or any other owner or holder of ADSs brings a claim against us or the depositary in connection with matters arising under the deposit agreement, our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7" w:name="page68"/>
    <w:bookmarkEnd w:id="67"/>
    <w:p>
      <w:pPr>
        <w:jc w:val="both"/>
        <w:ind w:right="520"/>
        <w:spacing w:after="0" w:line="31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the material weaknesses is not effective or if we identify additional material weaknesses in the future, we may not be able to accurately or timely report our financial results, or prevent fraud, and investor confidence in our Company and the market price of our shares may be adversely affected.</w:t>
      </w:r>
    </w:p>
    <w:p>
      <w:pPr>
        <w:spacing w:after="0" w:line="176"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Section 404 of the Sarbanes-Oxley Act requires that we evaluate and determine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9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To date, we have had limited financial and accounting personnel, which has resulted in a limited segregation of duties to fully execute our accounting processes and address our internal control over financial reporting. In connection with the audits of our financial statements as of and for the years ended December 31, 2020 and 2019, we identified certain material weaknesses in our internal control over financial reporting, including but not limited to our lack of adequate staff to: (i) process financial information in a timely manner; (ii) analyze and account for complex, non-routine transactions</w:t>
      </w:r>
    </w:p>
    <w:p>
      <w:pPr>
        <w:spacing w:after="0" w:line="1" w:lineRule="exact"/>
        <w:rPr>
          <w:sz w:val="20"/>
          <w:szCs w:val="20"/>
          <w:color w:val="auto"/>
        </w:rPr>
      </w:pPr>
    </w:p>
    <w:p>
      <w:pPr>
        <w:ind w:right="60" w:firstLine="8"/>
        <w:spacing w:after="0" w:line="260" w:lineRule="auto"/>
        <w:tabs>
          <w:tab w:leader="none" w:pos="1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including those subject to our critical accounting policies; and, (iii) maintain adequate segregation of duties; and, the lack of documentation related to our internal control over financial reporting including our policy over related party relationships and transactions.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plan to take steps to address the internal control deficiencies that contributed to the material weaknesses, including the following:</w:t>
      </w:r>
    </w:p>
    <w:p>
      <w:pPr>
        <w:spacing w:after="0" w:line="264" w:lineRule="exact"/>
        <w:rPr>
          <w:sz w:val="20"/>
          <w:szCs w:val="20"/>
          <w:color w:val="auto"/>
        </w:rPr>
      </w:pPr>
    </w:p>
    <w:p>
      <w:pPr>
        <w:ind w:left="660" w:right="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hiring of additional finance and accounting personnel with prior experience working for finance departments and technical accounting experience, supplemented by third-party resources;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documenting and formally assessing our accounting and financial reporting policies and procedures; and</w:t>
      </w:r>
    </w:p>
    <w:p>
      <w:pPr>
        <w:spacing w:after="0" w:line="184"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these deficiencies or others could result in a misstatement of our accounts or disclosures that would result in a material misstatement of our financial statements that would not be prevented or detected on a timely basis.</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and independent registered public accounting firm did not perform an evaluation of our internal control over financial reporting during any period in accordance with the provisions of the Sarbanes-Oxley Act. Had we and our independent registered public accounting firm performed an evaluation of our internal control over financial reporting in accordance with the provisions of the Sarbanes-Oxley Act, additional control deficiencies amounting to material weaknesses may have been identified. If we identify new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financial condition or divert financial and management resources from our core 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Chief Executive Officer, directors and shareholders who own more than 5% of our outstanding ordinary shares before this offering currently own approximately 47.14% of our outstanding ordinary shares and will own approximately 40.17% of our ordinary shares upon the completion of this offering. They will therefore be able to exert significant control over matters submitted to our shareholders for approval.</w:t>
      </w:r>
    </w:p>
    <w:p>
      <w:pPr>
        <w:spacing w:after="0" w:line="17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40.17% of our ordinary shares (assuming no exercise of the underwriters’ over-allotment option).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ordinary shares due to investors’ perception that conflicts of interest may exist or arise.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the ADSs could have adverse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consequences.</w:t>
      </w:r>
    </w:p>
    <w:p>
      <w:pPr>
        <w:spacing w:after="0" w:line="23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general, we will be treated as a passive foreign investment company, or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If we are a PFIC in any taxable year during which a U.S. taxpayer holds the ADSs, such U.S. taxpayer would be subject to certain adverse U.S. federal income tax rules. In particular, if the U.S. taxpayer did not make an election to treat us as a “qualified electing fund,” or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the ADSs during a period when we were a PFIC will be subject to the foregoing rules, even if we cease to be a PFIC in subsequent years, subject to exceptions for U.S. taxpayer who made a timely QEF or mark-to-market election. A U.S. taxpayer can make a QEF election by completing the relevant portions of and filing IRS Form 8621 in accordance with the instructions thereto.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 —U.S. Federal Income Tax Consequences—Passive Foreign Investment Companies” for additional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9" w:name="page70"/>
    <w:bookmarkEnd w:id="69"/>
    <w:p>
      <w:pPr>
        <w:ind w:right="12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1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trading market for the ADSs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2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not paid, and do not intend to pay, dividends on our ordinary shares and, therefore, unless our traded securities appreciate in value, our investors may not benefit from holding our securities.</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0" w:name="page71"/>
    <w:bookmarkEnd w:id="70"/>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97" w:lineRule="exact"/>
        <w:rPr>
          <w:sz w:val="20"/>
          <w:szCs w:val="20"/>
          <w:color w:val="auto"/>
        </w:rPr>
      </w:pPr>
    </w:p>
    <w:p>
      <w:pPr>
        <w:ind w:left="660" w:right="38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29" w:lineRule="exact"/>
        <w:rPr>
          <w:rFonts w:ascii="Arial" w:cs="Arial" w:eastAsia="Arial" w:hAnsi="Arial"/>
          <w:sz w:val="18"/>
          <w:szCs w:val="18"/>
          <w:color w:val="auto"/>
        </w:rPr>
      </w:pPr>
    </w:p>
    <w:p>
      <w:pPr>
        <w:ind w:left="660" w:right="160" w:hanging="328"/>
        <w:spacing w:after="0" w:line="25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 As a result of this election, our financial statements may not be comparable to companies that comply with the public company effective date;</w:t>
      </w:r>
    </w:p>
    <w:p>
      <w:pPr>
        <w:spacing w:after="0" w:line="14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this offering, (b) in which we have total annual gross revenue of at least $1.07 billion, or (c) in which we are deemed to be a large accelerated filer, as defined in the rule under the Exchange Act, and (2) the date on which we have issued more than $1.0 billion in non-convertible debt during the prior three-year period.</w:t>
      </w:r>
    </w:p>
    <w:p>
      <w:pPr>
        <w:spacing w:after="0" w:line="18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5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Furthermore, as a foreign private issuer, we are also not subject to the requirements of Regulation FD (Fair Disclosure) promulgated under the Exchange Act. These exemptions and leniencies will reduce the frequency and scope of information and protections to which you are entitled as an investor. See “Management – Differences between Italian Laws and Nasdaq Requirements” for additional information.</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although we are a foreign private issuer and have opted into following our home country rules, which are the laws of the Italy, in lieu of following certain Nasdaq Listing Rules, we are still required to have an audit committee that satisfies Nasdaq Listing Rule 5605(c)(3) and ensure that such audit committee members meet the independence requirement in Nasdaq Listing Rule 5605(c)(2)(A)(ii), provided, however, that in light of Nasdaq Listing Rule 5615(b)(1), we have up to one year from the date of our listing to have an audit committee and members who meet such requirements.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Italy and this may increase the aggregate tax burden on us.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United States,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As a consequence,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84"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Italian Law and Our Operations in Italy</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Italian corporation. The rights of our shareholders may be different from the rights of shareholders in companies governed by the laws of U.S. jurisdictions.</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The individual shareholder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 See “Share Capital Description and Reference Documents” and “Comparison between Delaware Law and Italian Law”.</w:t>
      </w:r>
    </w:p>
    <w:p>
      <w:pPr>
        <w:spacing w:after="0" w:line="19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the ADSs will be listed exclusively on Nasdaq and not in Italy’s stock exchange, our shareholders will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of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will be listed exclusively on Nasdaq, will not be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2" w:name="page73"/>
    <w:bookmarkEnd w:id="72"/>
    <w:p>
      <w:pPr>
        <w:ind w:right="280"/>
        <w:spacing w:after="0" w:line="308" w:lineRule="auto"/>
        <w:rPr>
          <w:sz w:val="20"/>
          <w:szCs w:val="20"/>
          <w:color w:val="auto"/>
        </w:rPr>
      </w:pPr>
      <w:r>
        <w:rPr>
          <w:rFonts w:ascii="Arial" w:cs="Arial" w:eastAsia="Arial" w:hAnsi="Arial"/>
          <w:sz w:val="17"/>
          <w:szCs w:val="17"/>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1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incorporated under the laws of the Republic of Italy. The principal laws and regulations that apply to our operations, those of Italy and the European Union, are different from those of the United States. With some exceptions, in order to issue new equity or debt securities convertible into equity, we must increase our authorized capital. In order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is in compliance with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w:t>
      </w:r>
    </w:p>
    <w:p>
      <w:pPr>
        <w:spacing w:after="0" w:line="20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93"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12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2020, the sum of our capital, legal reserves and other reserves on our unaudited Italian GAAP financial statements was € 18.3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i w:val="1"/>
          <w:iCs w:val="1"/>
          <w:color w:val="auto"/>
        </w:rPr>
        <w:t>If we suffer losses that reduce our capital to less than €50,000, we would need to recapitalize, change our form of entity or be liquidated.</w:t>
      </w:r>
    </w:p>
    <w:p>
      <w:pPr>
        <w:spacing w:after="0" w:line="26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Italian law requires us to reduce our shareholders’ equity and, in particular, our capital, to reflect on-going losses, in certain cases of losses exceeding 1/3 of the capital of the company. Also, as an S.p.A., we are also required to maintain a minimum capital of €50,000. At December 31, 2020, our Italian GAAP capital was €37,056; however, in May 2021, it was increased to €50,000 due to the exercise of options on €715 Quota B plus a quotaholder action at a special meeting which converted the Company from an S.r.l. to an S.p.A. and increased the share capital.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apply our operational losses against our legal reserves and capital. If our capital is reduced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labor laws could impair our flexibility to restructure our business.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 In addition, due to COVID-19 emergency, various government decrees have introduced a specific ban on dismissals for objective reasons and collective dismissal procedures. These laws and the collective bargaining agreements to which we are subject could impair our flexibility if we need to restructure our business.</w:t>
      </w:r>
    </w:p>
    <w:p>
      <w:pPr>
        <w:spacing w:after="0" w:line="20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Purchasers of our Ordinary Shares and ADSs may be exposed to increased transaction costs as a result of the Italian financial transaction tax or the proposed European financial transaction tax.</w:t>
      </w:r>
    </w:p>
    <w:p>
      <w:pPr>
        <w:spacing w:after="0" w:line="19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22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by the end of 2020. For so long as the Company is not included in such list, investors in the Ordinary Shares and ADSs may be exposed to increased transaction costs. See “Taxation.”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4" w:name="page75"/>
    <w:bookmarkEnd w:id="74"/>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Some of the statements made under “Prospectus Summary,” “Risk Factors,” “Use of Proceeds,” “Management’s Discussion and Analysis of Financial Condition and Results of Operations,” “Business” and elsewhere in this prospectus constitute forward- 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52" w:lineRule="exact"/>
        <w:rPr>
          <w:sz w:val="20"/>
          <w:szCs w:val="20"/>
          <w:color w:val="auto"/>
        </w:rPr>
      </w:pPr>
    </w:p>
    <w:p>
      <w:pPr>
        <w:ind w:left="660" w:right="8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interactions with the regulatory bodies, key opinion leaders and partnering clinical centers that may result in changes to clinical trials and manufacturing programs;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scope of protection we and/or our licensors are able to establish and maintain for intellectual property rights covering our product candidates;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15" w:right="479" w:bottom="1440" w:gutter="0" w:footer="0" w:header="0"/>
        </w:sectPr>
      </w:pPr>
    </w:p>
    <w:bookmarkStart w:id="75" w:name="page76"/>
    <w:bookmarkEnd w:id="75"/>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our management team to lead the development of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including on our planned clinical trials, operations and financial position.</w:t>
      </w:r>
    </w:p>
    <w:p>
      <w:pPr>
        <w:spacing w:after="0" w:line="26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estimate that the net proceeds to us in this offering will be approximately $26.4 million, after deducting the estimated underwriting discounts, estimated advisory fees and estimated offering expenses payable by us, based on an assumed public offering price of $11.50 per security, which is the mid-point of the price range set forth on the cover page of this prospectus, and assuming approximately 1.0 million ordinary shares are sold in the Reserved Offering and approximately 1.6 million ADS are sold in the public offering. If the underwriters exercise their option to purchase additional ADSs in full, we estimate that the net proceeds to us from this offering will be approximately $30.6 million, after deducting the estimated underwriting discounts and estimated offering expenses payable by us.</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$1.00 increase (decrease) in the assumed initial public offering price of $11.50 per security (ADS or ordinary shares) would increase (decrease) the gross proceeds to us from this offering by approximately $2.6 million.</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currently expect that we will use the net proceeds from this offering, together with our existing cash and cash equivalents, as follows:</w:t>
      </w:r>
    </w:p>
    <w:p>
      <w:pPr>
        <w:spacing w:after="0" w:line="225" w:lineRule="exact"/>
        <w:rPr>
          <w:sz w:val="20"/>
          <w:szCs w:val="20"/>
          <w:color w:val="auto"/>
        </w:rPr>
      </w:pPr>
    </w:p>
    <w:p>
      <w:pPr>
        <w:ind w:left="660" w:right="100" w:hanging="328"/>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$5.3 million to complete our current Temferon TEM-GBM 001 trial, which is expected to enroll its last patient in the second quarter of 2022, and has been designed to establish clinical proof of concept and determine a therapeutic dosage of Temferon that is safe and well tolerated for patients in order to advance our GBM clinical program to Phase 2;</w:t>
      </w:r>
    </w:p>
    <w:p>
      <w:pPr>
        <w:spacing w:after="0" w:line="183"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$0.6 million to support long-term monitoring of the patients in the Temferon TEM-GBM 001 trial required by applicable regulations, which is expected to run through 2029;</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$1.0 million to fund preclinical research performed in the laboratories of our founders, Professor Naldini and Dr. Gentner at OSR. The aims of the research programs include the development of Temferon across a broad range of cancer indications, second generation switchable Temferon, additional payloads and combination therapies. We have exclusive licensing options extending over the scope of supported research pursuant to existing arrangements;</w:t>
      </w:r>
    </w:p>
    <w:p>
      <w:pPr>
        <w:spacing w:after="0" w:line="186" w:lineRule="exact"/>
        <w:rPr>
          <w:rFonts w:ascii="Arial" w:cs="Arial" w:eastAsia="Arial" w:hAnsi="Arial"/>
          <w:sz w:val="18"/>
          <w:szCs w:val="18"/>
          <w:color w:val="auto"/>
        </w:rPr>
      </w:pPr>
    </w:p>
    <w:p>
      <w:pPr>
        <w:ind w:left="660" w:right="22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$11.2 million to conduct an Italian clinical Phase 2 synthetic controlled study of Temferon in approximately thirty (30) uMGMT-GBM patients expected to take place from early 2023 to late 2025, with the objectives of safety, tolerability and efficacy of a single dose compared to matched patients in the synthetic arm receiving standard of care. The results of this study could help us develop an adaptive study design for the registration of Temferon in newly diagnosed GBM patients;</w:t>
      </w:r>
    </w:p>
    <w:p>
      <w:pPr>
        <w:spacing w:after="0" w:line="18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$7.2 million to fund Temferon manufacturing activities for the Phase 2 trial, including LVV manufacturing, stability and process scalability studies and technology transfer activities;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remainder to fund ongoing business development activities, general and administrative expenses, the costs of operating as a public company, working capital, and other general corporate purposes.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envision the future development of Temferon for the treatment of other solid tumor indications and we have already identified locally advanced hepatocellular carcinoma (HCC) and intra-hepatic cholangiocarcinoma (ICC) as appropriate additional target indications; however, the funding of this future development is not expected to be covered by the net proceeds we will receive from this offering. We expect additional capital would need to be raised, either through additional equity financings through future offerings of the Company’s ADSs, a strategic funding event or an alternative funding strategy to begin work on these other solid tumor indications.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7" w:name="page78"/>
    <w:bookmarkEnd w:id="77"/>
    <w:p>
      <w:pPr>
        <w:ind w:right="20" w:firstLine="648"/>
        <w:spacing w:after="0" w:line="272" w:lineRule="auto"/>
        <w:rPr>
          <w:sz w:val="20"/>
          <w:szCs w:val="20"/>
          <w:color w:val="auto"/>
        </w:rPr>
      </w:pPr>
      <w:r>
        <w:rPr>
          <w:rFonts w:ascii="Arial" w:cs="Arial" w:eastAsia="Arial" w:hAnsi="Arial"/>
          <w:sz w:val="17"/>
          <w:szCs w:val="17"/>
          <w:color w:val="auto"/>
        </w:rPr>
        <w:t>It is difficult to predict the cost and timing required to complete such trials due to, among other factors; the final study design, the timeline for regulatory agency approval, the rate of enrollment of patients, and/or the timing and costs of manufacturing and supplying our product candidates for our planned trials. Furthermore, we estimated our budget for European clinical trial activities currently planned by referencing the rates we are paying to sites and third-party vendors involved in our ongoing programs in Italy, and subsequently applying an adjustment to those rates. Our estimated rates may change as a result of discussions with regulatory bodies, key opinion leaders and partnering clinical centers. We may also use a portion of the net proceeds to in-license, acquire or invest in additional businesses, technologies, products and/or assets. Therefore, we cannot predict with certainty all of the particular uses of the net proceeds from the offering or the actual amounts that we will spend on the uses set forth above.</w:t>
      </w:r>
    </w:p>
    <w:p>
      <w:pPr>
        <w:spacing w:after="0" w:line="17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a result, we believe that the expected net proceeds from this offering, together with our existing cash and cash equivalents, will be sufficient to enable us to fund the development of Temferon through Phase 2 and our other operating expenses until 2025. While we have based this estimate on assumptions that we believe to be reasonable, there can be no assurance that those assumptions will not be proven wrong by future events, including the ongoing effects of the COVID 19 pandemic and related issues. Therefore we could deplete our available capital resources more quickly than we currently expect.</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may invest or raise additional capital to begin a new Temferon clinical program in a second solid tumor indication.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the amounts and timing of our actual expenditures may vary significantly depending on numerous factors, many of which are beyond our control, including the progress of our development, the status of and results from clinical trials, the availability of manufacturing capabilities, any collaborations that we may enter into with third parties for our product candidates and any unforeseen cash needs. As a result, although we currently intend to focus on the development of Temferon in uMGMT-GBM in a clinical Phase 2 trial to be performed in Italy, we will retain broad discretion over the allocation of the net proceeds from this offering.</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Pending our use of the net proceeds from this offering, we may invest the net proceeds in a variety of capital preservation investments, including short-term, investment grade, and interest-bearing instruments and government securities.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See “Taxation—Italy Tax Considerations” for additional information.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2021:</w:t>
      </w:r>
    </w:p>
    <w:p>
      <w:pPr>
        <w:spacing w:after="0" w:line="252"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84"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and sale of 2,608,695 securities (approximately 1,608,695 ordinary shares and approximately 1,000,000 ADSs) in this offering at an assumed public offering price of $11.50 per ADS or ordinary share, the midpoint of the estimated price range set forth on the cover page of this prospectus, after deducting estimated underwriting discounts, estimated advisory fees and estimated offering expenses payable by us, and to the application of the net proceeds as described in “Use of Proceeds,” as if the sale of the securities had occurred on June 30, 2021.</w:t>
      </w:r>
    </w:p>
    <w:p>
      <w:pPr>
        <w:spacing w:after="0" w:line="21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as adjusted information set forth in the table below is illustrative only and will be adjusted based on the actual public offering price and other terms of this offering determined at pricing.</w:t>
      </w:r>
    </w:p>
    <w:p>
      <w:pPr>
        <w:spacing w:after="0" w:line="197"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ectPr>
          <w:pgSz w:w="11900" w:h="16838" w:orient="portrait"/>
          <w:cols w:equalWidth="0" w:num="1">
            <w:col w:w="11200"/>
          </w:cols>
          <w:pgMar w:left="320" w:top="71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i w:val="1"/>
          <w:iCs w:val="1"/>
          <w:color w:val="auto"/>
        </w:rPr>
        <w:t>in Euros,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44234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42341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with no par value, 59,700,000 shares authorized: 15,000,000 shares issued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17,608,695 shares,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deficit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6459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of</w:t>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415"/>
              <w:spacing w:after="0" w:line="143" w:lineRule="exact"/>
              <w:rPr>
                <w:sz w:val="20"/>
                <w:szCs w:val="20"/>
                <w:color w:val="auto"/>
              </w:rPr>
            </w:pPr>
            <w:r>
              <w:rPr>
                <w:rFonts w:ascii="Arial" w:cs="Arial" w:eastAsia="Arial" w:hAnsi="Arial"/>
                <w:sz w:val="14"/>
                <w:szCs w:val="14"/>
                <w:b w:val="1"/>
                <w:bCs w:val="1"/>
                <w:color w:val="auto"/>
              </w:rPr>
              <w:t>Proforma As</w:t>
            </w:r>
          </w:p>
        </w:tc>
        <w:tc>
          <w:tcPr>
            <w:tcW w:w="60" w:type="dxa"/>
            <w:vAlign w:val="bottom"/>
            <w:gridSpan w:val="2"/>
          </w:tcPr>
          <w:p>
            <w:pPr>
              <w:spacing w:after="0"/>
              <w:rPr>
                <w:sz w:val="12"/>
                <w:szCs w:val="12"/>
                <w:color w:val="auto"/>
              </w:rPr>
            </w:pPr>
          </w:p>
        </w:tc>
      </w:tr>
      <w:tr>
        <w:trPr>
          <w:trHeight w:val="209"/>
        </w:trPr>
        <w:tc>
          <w:tcPr>
            <w:tcW w:w="360" w:type="dxa"/>
            <w:vAlign w:val="bottom"/>
          </w:tcPr>
          <w:p>
            <w:pPr>
              <w:spacing w:after="0"/>
              <w:rPr>
                <w:sz w:val="18"/>
                <w:szCs w:val="18"/>
                <w:color w:val="auto"/>
              </w:rPr>
            </w:pPr>
          </w:p>
        </w:tc>
        <w:tc>
          <w:tcPr>
            <w:tcW w:w="1780" w:type="dxa"/>
            <w:vAlign w:val="bottom"/>
            <w:gridSpan w:val="2"/>
          </w:tcPr>
          <w:p>
            <w:pPr>
              <w:jc w:val="right"/>
              <w:ind w:right="940"/>
              <w:spacing w:after="0" w:line="202" w:lineRule="exact"/>
              <w:rPr>
                <w:sz w:val="20"/>
                <w:szCs w:val="20"/>
                <w:color w:val="auto"/>
              </w:rPr>
            </w:pPr>
            <w:r>
              <w:rPr>
                <w:rFonts w:ascii="Arial" w:cs="Arial" w:eastAsia="Arial" w:hAnsi="Arial"/>
                <w:sz w:val="14"/>
                <w:szCs w:val="14"/>
                <w:b w:val="1"/>
                <w:bCs w:val="1"/>
                <w:color w:val="auto"/>
              </w:rPr>
              <w:t xml:space="preserve">Actual </w:t>
            </w:r>
            <w:r>
              <w:rPr>
                <w:rFonts w:ascii="Arial" w:cs="Arial" w:eastAsia="Arial" w:hAnsi="Arial"/>
                <w:sz w:val="23"/>
                <w:szCs w:val="23"/>
                <w:b w:val="1"/>
                <w:bCs w:val="1"/>
                <w:color w:val="auto"/>
                <w:vertAlign w:val="superscript"/>
              </w:rPr>
              <w:t>(1)</w:t>
            </w:r>
          </w:p>
        </w:tc>
        <w:tc>
          <w:tcPr>
            <w:tcW w:w="380" w:type="dxa"/>
            <w:vAlign w:val="bottom"/>
          </w:tcPr>
          <w:p>
            <w:pPr>
              <w:spacing w:after="0"/>
              <w:rPr>
                <w:sz w:val="18"/>
                <w:szCs w:val="18"/>
                <w:color w:val="auto"/>
              </w:rPr>
            </w:pPr>
          </w:p>
        </w:tc>
        <w:tc>
          <w:tcPr>
            <w:tcW w:w="1480" w:type="dxa"/>
            <w:vAlign w:val="bottom"/>
            <w:gridSpan w:val="3"/>
          </w:tcPr>
          <w:p>
            <w:pPr>
              <w:jc w:val="right"/>
              <w:ind w:right="600"/>
              <w:spacing w:after="0" w:line="202" w:lineRule="exact"/>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23"/>
                <w:szCs w:val="23"/>
                <w:b w:val="1"/>
                <w:bCs w:val="1"/>
                <w:color w:val="auto"/>
                <w:vertAlign w:val="superscript"/>
              </w:rPr>
              <w:t>(1)</w:t>
            </w:r>
          </w:p>
        </w:tc>
      </w:tr>
      <w:tr>
        <w:trPr>
          <w:trHeight w:val="229"/>
        </w:trPr>
        <w:tc>
          <w:tcPr>
            <w:tcW w:w="36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gridSpan w:val="3"/>
          </w:tcPr>
          <w:p>
            <w:pPr>
              <w:ind w:left="1180"/>
              <w:spacing w:after="0"/>
              <w:rPr>
                <w:sz w:val="20"/>
                <w:szCs w:val="20"/>
                <w:color w:val="auto"/>
              </w:rPr>
            </w:pPr>
            <w:r>
              <w:rPr>
                <w:rFonts w:ascii="Arial" w:cs="Arial" w:eastAsia="Arial" w:hAnsi="Arial"/>
                <w:sz w:val="18"/>
                <w:szCs w:val="18"/>
                <w:color w:val="auto"/>
              </w:rPr>
              <w:t>(Unaudited)</w:t>
            </w: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10,553,906</w:t>
            </w:r>
          </w:p>
        </w:tc>
        <w:tc>
          <w:tcPr>
            <w:tcW w:w="32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33,967,971</w:t>
            </w:r>
          </w:p>
        </w:tc>
        <w:tc>
          <w:tcPr>
            <w:tcW w:w="40" w:type="dxa"/>
            <w:vAlign w:val="bottom"/>
          </w:tcPr>
          <w:p>
            <w:pPr>
              <w:spacing w:after="0"/>
              <w:rPr>
                <w:sz w:val="20"/>
                <w:szCs w:val="20"/>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30"/>
        </w:trPr>
        <w:tc>
          <w:tcPr>
            <w:tcW w:w="360" w:type="dxa"/>
            <w:vAlign w:val="bottom"/>
          </w:tcPr>
          <w:p>
            <w:pPr>
              <w:spacing w:after="0"/>
              <w:rPr>
                <w:sz w:val="24"/>
                <w:szCs w:val="24"/>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37,139,431</w:t>
            </w:r>
          </w:p>
        </w:tc>
        <w:tc>
          <w:tcPr>
            <w:tcW w:w="38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60,553,496</w:t>
            </w:r>
          </w:p>
        </w:tc>
        <w:tc>
          <w:tcPr>
            <w:tcW w:w="40" w:type="dxa"/>
            <w:vAlign w:val="bottom"/>
          </w:tcPr>
          <w:p>
            <w:pPr>
              <w:spacing w:after="0"/>
              <w:rPr>
                <w:sz w:val="24"/>
                <w:szCs w:val="24"/>
                <w:color w:val="auto"/>
              </w:rPr>
            </w:pPr>
          </w:p>
        </w:tc>
      </w:tr>
      <w:tr>
        <w:trPr>
          <w:trHeight w:val="251"/>
        </w:trPr>
        <w:tc>
          <w:tcPr>
            <w:tcW w:w="360" w:type="dxa"/>
            <w:vAlign w:val="bottom"/>
          </w:tcPr>
          <w:p>
            <w:pPr>
              <w:spacing w:after="0"/>
              <w:rPr>
                <w:sz w:val="21"/>
                <w:szCs w:val="21"/>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(25,538,377)</w:t>
            </w:r>
          </w:p>
        </w:tc>
        <w:tc>
          <w:tcPr>
            <w:tcW w:w="38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(25,538,377)</w:t>
            </w:r>
          </w:p>
        </w:tc>
      </w:tr>
      <w:tr>
        <w:trPr>
          <w:trHeight w:val="230"/>
        </w:trPr>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11,601,054</w:t>
            </w:r>
          </w:p>
        </w:tc>
        <w:tc>
          <w:tcPr>
            <w:tcW w:w="3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35,015,119</w:t>
            </w:r>
          </w:p>
        </w:tc>
        <w:tc>
          <w:tcPr>
            <w:tcW w:w="40" w:type="dxa"/>
            <w:vAlign w:val="bottom"/>
          </w:tcPr>
          <w:p>
            <w:pPr>
              <w:spacing w:after="0"/>
              <w:rPr>
                <w:sz w:val="20"/>
                <w:szCs w:val="20"/>
                <w:color w:val="auto"/>
              </w:rPr>
            </w:pPr>
          </w:p>
        </w:tc>
      </w:tr>
      <w:tr>
        <w:trPr>
          <w:trHeight w:val="438"/>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11,601,054</w:t>
            </w:r>
          </w:p>
        </w:tc>
        <w:tc>
          <w:tcPr>
            <w:tcW w:w="320" w:type="dxa"/>
            <w:vAlign w:val="bottom"/>
          </w:tcPr>
          <w:p>
            <w:pPr>
              <w:spacing w:after="0"/>
              <w:rPr>
                <w:sz w:val="24"/>
                <w:szCs w:val="2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35,015,119</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6900" w:space="300"/>
            <w:col w:w="4000"/>
          </w:cols>
          <w:pgMar w:left="320" w:top="715" w:right="379" w:bottom="1440" w:gutter="0" w:footer="0" w:header="0"/>
          <w:type w:val="continuous"/>
        </w:sectPr>
      </w:pPr>
    </w:p>
    <w:p>
      <w:pPr>
        <w:spacing w:after="0" w:line="56" w:lineRule="exact"/>
        <w:rPr>
          <w:sz w:val="20"/>
          <w:szCs w:val="20"/>
          <w:color w:val="auto"/>
        </w:rPr>
      </w:pPr>
    </w:p>
    <w:p>
      <w:pPr>
        <w:ind w:left="340" w:right="40" w:hanging="332"/>
        <w:spacing w:after="0" w:line="258" w:lineRule="auto"/>
        <w:tabs>
          <w:tab w:leader="none" w:pos="340" w:val="left"/>
        </w:tabs>
        <w:numPr>
          <w:ilvl w:val="0"/>
          <w:numId w:val="53"/>
        </w:numPr>
        <w:rPr>
          <w:rFonts w:ascii="Arial" w:cs="Arial" w:eastAsia="Arial" w:hAnsi="Arial"/>
          <w:sz w:val="27"/>
          <w:szCs w:val="27"/>
          <w:color w:val="auto"/>
          <w:vertAlign w:val="superscript"/>
        </w:rPr>
      </w:pPr>
      <w:r>
        <w:rPr>
          <w:rFonts w:ascii="Arial" w:cs="Arial" w:eastAsia="Arial" w:hAnsi="Arial"/>
          <w:sz w:val="16"/>
          <w:szCs w:val="16"/>
          <w:color w:val="auto"/>
        </w:rPr>
        <w:t>A $1.00 increase or decrease in the assumed public offering price of $11.50 per security would increase or decrease the amount of each of cash and cash equivalents and total shareholders’ deficit by approximately $2.6 million, assuming that the number of securities offered by us, as set forth on the cover page of this prospectus, remains the same and after deducting estimated underwriting discounts, estimated advisory fees and estimated offering expenses payable by us. An increase or decrease of 1,000,000 in the number of securities offered by us would increase or decrease each of cash and cash equivalents and total shareholders’ deficit by approximately €11.5 million, assuming the assumed public offering price remains the same, after deducting estimated underwriting discounts, estimated advisory fees and any estimated offering expenses payable by us.</w:t>
      </w:r>
    </w:p>
    <w:p>
      <w:pPr>
        <w:spacing w:after="0" w:line="21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number of our securities to be outstanding immediately after this offering is 17,608,695 based on 15,000,000 ordinary shares outstanding as of June 30, 2021, after the Corporate Conversion, plus 1,000,000 ordinary shares and 1,608,695 ADSs sold in this offering and excludes:</w:t>
      </w:r>
    </w:p>
    <w:p>
      <w:pPr>
        <w:spacing w:after="0" w:line="15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2021-2025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 and</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DILUTION</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you invest in our securities, your interest will be diluted immediately to the extent of the difference between the public offering price per security you will pay in this offering and the pro forma net tangible book value per security after the offering. At June 30, 2021, we had net tangible book value of approximately €11.6 million, corresponding to a net tangible book value of approximately €0.77 per ordinary share or $0.69 per ordinary share (using the ratio of one ordinary share to one ADS). Net tangible book value per ordinary share or per ADS represents the amount of our total tangible assets less our total liabilities, divided by 15.0 million, the total number of ordinary shares outstanding at June 30, 2021, or 15.0 million, the total number of ADSs that would represent such total number of shares based on an ordinary share-to-ADS ratio of one-to-one.</w:t>
      </w:r>
    </w:p>
    <w:p>
      <w:pPr>
        <w:spacing w:after="0" w:line="20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giving pro forma effect to the Corporate Conversion and the sale of the securities offered by us in this offering and after deducting the estimated underwriting discounts, estimated advisory fees and estimated offering expenses payable by us, our pro forma estimated net tangible book value at June 30, 2021 would have been approximately €35.0 million, representing €1.99 per security or $1.76 per security. At the assumed public offering price for this offering of $11.50 per security, the midpoint of the estimated price range set forth on the cover page of this prospectus, this represents an immediate increase in pro forma net tangible book value of €1.22 per security or $1.08 per security to existing shareholders and an immediate dilution in pro forma net tangible book value of €8.64 per security or $9.74 per security to purchasers of ADSs or ordinary shares in this offering. Dilution for this purpose represents the difference between the price per security paid by these purchasers and pro forma net tangible book value per security immediately after the completion of this offering.</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security basis to purchasers of securities in this offering: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w w:val="93"/>
              </w:rPr>
              <w:t>Assumed public offering price per security, the midpoint of the estimated price range set forth on</w:t>
            </w:r>
          </w:p>
        </w:tc>
        <w:tc>
          <w:tcPr>
            <w:tcW w:w="9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the cover page of this prospectus</w:t>
            </w:r>
          </w:p>
        </w:tc>
        <w:tc>
          <w:tcPr>
            <w:tcW w:w="9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Historical net tangible book value (deficit) per security as of June 30, 2021</w:t>
            </w: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0.68</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w w:val="99"/>
              </w:rPr>
              <w:t>Increase in net tangible book value per security attributable to new investors in this offering</w:t>
            </w:r>
          </w:p>
        </w:tc>
        <w:tc>
          <w:tcPr>
            <w:tcW w:w="9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1.08</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Pro forma as adjusted net tangible book value per security after offering</w:t>
            </w:r>
          </w:p>
        </w:tc>
        <w:tc>
          <w:tcPr>
            <w:tcW w:w="940" w:type="dxa"/>
            <w:vAlign w:val="bottom"/>
          </w:tcPr>
          <w:p>
            <w:pPr>
              <w:spacing w:after="0"/>
              <w:rPr>
                <w:sz w:val="19"/>
                <w:szCs w:val="19"/>
                <w:color w:val="auto"/>
              </w:rPr>
            </w:pPr>
          </w:p>
        </w:tc>
        <w:tc>
          <w:tcPr>
            <w:tcW w:w="194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in tangible book value per security to new investors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Percentage of dilution in net tangible book value per security for new investors</w:t>
            </w: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dilution information set forth in the table above is illustrative only and will be adjusted based on the actual public offering price and other terms of this offering determined at pricing.</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 $1.00 increase or decrease in the assumed initial public offering price of $11.50 per security would increase or decrease our as adjusted net tangible book value per security after this offering by approximately $0.11 and the dilution per security to new investors by approximately $0.11, assuming the number of securities offered by us, as set forth on the cover page of this prospectus, remains the same, after deducting the estimated underwriting discounts and commissions and estimated offering expenses payable by us.</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may also increase or decrease the number of securities we are offering. An increase or decrease of 1,000,000 in the number of securities offered by us would increase or decrease our as adjusted net tangible book value after this offering by approximately $10.2 million and the pro forma net tangible book value per security after this offering by $0.51 per security and would increase or decrease the dilution per security to new investors by $0.51, assuming the assumed public offering price remains the same, after deducting estimated underwriting discounts and estimated offering expenses payable by us.</w:t>
      </w:r>
    </w:p>
    <w:p>
      <w:pPr>
        <w:spacing w:after="0" w:line="21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in full, the pro forma net tangible book value per security after this offering would be $1.86 per security, and the dilution in pro forma as adjusted net tangible book value per security to new investors purchasing securities in this offering would be $9.64 per security, after deducting estimated underwriting discounts, estimated advisory fees and estimated offering expenses payable by 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81" w:name="page82"/>
    <w:bookmarkEnd w:id="81"/>
    <w:p>
      <w:pPr>
        <w:ind w:right="80" w:firstLine="648"/>
        <w:spacing w:after="0" w:line="311" w:lineRule="auto"/>
        <w:rPr>
          <w:sz w:val="20"/>
          <w:szCs w:val="20"/>
          <w:color w:val="auto"/>
        </w:rPr>
      </w:pPr>
      <w:r>
        <w:rPr>
          <w:rFonts w:ascii="Arial" w:cs="Arial" w:eastAsia="Arial" w:hAnsi="Arial"/>
          <w:sz w:val="16"/>
          <w:szCs w:val="16"/>
          <w:color w:val="auto"/>
        </w:rPr>
        <w:t>The following table summarizes, on an as adjusted basis as of June 30, 2021, the differences between the number of securities acquired from us, the total amount paid and the average price per security paid by the existing holders of our ordinary shares and by investors in this offering and based upon an assumed public offering price of $11.50 per security, the midpoint of the estimated price range set forth on the cover page of this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760" w:type="dxa"/>
            <w:vAlign w:val="bottom"/>
            <w:gridSpan w:val="3"/>
            <w:vMerge w:val="restart"/>
          </w:tcPr>
          <w:p>
            <w:pPr>
              <w:ind w:left="1120"/>
              <w:spacing w:after="0"/>
              <w:rPr>
                <w:sz w:val="20"/>
                <w:szCs w:val="20"/>
                <w:color w:val="auto"/>
              </w:rPr>
            </w:pPr>
            <w:r>
              <w:rPr>
                <w:rFonts w:ascii="Arial" w:cs="Arial" w:eastAsia="Arial" w:hAnsi="Arial"/>
                <w:sz w:val="18"/>
                <w:szCs w:val="18"/>
                <w:b w:val="1"/>
                <w:bCs w:val="1"/>
                <w:color w:val="auto"/>
              </w:rPr>
              <w:t>Shares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Total Consideration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176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Per Ordinary</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0"/>
              </w:rPr>
              <w:t>Percent</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15,000,000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37,862,540</w:t>
            </w: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0"/>
                <w:szCs w:val="20"/>
                <w:color w:val="auto"/>
              </w:rPr>
            </w:pPr>
            <w:r>
              <w:rPr>
                <w:rFonts w:ascii="Arial" w:cs="Arial" w:eastAsia="Arial" w:hAnsi="Arial"/>
                <w:sz w:val="18"/>
                <w:szCs w:val="18"/>
                <w:color w:val="auto"/>
              </w:rPr>
              <w:t>New investors</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2,608,695</w:t>
            </w:r>
          </w:p>
        </w:tc>
        <w:tc>
          <w:tcPr>
            <w:tcW w:w="220" w:type="dxa"/>
            <w:vAlign w:val="bottom"/>
          </w:tcPr>
          <w:p>
            <w:pPr>
              <w:spacing w:after="0"/>
              <w:rPr>
                <w:sz w:val="21"/>
                <w:szCs w:val="21"/>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29,999,993</w:t>
            </w:r>
          </w:p>
        </w:tc>
        <w:tc>
          <w:tcPr>
            <w:tcW w:w="940" w:type="dxa"/>
            <w:vAlign w:val="bottom"/>
          </w:tcPr>
          <w:p>
            <w:pPr>
              <w:spacing w:after="0"/>
              <w:rPr>
                <w:sz w:val="21"/>
                <w:szCs w:val="21"/>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17,608,695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67,862,533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our securities to be outstanding immediately after this offering is 17,608,695 based on 15.0 million ordinary shares outstanding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approximately 1.0 million ordinary shares and approximately 1.6 million ADSs sold in this offering and excludes:</w:t>
      </w:r>
    </w:p>
    <w:p>
      <w:pPr>
        <w:spacing w:after="0" w:line="23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2021-2024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If the representatives of the underwriters exercises the over-allotment option to purchase additional ADSs in full in this offering, the number of securities represented by ADSs held by new investors will increase from 1,608,695, or 9% to 1,849,999, or 10% of the total number of securities outstanding after this offering and the percentage of ordinary shares held by existing shareholders will decrease from 91% to 90% of the total securities outstanding.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Prior to this offering, we were a limited liability company, but the change in incorporation did not affect the financial information herein</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presented, except for the transformation of our quotas into ordinary shares. As such the historical financial statements will not be retrospectively adjusted.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2020, aggregated gross cash proceeds of approximately €35.1 million.</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six months ended June 30, 2021 and 2020 were approximately €4.0 million and approximately €2.5 million, respectively. Our net losses for the years ended December 31, 2020 and 2019 were approximately €5.6 million and approximately €4.6 million, respectively. At June 30, 2021 and December 31, 2020, we had an accumulated deficit of approximately €25.5 million and €21.5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83" w:name="page84"/>
    <w:bookmarkEnd w:id="83"/>
    <w:p>
      <w:pPr>
        <w:ind w:firstLine="648"/>
        <w:spacing w:after="0" w:line="270" w:lineRule="auto"/>
        <w:rPr>
          <w:sz w:val="20"/>
          <w:szCs w:val="20"/>
          <w:color w:val="auto"/>
        </w:rPr>
      </w:pPr>
      <w:r>
        <w:rPr>
          <w:rFonts w:ascii="Arial" w:cs="Arial" w:eastAsia="Arial" w:hAnsi="Arial"/>
          <w:sz w:val="17"/>
          <w:szCs w:val="17"/>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As of June 30, 2021, we had cash and cash equivalents of approximately €10.6 million. We believe that our existing cash and cash equivalents as of June 30, 2021 will enable us to fund our operating expenses and capital expenditure requirements for at least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 of the date of this filing, the global healthcare community continues to respond to the COVID-19 pandemic, including the recent emergence of the “delta variant.”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We have not experienced significant interruptions related to COVID-19, although one patient tested positive for COVID-19 and had to delay treatment with Temferon.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until we obtain regulatory approval of, and commercialize,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expense research and development costs as incurred. These expenses consist of costs incurred in connection with the development of our product candidates, including:</w:t>
      </w:r>
    </w:p>
    <w:p>
      <w:pPr>
        <w:spacing w:after="0" w:line="17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license fees and milestone payments incurred in connection with our license agreements;</w:t>
      </w:r>
    </w:p>
    <w:p>
      <w:pPr>
        <w:spacing w:after="0" w:line="225"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46" w:lineRule="exact"/>
        <w:rPr>
          <w:rFonts w:ascii="Arial" w:cs="Arial" w:eastAsia="Arial" w:hAnsi="Arial"/>
          <w:sz w:val="17"/>
          <w:szCs w:val="17"/>
          <w:color w:val="auto"/>
        </w:rPr>
      </w:pPr>
    </w:p>
    <w:p>
      <w:pPr>
        <w:ind w:left="660" w:right="7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facilities costs, depreciation and other expenses, which include rent and utilities.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statements of operations and comprehensive loss. However, not all of our research and development expenses are allocated by program:</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80" w:type="dxa"/>
            <w:vAlign w:val="bottom"/>
            <w:tcBorders>
              <w:bottom w:val="single" w:sz="8" w:color="auto"/>
            </w:tcBorders>
            <w:gridSpan w:val="5"/>
          </w:tcPr>
          <w:p>
            <w:pPr>
              <w:ind w:left="1300"/>
              <w:spacing w:after="0"/>
              <w:rPr>
                <w:sz w:val="20"/>
                <w:szCs w:val="20"/>
                <w:color w:val="auto"/>
              </w:rPr>
            </w:pPr>
            <w:r>
              <w:rPr>
                <w:rFonts w:ascii="Arial" w:cs="Arial" w:eastAsia="Arial" w:hAnsi="Arial"/>
                <w:sz w:val="18"/>
                <w:szCs w:val="18"/>
                <w:b w:val="1"/>
                <w:bCs w:val="1"/>
                <w:color w:val="auto"/>
              </w:rPr>
              <w:t>For the Six Months Ended</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260" w:type="dxa"/>
            <w:vAlign w:val="bottom"/>
          </w:tcPr>
          <w:p>
            <w:pPr>
              <w:spacing w:after="0"/>
              <w:rPr>
                <w:sz w:val="20"/>
                <w:szCs w:val="20"/>
                <w:color w:val="auto"/>
              </w:rPr>
            </w:pPr>
          </w:p>
        </w:tc>
        <w:tc>
          <w:tcPr>
            <w:tcW w:w="26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4"/>
          </w:tcPr>
          <w:p>
            <w:pPr>
              <w:ind w:left="520"/>
              <w:spacing w:after="0"/>
              <w:rPr>
                <w:sz w:val="20"/>
                <w:szCs w:val="20"/>
                <w:color w:val="auto"/>
              </w:rPr>
            </w:pPr>
            <w:r>
              <w:rPr>
                <w:rFonts w:ascii="Arial" w:cs="Arial" w:eastAsia="Arial" w:hAnsi="Arial"/>
                <w:sz w:val="18"/>
                <w:szCs w:val="18"/>
                <w:color w:val="auto"/>
              </w:rPr>
              <w:t>(Unaudited)</w:t>
            </w: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TEM-GBM (including TEM-LT)</w:t>
            </w:r>
          </w:p>
        </w:tc>
        <w:tc>
          <w:tcPr>
            <w:tcW w:w="26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1,692,458</w:t>
            </w:r>
          </w:p>
        </w:tc>
        <w:tc>
          <w:tcPr>
            <w:tcW w:w="13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948,019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TEM-MM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18,609</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173,680</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TEM-HC</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Unallocated costs: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(including share-based compensation)</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401,380</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Consultants and other third parties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760,831</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354,599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&amp; supplies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312,844</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243,892</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Travel &amp; entertainment</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10,445</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4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research and development expenses</w:t>
            </w:r>
          </w:p>
        </w:tc>
        <w:tc>
          <w:tcPr>
            <w:tcW w:w="1260" w:type="dxa"/>
            <w:vAlign w:val="bottom"/>
            <w:tcBorders>
              <w:top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3,199,234</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Direct research and development expenses by program:</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TEM-GBM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TEM-MM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Option fee – second indication </w:t>
      </w:r>
      <w:r>
        <w:rPr>
          <w:rFonts w:ascii="Arial" w:cs="Arial" w:eastAsia="Arial" w:hAnsi="Arial"/>
          <w:sz w:val="29"/>
          <w:szCs w:val="29"/>
          <w:color w:val="auto"/>
          <w:vertAlign w:val="superscript"/>
        </w:rPr>
        <w:t>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Unallocated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Personnel (including share-based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Consultants and other third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Materials &amp; supplies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Travel &amp; entertainment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634"/>
        </w:trPr>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3,353,369</w:t>
            </w: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1,853,929</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190,764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769,146</w:t>
            </w: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472,100</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753,238</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70,035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73,736</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62,600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64,151</w:t>
            </w: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34,466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133,573</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5,127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55,209</w:t>
            </w:r>
          </w:p>
        </w:tc>
      </w:tr>
      <w:tr>
        <w:trPr>
          <w:trHeight w:val="230"/>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-1731010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-1456690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-1156335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-882015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-607695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-333375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5800" w:space="720"/>
            <w:col w:w="4720"/>
          </w:cols>
          <w:pgMar w:left="320" w:top="702" w:right="339" w:bottom="1440" w:gutter="0" w:footer="0" w:header="0"/>
          <w:type w:val="continuous"/>
        </w:sectPr>
      </w:pPr>
    </w:p>
    <w:p>
      <w:pPr>
        <w:ind w:left="760" w:hanging="104"/>
        <w:spacing w:after="0"/>
        <w:tabs>
          <w:tab w:leader="none" w:pos="760" w:val="left"/>
        </w:tabs>
        <w:numPr>
          <w:ilvl w:val="0"/>
          <w:numId w:val="57"/>
        </w:numPr>
        <w:rPr>
          <w:rFonts w:ascii="Arial" w:cs="Arial" w:eastAsia="Arial" w:hAnsi="Arial"/>
          <w:sz w:val="28"/>
          <w:szCs w:val="28"/>
          <w:color w:val="auto"/>
          <w:vertAlign w:val="superscript"/>
        </w:rPr>
      </w:pPr>
      <w:r>
        <w:rPr>
          <w:rFonts w:ascii="Arial" w:cs="Arial" w:eastAsia="Arial" w:hAnsi="Arial"/>
          <w:sz w:val="17"/>
          <w:szCs w:val="17"/>
          <w:color w:val="auto"/>
        </w:rPr>
        <w:t>Although the second indication is currently liver cancer, the Company has the right to change the indication.</w:t>
      </w:r>
    </w:p>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86" w:name="page87"/>
    <w:bookmarkEnd w:id="86"/>
    <w:p>
      <w:pPr>
        <w:ind w:right="20" w:firstLine="648"/>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impact of the COVID-19 pandemic on our preclinical development activities, clinical trials and other research and development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the government and other payors for any product candidate for which we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salaries and consulting fees,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7" w:name="page88"/>
    <w:bookmarkEnd w:id="87"/>
    <w:p>
      <w:pPr>
        <w:ind w:firstLine="648"/>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Other income (expense) consists primarily of interest income/(expense), foreign exchange income/(loss) and, for the year ended December 31, 2019, an award given to the Company by international institutions for the successful results achieved in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are subject to taxation in Italy. Taxes are recorded on an accrual basis. They therefore represent the allowances for taxes paid or to be paid for the year, calculated according to the current enacted rates and applicable laws. Due to the tax loss position reported, no income taxes were due for the six months ended June 30, 2021 and 2020 and the years ended December 31, 2020 and 2019 or the interim periods.</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June 30, 2021.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open statutes of limitations for Italian tax authorities to audit our tax returns. There have been no material income tax-related interests or penalties assessed or recorded.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liability related to uncertain tax positions reported in our financial statements.</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2020 Italian Budget Law established that: (i) the tax credit due is up to 12% of the research and development costs incurred (up to a maximum of € 3.0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instalments. The 2021 Italian Budget Law established that: (i) the tax credit due is up to 20% of the costs incurred (up to a maximum of € 4.0 million); (ii) the tax credit can be used for 2021 and 2022 fiscal years; (iii) it is necessary to have, besides the audit report, a technical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to the Six Months Ended June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0" w:type="dxa"/>
            <w:vAlign w:val="bottom"/>
            <w:gridSpan w:val="6"/>
          </w:tcPr>
          <w:p>
            <w:pPr>
              <w:jc w:val="right"/>
              <w:ind w:right="901"/>
              <w:spacing w:after="0"/>
              <w:rPr>
                <w:sz w:val="20"/>
                <w:szCs w:val="20"/>
                <w:color w:val="auto"/>
              </w:rPr>
            </w:pPr>
            <w:r>
              <w:rPr>
                <w:rFonts w:ascii="Arial" w:cs="Arial" w:eastAsia="Arial" w:hAnsi="Arial"/>
                <w:sz w:val="18"/>
                <w:szCs w:val="18"/>
                <w:b w:val="1"/>
                <w:bCs w:val="1"/>
                <w:color w:val="auto"/>
              </w:rPr>
              <w:t>Six-Months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4"/>
          </w:tcPr>
          <w:p>
            <w:pPr>
              <w:jc w:val="right"/>
              <w:ind w:right="147"/>
              <w:spacing w:after="0"/>
              <w:rPr>
                <w:sz w:val="20"/>
                <w:szCs w:val="20"/>
                <w:color w:val="auto"/>
              </w:rPr>
            </w:pPr>
            <w:r>
              <w:rPr>
                <w:rFonts w:ascii="Arial" w:cs="Arial" w:eastAsia="Arial" w:hAnsi="Arial"/>
                <w:sz w:val="18"/>
                <w:szCs w:val="18"/>
                <w:color w:val="auto"/>
              </w:rPr>
              <w:t>(Unaudited)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3,199,234</w:t>
            </w:r>
          </w:p>
        </w:tc>
        <w:tc>
          <w:tcPr>
            <w:tcW w:w="160" w:type="dxa"/>
            <w:vAlign w:val="bottom"/>
          </w:tcPr>
          <w:p>
            <w:pPr>
              <w:spacing w:after="0"/>
              <w:rPr>
                <w:sz w:val="18"/>
                <w:szCs w:val="18"/>
                <w:color w:val="auto"/>
              </w:rPr>
            </w:pPr>
          </w:p>
        </w:tc>
        <w:tc>
          <w:tcPr>
            <w:tcW w:w="62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2,072,129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Foreign exchange loss</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6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 (Note 5)</w:t>
            </w: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3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per share and pro forma information (unaudited):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 and pro forma loss</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6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and pro forma loss per share - basic and diluted</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2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9"/>
              </w:rPr>
              <w:t>Weighted average and pro forma weighted average number of shares</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basic and diluted</w:t>
            </w:r>
          </w:p>
        </w:tc>
        <w:tc>
          <w:tcPr>
            <w:tcW w:w="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14,772,610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14,420,904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presented actual and pro forma basic and diluted loss per share at June 30, 2021 and 2020, respectively, which consists of our historical loss attributable to Genenta Science S.r.l. (and subsequently as of June 18, 2021 Genenta Science S.p.A.), divided by the weighted average and pro forma basic and diluted weighted average number of ordinary shares outstanding, on an “as converted” basis (similar to a stock split transaction) using the same conversion rate of 300 common shares per weighted average quota percentage of ownership during the six months ended June 30, 2021 and 2020, respectively, after giving effect to the Corporate Conversion. See our disclosures in this prospectus for additional information regarding the method used to calculate the pro forma basic and diluted loss per ordinary share and the pro forma weighted average number of ordinary shares used in the computation of the per share amounts.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Research and development expenses were approximately €3.2 million for the six months ended June 30, 2021, as compared to approximately €2.1 million for the six months ended June 30, 2020. The increase of approximately €1.1 million was primarily due to the increase of approximately €1.3 million related the Company’s GMB research and clinical activities (including personnel costs and related stock option exercise expenses), partially offset by €0.2 million related to the decrease of MM research and clinical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General and administrative expenses were approximately €0.8 million for the six months ended June 30, 2021, as compared to approximately €0.4 million for the six months ended June 30, 2020. The increase of approximately €0.4 million of general and administrative expenses was primarily due to €0.2 million of accounting, legal and consulting fees and €0.2 million of compensation expense (including stock-based compensation and social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Other income was approximately €2,700 for the six months ended June 30, 2021, as compared to approximately €600 for the six months ended June 30, 2020. The increase of approximately €2,100 was primarily due to the number of awards granted to the Company in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Foreign exchange loss was approximately €9,100 for the six months ended June 30, 2021, as compared to approximately €2,800 for the six months ended June 30, 2020. The increase of approximately €6,300 was primarily due to the net of exchange rate gains and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Our loss was approximately €4.0 million for the year six months June 30, 2021, as compared to approximately €2.5 million for the six months ended June 30, 2020. The increase of approximately €1.5 million was primarily due to the increased spending related to our overall research and clinical activities and to the increased spending related to advisory and consulting expenses related to our fundraising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0" w:type="dxa"/>
            <w:vAlign w:val="bottom"/>
            <w:gridSpan w:val="5"/>
          </w:tcPr>
          <w:p>
            <w:pPr>
              <w:jc w:val="right"/>
              <w:ind w:right="1141"/>
              <w:spacing w:after="0"/>
              <w:rPr>
                <w:sz w:val="20"/>
                <w:szCs w:val="20"/>
                <w:color w:val="auto"/>
              </w:rPr>
            </w:pPr>
            <w:r>
              <w:rPr>
                <w:rFonts w:ascii="Arial" w:cs="Arial" w:eastAsia="Arial" w:hAnsi="Arial"/>
                <w:sz w:val="18"/>
                <w:szCs w:val="18"/>
                <w:color w:val="auto"/>
              </w:rPr>
              <w:t>Year Ended December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3"/>
          </w:tcPr>
          <w:p>
            <w:pPr>
              <w:ind w:left="1320"/>
              <w:spacing w:after="0"/>
              <w:rPr>
                <w:sz w:val="20"/>
                <w:szCs w:val="20"/>
                <w:color w:val="auto"/>
              </w:rPr>
            </w:pPr>
            <w:r>
              <w:rPr>
                <w:rFonts w:ascii="Arial" w:cs="Arial" w:eastAsia="Arial" w:hAnsi="Arial"/>
                <w:sz w:val="18"/>
                <w:szCs w:val="18"/>
                <w:color w:val="auto"/>
              </w:rPr>
              <w:t>(in Euros)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4,688,461</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901,765</w:t>
            </w:r>
          </w:p>
        </w:tc>
        <w:tc>
          <w:tcPr>
            <w:tcW w:w="5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(5,590,226)</w:t>
            </w:r>
          </w:p>
        </w:tc>
        <w:tc>
          <w:tcPr>
            <w:tcW w:w="5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5,966</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440" w:type="dxa"/>
            <w:vAlign w:val="bottom"/>
          </w:tcPr>
          <w:p>
            <w:pPr>
              <w:spacing w:after="0"/>
              <w:rPr>
                <w:sz w:val="20"/>
                <w:szCs w:val="20"/>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(7,754)</w:t>
            </w:r>
          </w:p>
        </w:tc>
        <w:tc>
          <w:tcPr>
            <w:tcW w:w="5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(9,552)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20"/>
                <w:szCs w:val="20"/>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 forma information (unaudited):</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Pro forma net loss per share - basic and diluted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3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3"/>
              </w:rPr>
              <w:t>Weighted average pro forma number of shares outstanding - basic and diluted</w:t>
            </w: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14,539,534</w:t>
            </w:r>
          </w:p>
        </w:tc>
        <w:tc>
          <w:tcPr>
            <w:tcW w:w="3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12,651,158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vMerge w:val="restart"/>
          </w:tcPr>
          <w:p>
            <w:pPr>
              <w:ind w:left="4960"/>
              <w:spacing w:after="0"/>
              <w:rPr>
                <w:sz w:val="20"/>
                <w:szCs w:val="20"/>
                <w:color w:val="auto"/>
              </w:rPr>
            </w:pPr>
            <w:r>
              <w:rPr>
                <w:rFonts w:ascii="Arial" w:cs="Arial" w:eastAsia="Arial" w:hAnsi="Arial"/>
                <w:sz w:val="18"/>
                <w:szCs w:val="18"/>
                <w:color w:val="auto"/>
              </w:rPr>
              <w:t>83</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90" w:name="page91"/>
    <w:bookmarkEnd w:id="90"/>
    <w:p>
      <w:pPr>
        <w:ind w:firstLine="648"/>
        <w:spacing w:after="0" w:line="253" w:lineRule="auto"/>
        <w:rPr>
          <w:sz w:val="20"/>
          <w:szCs w:val="20"/>
          <w:color w:val="auto"/>
        </w:rPr>
      </w:pPr>
      <w:r>
        <w:rPr>
          <w:rFonts w:ascii="Arial" w:cs="Arial" w:eastAsia="Arial" w:hAnsi="Arial"/>
          <w:sz w:val="18"/>
          <w:szCs w:val="18"/>
          <w:color w:val="auto"/>
        </w:rPr>
        <w:t>We have presented pro forma basic and diluted loss per share at December 31, 2020 and 2019, respectively, which consists of our historical loss attributable to Genenta Science S.r.l., divided by the pro forma basic and diluted weighted average number of ordinary shares outstanding, on an “as converted” basis, after giving effect to the Corporate Conversion, which occurred on June 18, 2021. See our disclosures in this prospectus for additional information regarding the method used to calculate the pro forma basic and diluted loss per ordinary share and the pro forma weighted average number of ordinary shares used in the computation of the per share amounts. We did not present basic and diluted loss per share for the years ended December 31, 2020 and 2019 in our audited Statements of Operations, since we were an S.r.l. at the time and maintained classes of quota (similar to membership interests in a limited liability company in the United States) rather than shares, which it now has post-conversion to an S.p.A.,(similar to a C-corporation in the United States). The quotas represented percentage ownership in us and not actual shares. We did not believe that representing loss per quota was meaningful.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Research and development expenses were approximately €4.7 million for the year ended December 31, 2020, as compared to approximately €3.7 million for the year ended December 31, 2019. The increase of approximately €1.0 million was primarily due to the increase of approximately €1.6 million related the Company’s GBM research and clinical activities partially offset by €0.6 million related to the decrease of MM related expenses. In addition, we exercised our option with OSR for our second cancer indication, which triggered an option fee of €0.5 million; however, this was offset by a decrease of €0.3 million of personnel costs and €0.2 million of other research, development, and clinical related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General and administrative expenses were approximately €0.9 million for the year ended December 31, 2020, as compared to approximately €0.9 million for the year ended December 31, 2019. The general and administrative expenses remained essentially flat due to our ability to control expenses and focus our resources on research, development, and clinical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Other income was approximately €6,000 for the year ended December 31, 2020, as compared to approximately €36,000 for the year ended December 31, 2019. The decrease of approximately €30,000 was primarily due to the awards granted to the Company in 2019, i.e., the Company won two international prizes for its results on research programs in 2019 without a corresponding award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Finance expense was approximately €7,800 for the year ended December 31, 2020, as compared to approximately €9,600 for the year ended December 31, 2019. The increase of approximately €1,800 was primarily due to small exchange rate gains and losses.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Our loss was approximately €5.6 million for the year ended December 31, 2020, as compared to approximately €4.6 million for the year ended December 31, 2019. The increase of approximately €1.0 million was primarily due to the increased spending related to our GBM research and clinical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sales of quotas. Through June 30, 2021, we had received gross cash proceeds of approximately €35.1 million from sales of our quotas. As of June 30, 2021, we had approximately €10.6 million in cash and cash equivalents.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2"/>
              </w:rPr>
              <w:t>For the Year Ended</w:t>
            </w:r>
          </w:p>
        </w:tc>
      </w:tr>
      <w:tr>
        <w:trPr>
          <w:trHeight w:val="241"/>
        </w:trPr>
        <w:tc>
          <w:tcPr>
            <w:tcW w:w="474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Euros)</w:t>
            </w:r>
          </w:p>
        </w:tc>
        <w:tc>
          <w:tcPr>
            <w:tcW w:w="120" w:type="dxa"/>
            <w:vAlign w:val="bottom"/>
          </w:tcPr>
          <w:p>
            <w:pPr>
              <w:spacing w:after="0"/>
              <w:rPr>
                <w:sz w:val="20"/>
                <w:szCs w:val="20"/>
                <w:color w:val="auto"/>
              </w:rPr>
            </w:pPr>
          </w:p>
        </w:tc>
        <w:tc>
          <w:tcPr>
            <w:tcW w:w="3280" w:type="dxa"/>
            <w:vAlign w:val="bottom"/>
            <w:gridSpan w:val="6"/>
          </w:tcPr>
          <w:p>
            <w:pPr>
              <w:jc w:val="center"/>
              <w:ind w:right="381"/>
              <w:spacing w:after="0"/>
              <w:rPr>
                <w:sz w:val="20"/>
                <w:szCs w:val="20"/>
                <w:color w:val="auto"/>
              </w:rPr>
            </w:pPr>
            <w:r>
              <w:rPr>
                <w:rFonts w:ascii="Arial" w:cs="Arial" w:eastAsia="Arial" w:hAnsi="Arial"/>
                <w:sz w:val="18"/>
                <w:szCs w:val="18"/>
                <w:b w:val="1"/>
                <w:bCs w:val="1"/>
                <w:color w:val="auto"/>
                <w:w w:val="90"/>
              </w:rPr>
              <w:t>For the Six Months Ended June 30,</w:t>
            </w:r>
          </w:p>
        </w:tc>
        <w:tc>
          <w:tcPr>
            <w:tcW w:w="280" w:type="dxa"/>
            <w:vAlign w:val="bottom"/>
          </w:tcPr>
          <w:p>
            <w:pPr>
              <w:spacing w:after="0"/>
              <w:rPr>
                <w:sz w:val="20"/>
                <w:szCs w:val="20"/>
                <w:color w:val="auto"/>
              </w:rPr>
            </w:pPr>
          </w:p>
        </w:tc>
        <w:tc>
          <w:tcPr>
            <w:tcW w:w="180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4"/>
          </w:tcPr>
          <w:p>
            <w:pPr>
              <w:jc w:val="center"/>
              <w:ind w:left="770"/>
              <w:spacing w:after="0"/>
              <w:rPr>
                <w:sz w:val="20"/>
                <w:szCs w:val="20"/>
                <w:color w:val="auto"/>
              </w:rPr>
            </w:pPr>
            <w:r>
              <w:rPr>
                <w:rFonts w:ascii="Arial" w:cs="Arial" w:eastAsia="Arial" w:hAnsi="Arial"/>
                <w:sz w:val="18"/>
                <w:szCs w:val="18"/>
                <w:color w:val="auto"/>
                <w:w w:val="91"/>
              </w:rPr>
              <w:t>(Unaudited)</w:t>
            </w: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(4,690,869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(1,943,466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7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(3,727</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(13,194</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(216,741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14,768,202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7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(4,911,337)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(1,956,524)</w:t>
            </w:r>
          </w:p>
        </w:tc>
        <w:tc>
          <w:tcPr>
            <w:tcW w:w="320" w:type="dxa"/>
            <w:vAlign w:val="bottom"/>
          </w:tcPr>
          <w:p>
            <w:pPr>
              <w:spacing w:after="0"/>
              <w:rPr>
                <w:sz w:val="17"/>
                <w:szCs w:val="17"/>
                <w:color w:val="auto"/>
              </w:rPr>
            </w:pPr>
          </w:p>
        </w:tc>
        <w:tc>
          <w:tcPr>
            <w:tcW w:w="2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9"/>
              </w:rPr>
              <w:t>12,278,015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15,465,243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7,863,364</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10,553,906</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18,184,855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20,141,379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six months ended June 30, 2021 and 2020, operating activities used approximately €4.7 million and €1.9 million, respectively of cash and cash equivalents, resulting from our loss of approximately €4.0 million and by cash used for changes in our operating assets and liabilities of approximately €1.4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December 31, 2020, operating activities used approximately €6.0 million of cash and cash equivalents, resulting from our net loss of approximately €5.6 million and by cash used for changes in our operating assets and liabilities of approximately €0.9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December 31, 2019, operating activities used approximately €2.5 million of cash and cash equivalents, resulting from our net loss of approximately €4.6 million partially offset by cash provided by changes in our operating assets and liabilities of approximately €1.4 million and non-cash charges of approximately €0.7 million. The net changes in our operating assets and liabilities were primarily due to an increase in accruals and liabilities linked to the clinical trials made in cooperation with Ospedale San Raffaele and the related clinical manufacturers. The non-cash charges relate primarily to approximately €0.7 million of share-based compensation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During the six months ended June 30, 2021 and 2020, cash flow from financing activities were €(216,741) and €136, respectively, consisting of cash proceeds from the exercise of options on our class B quota. €172 class B quota was repurchased from Drs. Naldini and Gentner at nominal value, cancelled, and allocated to the option plan as available for grant.</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approximately €1.4 million, primarily consisting of net cash proceeds from the sale of our class E quota, which raised net proceeds of approximately €1.4 million.</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approximately €14.8 million, consisting of net cash proceeds received from the rounds of equity fundraising that occurred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financed our operations to date primarily through proceeds from sales of our quotas to our founding quota holders and other third-party investors. We have incurred losses and generated negative cash flows from operations since inception in 2014. To date we have not generated revenue, and we do not expect to generate significant revenues from the sale of our product candidates in the near future.</w:t>
      </w:r>
    </w:p>
    <w:p>
      <w:pPr>
        <w:spacing w:after="0" w:line="16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As of June 30, 2021, our cash and cash equivalents were approximately €10.6 million. Our primary cash obligations relate to payments to OSR pursuant to our license agreement and other providers of clinical trial related services. We believe that our existing cash and cash equivalents will be sufficient to fund our projected cash requirements through the fourth quarter of 2022. Therefore, we will require significant additional financing in the future to fund our operations. As we continue to assess the effects of the COVID-19 pandemic, we do believe that it is possible that the COVID- 19 pandemic may make financing opportunities scarcer or more difficult or, if such funds are available to us, that such additional financing may not be available in an amount that is sufficient to meet our needs. Our failure to raise capital or enter into such other arrangements when needed would have a negative impact on our financial condition and could force us to delay, reduce or terminate our planned clinical trials or other operations, or grant rights to develop and commercialize product candidates that we would otherwise prefer to develop and commercialize ourselves.</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currently anticipate that we will require approximately €5.2 million for research and development activities over the course of the next twelve months. We also anticipate that we will require approximately €3.1 million for operational expenditures over such twelve-month period, which consists primarily of expenditures for supporting preclinical studies required for obtaining approval to conduct such clinical studies for our product candidates, general and administration labor costs, and fundraising activities. In light of our financial condition, we reduced our operating expenses, including for those purposes listed above, before the start of the COVID-19 pandemic. There can be no assurance that the analysis that we have undertaken or remedial measures that have been enacted will enable us to avoid part or all of any impact from the spread of COVID-19 or its consequences.</w:t>
      </w:r>
    </w:p>
    <w:p>
      <w:pPr>
        <w:spacing w:after="0" w:line="16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cannot predict with certainty all of the particular uses for the net proceeds to be received upon the closing of this offering or the amounts that we will actually spend on the uses set forth above. Predicting the cost necessary to commercialize approved products and develop product candidates can be difficult and the amounts and timing of our actual expenditures may vary significantly depending on numerous factors, including the progress of our development, our plans to develop our in-house drug product and vector manufacturing capabilities, the status of and results from clinical trials, any collaborations that we may enter into with third parties for our product candidates and any unforeseen cash needs. As a result, our management will retain broad discretion over the allocation of the net proceeds from this offering.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3" w:name="page94"/>
    <w:bookmarkEnd w:id="93"/>
    <w:p>
      <w:pPr>
        <w:ind w:firstLine="648"/>
        <w:spacing w:after="0" w:line="263" w:lineRule="auto"/>
        <w:rPr>
          <w:sz w:val="20"/>
          <w:szCs w:val="20"/>
          <w:color w:val="auto"/>
        </w:rPr>
      </w:pPr>
      <w:r>
        <w:rPr>
          <w:rFonts w:ascii="Arial" w:cs="Arial" w:eastAsia="Arial" w:hAnsi="Arial"/>
          <w:sz w:val="18"/>
          <w:szCs w:val="18"/>
          <w:color w:val="auto"/>
        </w:rPr>
        <w:t>Based on our planned use of the net proceeds from this offering and our existing cash, we estimate that such funds will be sufficient to fund our operations and capital expenditure requirements into 2024. We have based this estimate on assumptions that may prove to be wrong, and we could use our available capital resources sooner than we currently expect.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length of the COVID-19 pandemic and its impact on our planned clinical trials,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cost that we may incur under in- and out-licensing arrangements relating to our product candidate that we may enter into in the future;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and timing for, amending current manufacturing agreements for production of sufficient clinical and commercial quantities of our product candidates, or entering into new agreement with existing or new CMOs;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70"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Until we can generate significant revenues, if ever, we expect to satisfy our future cash needs through our existing cash, cash equivalents and short-term deposits, the net proceeds from this current offering, loans, debt or equity financings.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4" w:name="page95"/>
    <w:bookmarkEnd w:id="94"/>
    <w:p>
      <w:pPr>
        <w:ind w:right="440" w:firstLine="648"/>
        <w:spacing w:after="0" w:line="277" w:lineRule="auto"/>
        <w:rPr>
          <w:sz w:val="20"/>
          <w:szCs w:val="20"/>
          <w:color w:val="auto"/>
        </w:rPr>
      </w:pPr>
      <w:r>
        <w:rPr>
          <w:rFonts w:ascii="Arial" w:cs="Arial" w:eastAsia="Arial" w:hAnsi="Arial"/>
          <w:sz w:val="18"/>
          <w:szCs w:val="18"/>
          <w:color w:val="auto"/>
        </w:rPr>
        <w:t>We believe that the accounting policies described below are critical in order to understand the judgements and estimates used in the financial statements and to fully understand and evaluate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660" w:right="6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 especially, OSR, a co-founding quotaholder, significant related party vendor and a leading center for ex-vivo gene therapy for inherited diseases;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To reward the efforts of employees, directors, and certain consultants to promote our growth, our Board of Directors has historically approved, during its existence, various share-based awards, although no share-based awards were granted during the year ended December 31, 2020; however, during the six months ended June 30, 2021, the Board granted fully vested options on €169 quota B. In addition, the Board accelerated the vesting of other stock options on €546 quota B that were previously granted. This amounted to a total of €715 quota B that were exercised prior to the Corporate Conversion. All options were awarded with an exercise price of €1 per quota and, when exercised, were first converted to Quota B of Genenta Science S.r.l. and then to ordinary shares giving effect to our Corporate Conversion to Genenta Science S.p.A. All options have now been granted and there were no outstanding options as of June 30, 2021. The Board is implementing a new stock option plan (the Company’s “Equity Incentive Plan 2021–2025”) based on a maximum of 2.7 million of new ordinary shares (i.e., common stock) or 10% of the number of shares outstanding after the next round of financing. The new stock option plan will be implemented by the Compensation and Nominating Committee of the Board of Directors after the next round of financing.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5" w:name="page96"/>
    <w:bookmarkEnd w:id="95"/>
    <w:p>
      <w:pPr>
        <w:ind w:firstLine="648"/>
        <w:spacing w:after="0" w:line="257" w:lineRule="auto"/>
        <w:rPr>
          <w:sz w:val="20"/>
          <w:szCs w:val="20"/>
          <w:color w:val="auto"/>
        </w:rPr>
      </w:pPr>
      <w:r>
        <w:rPr>
          <w:rFonts w:ascii="Arial" w:cs="Arial" w:eastAsia="Arial" w:hAnsi="Arial"/>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Quota B valuations (Pre-Conversion to S.p.A.)</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fair value of the Quota B of Genenta Science S.r.l. underlying our stock-based compensation grants prior to our Corporate Conversion has historically been determined by our board of directors, with input from management and third-party valuations. We believe that the board of directors has the relevant experience and expertise to determine the fair value of the Quota B, when also securing third-party assistance. Given the absence of a public trading market of our equity, and in accordance with the American Institute of Certified Public Accountants Practice Aid, Valuation of Privately-Held Company Equity Securities Issued as Compensation, the board of directors exercised reasonable judgment and considered numerous objective and subjective factors to determine the best estimate of the fair value of our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price of our equity to third-party, arms-length, sophisticated, and qualified investors, which was used in the OPM backsolve model;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Quota C, D, and E preferred equity classes relative to those of our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for our programs and product candidates; including statements regarding the timing of initiation and completion of trials or studies and related preparatory work, the period during which the results of the trials will become available and our research and development programs;</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given prevailing market conditions, or other liquidation events for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6" w:name="page97"/>
    <w:bookmarkEnd w:id="96"/>
    <w:p>
      <w:pPr>
        <w:ind w:firstLine="648"/>
        <w:spacing w:after="0" w:line="279" w:lineRule="auto"/>
        <w:rPr>
          <w:sz w:val="20"/>
          <w:szCs w:val="20"/>
          <w:color w:val="auto"/>
        </w:rPr>
      </w:pPr>
      <w:r>
        <w:rPr>
          <w:rFonts w:ascii="Arial" w:cs="Arial" w:eastAsia="Arial" w:hAnsi="Arial"/>
          <w:sz w:val="17"/>
          <w:szCs w:val="17"/>
          <w:color w:val="auto"/>
        </w:rPr>
        <w:t>In valuing the Quota B, the board of directors determined the equity value of our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 Company Equity Securities Issued as Compensation. Our option valuations were prepared using an option pricing method (“OPM”), which used market approaches to estimate our enterprise value.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OPM treats each equity class as a call options on the total equity value of a company, with exercise prices </w:t>
      </w:r>
      <w:r>
        <w:rPr>
          <w:rFonts w:ascii="Arial" w:cs="Arial" w:eastAsia="Arial" w:hAnsi="Arial"/>
          <w:sz w:val="18"/>
          <w:szCs w:val="18"/>
          <w:i w:val="1"/>
          <w:iCs w:val="1"/>
          <w:color w:val="auto"/>
        </w:rPr>
        <w:t>(i.e.</w:t>
      </w:r>
      <w:r>
        <w:rPr>
          <w:rFonts w:ascii="Arial" w:cs="Arial" w:eastAsia="Arial" w:hAnsi="Arial"/>
          <w:sz w:val="18"/>
          <w:szCs w:val="18"/>
          <w:color w:val="auto"/>
        </w:rPr>
        <w:t>,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Application of our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Quota B, and consequently, our share-based compensation expense could be materially different. For valuations after the completion of an initial public offering, the board of directors will determine the fair value of each share of underlying equity shares based on the closing price of the shares as reported on the date of grant.</w:t>
      </w:r>
    </w:p>
    <w:p>
      <w:pPr>
        <w:spacing w:after="0" w:line="19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On June 18, 2021, all Quota B were converted, with all other classes of Quota, into ordinary common stock based essentially on their ownership percentages. All previous rights and privileges of the classes of quotaholders were cancelled and all owners received their pro rata ownership in the same class of ordinary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tax credit receivables</w:t>
      </w:r>
    </w:p>
    <w:p>
      <w:pPr>
        <w:spacing w:after="0" w:line="22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 xml:space="preserve">We account for our research and development tax credit receivable in accordance with IAS 20 </w:t>
      </w:r>
      <w:r>
        <w:rPr>
          <w:rFonts w:ascii="Arial" w:cs="Arial" w:eastAsia="Arial" w:hAnsi="Arial"/>
          <w:sz w:val="16"/>
          <w:szCs w:val="16"/>
          <w:i w:val="1"/>
          <w:iCs w:val="1"/>
          <w:color w:val="auto"/>
        </w:rPr>
        <w:t>Accounting for Government Grants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of Government Assistance</w:t>
      </w:r>
      <w:r>
        <w:rPr>
          <w:rFonts w:ascii="Arial" w:cs="Arial" w:eastAsia="Arial" w:hAnsi="Arial"/>
          <w:sz w:val="16"/>
          <w:szCs w:val="16"/>
          <w:color w:val="auto"/>
        </w:rPr>
        <w:t>. The receivable is recognized when there is reasonable assurance that: (1) the recipient will comply with the relevant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(2) the grant will be received. We elected to present the credit net of the related expenditure on the statements of operations and comprehensive loss.</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not engaged in any off-balance sheet arrangements, such as the use of unconsolidated subsidiaries, structured finance, special purpose entities or variable interest entities.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7" w:name="page98"/>
    <w:bookmarkEnd w:id="97"/>
    <w:p>
      <w:pPr>
        <w:ind w:right="40" w:firstLine="648"/>
        <w:spacing w:after="0" w:line="263" w:lineRule="auto"/>
        <w:rPr>
          <w:sz w:val="20"/>
          <w:szCs w:val="20"/>
          <w:color w:val="auto"/>
        </w:rPr>
      </w:pPr>
      <w:r>
        <w:rPr>
          <w:rFonts w:ascii="Arial" w:cs="Arial" w:eastAsia="Arial" w:hAnsi="Arial"/>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results of operations and cash flow are not subject to significant fluctuations due to changes in foreign currency exchange rates. As discussed above, most of our liquid assets and our expenses are denominated in EUR. Changes of 5% and 10% in the USD/EUR exchange rate would not have significantly increased/decreased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214" w:lineRule="exact"/>
        <w:rPr>
          <w:sz w:val="20"/>
          <w:szCs w:val="20"/>
          <w:color w:val="auto"/>
        </w:rPr>
      </w:pPr>
    </w:p>
    <w:p>
      <w:pPr>
        <w:ind w:left="660" w:right="14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therapeutic candidate is designed as a “</w:t>
      </w:r>
      <w:r>
        <w:rPr>
          <w:rFonts w:ascii="Arial" w:cs="Arial" w:eastAsia="Arial" w:hAnsi="Arial"/>
          <w:sz w:val="16"/>
          <w:szCs w:val="16"/>
          <w:i w:val="1"/>
          <w:iCs w:val="1"/>
          <w:color w:val="auto"/>
        </w:rPr>
        <w:t>living therapy</w:t>
      </w:r>
      <w:r>
        <w:rPr>
          <w:rFonts w:ascii="Arial" w:cs="Arial" w:eastAsia="Arial" w:hAnsi="Arial"/>
          <w:sz w:val="16"/>
          <w:szCs w:val="16"/>
          <w:color w:val="auto"/>
        </w:rPr>
        <w:t>”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right="4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CAR-T cells, our platform is not restricted to a pre-selected tumor antigen, nor any one tumor</w:t>
      </w:r>
      <w:r>
        <w:rPr>
          <w:rFonts w:ascii="Arial" w:cs="Arial" w:eastAsia="Arial" w:hAnsi="Arial"/>
          <w:sz w:val="18"/>
          <w:szCs w:val="18"/>
          <w:i w:val="1"/>
          <w:iCs w:val="1"/>
          <w:color w:val="auto"/>
        </w:rPr>
        <w:t xml:space="preserve"> </w:t>
      </w:r>
      <w:r>
        <w:rPr>
          <w:rFonts w:ascii="Arial" w:cs="Arial" w:eastAsia="Arial" w:hAnsi="Arial"/>
          <w:sz w:val="18"/>
          <w:szCs w:val="18"/>
          <w:color w:val="auto"/>
        </w:rPr>
        <w:t>type. As such, it may be applied to a broad range of solid tumors and cancer subtypes, which would overcome one of the central unresolved challenges of immune-oncology cancer therapies.</w:t>
      </w:r>
    </w:p>
    <w:p>
      <w:pPr>
        <w:spacing w:after="0" w:line="21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Arial" w:cs="Arial" w:eastAsia="Arial" w:hAnsi="Arial"/>
          <w:sz w:val="16"/>
          <w:szCs w:val="16"/>
          <w:b w:val="1"/>
          <w:bCs w:val="1"/>
          <w:color w:val="auto"/>
        </w:rPr>
        <w:t>-</w:t>
      </w:r>
      <w:r>
        <w:rPr>
          <w:rFonts w:ascii="Arial" w:cs="Arial" w:eastAsia="Arial" w:hAnsi="Arial"/>
          <w:sz w:val="16"/>
          <w:szCs w:val="16"/>
          <w:color w:val="auto"/>
        </w:rPr>
        <w:t>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spacing w:after="0" w:line="191"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We are currently developing Temferon for the treatment of glioblastoma multiforme (GBM) in patients who have an unmethylated MGMT gene promoter (uMGMT-GBM).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We are currently conducting a Phase 1/2a clinical trial with Temferon in newly diagnosed uMGMT-GBM patients in Italy. We anticipate completing enrollment and patient dosing by the second quarter of 2022. We intend to use the preliminary results of our Phase 1/2a clinical trial to support a Clinical Trial Application to conduct in EU a multicenter Phase 2 trial in uMGMT-GBM,</w:t>
      </w:r>
    </w:p>
    <w:p>
      <w:pPr>
        <w:spacing w:after="0" w:line="5"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which we currently intend to conduct primarily in Italy.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have dosed a total of 15 patients. The preliminary results show that Temferon has been generally well tolerated, with no dose limiting toxicities identified so far.</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99" w:name="page100"/>
    <w:bookmarkEnd w:id="99"/>
    <w:p>
      <w:pPr>
        <w:ind w:firstLine="648"/>
        <w:spacing w:after="0" w:line="272" w:lineRule="auto"/>
        <w:rPr>
          <w:sz w:val="20"/>
          <w:szCs w:val="20"/>
          <w:color w:val="auto"/>
        </w:rPr>
      </w:pPr>
      <w:r>
        <w:rPr>
          <w:rFonts w:ascii="Arial" w:cs="Arial" w:eastAsia="Arial" w:hAnsi="Arial"/>
          <w:sz w:val="17"/>
          <w:szCs w:val="17"/>
          <w:color w:val="auto"/>
        </w:rPr>
        <w:t>We also intend to develop Temferon for the treatment of other solid tumor indications, and locally advanced hepatocellular carcinoma (HCC) and intra-hepatic cholangiocarcinoma (ICC) are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w:t>
      </w:r>
    </w:p>
    <w:p>
      <w:pPr>
        <w:spacing w:after="0" w:line="20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to our Temferon programs that target uMGMT-GBM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(Ospedale San Raffaele or OSR) in Milan, a globally recognized premier research hospital for </w:t>
      </w:r>
      <w:r>
        <w:rPr>
          <w:rFonts w:ascii="Arial" w:cs="Arial" w:eastAsia="Arial" w:hAnsi="Arial"/>
          <w:sz w:val="17"/>
          <w:szCs w:val="17"/>
          <w:i w:val="1"/>
          <w:iCs w:val="1"/>
          <w:color w:val="auto"/>
        </w:rPr>
        <w:t xml:space="preserve">ex-vivo </w:t>
      </w:r>
      <w:r>
        <w:rPr>
          <w:rFonts w:ascii="Arial" w:cs="Arial" w:eastAsia="Arial" w:hAnsi="Arial"/>
          <w:sz w:val="17"/>
          <w:szCs w:val="17"/>
          <w:color w:val="auto"/>
        </w:rPr>
        <w:t>gene therapy, with Pierluigi Paracchi (our CEO), Luigi Naldini (Chairman of our Executive Scientific Board) and Bernhard Gentner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Executive Scientific Board), to develop potential ground-breaking cell and gene cancer therapies. We leverage the vast experience in LVV technology of the San Raffaele Telethon Institute for Gene Therapy (SR-Tiget), a world leading cell and gene therapy research institution on the forefront of developing therapies for rare diseases that is a joint venture between OSR and Fondazione Telethon (Telethon).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that give rise to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exclusive option rights, to certain intellectual property originating there.</w:t>
      </w:r>
    </w:p>
    <w:p>
      <w:pPr>
        <w:spacing w:after="0" w:line="21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Our leadership team has a proven track record as biotech executives. Their expertise span from finance and venture capital to medical affairs, scientific research, clinical drug product development and clinical trial management and conduction. For example, members of our management team have been involved in the successful development of Ethical Oncology Science, which was acquired in 2013 for over $400 million, and Strimvelis the first ever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product that was developed under the guide of Carlo Russo, our Chief Medical Officer and Head of Development (formerly Head of Development of the Biopharm Unit and Head of Research &amp; Development of the Rare Disease Unit at GSK). Our management team members have played important roles in both large pharma companies such as Merck and GSK, and life science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Our portfolio of clinical and preclinical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pipeline, with clinical and preclinical stage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168910</wp:posOffset>
            </wp:positionV>
            <wp:extent cx="5743575" cy="2674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4357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uMGMT-GBM patients and patients suffering from another solid cancer indication such as HCC and ICC, but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currently conducting a Phase 1/2a dose-escalation study in Italy to primarily evaluate the safety and tolerability of Temferon in up to 21 uMGMT-GBM patients who have an unmethylated MGMT promoter, following radiotherapy treatment. We plan to initiate in Europe a multicenter Phase 2 trial in uMGMT-GBM, which we currently intend to conduct primarily in Italy to evaluate the safety and efficacy of Temferon in up to 27 uMGMT-GBM patients who have an unmethylated MGMT promoter where we intend to measure progression free survival (PFS) and overall survival (OS) as endpoints.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right="120" w:hanging="328"/>
        <w:spacing w:after="0" w:line="25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 second solid tumor indication and locally advanced HCC and ICC are under consideration. The Istituto Superiore di Sanità (ISS), an independent committee with oversight from the Italian Ministry of Health, must issue a positive opinion regarding our CTA before AIFA will approve it and we may start patient’s recruitment. In addition to HCC and ICC,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Using our platform with different transgene payloads</w:t>
      </w:r>
      <w:r>
        <w:rPr>
          <w:rFonts w:ascii="Arial" w:cs="Arial" w:eastAsia="Arial" w:hAnsi="Arial"/>
          <w:sz w:val="18"/>
          <w:szCs w:val="18"/>
          <w:color w:val="auto"/>
        </w:rPr>
        <w:t>. 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400" w:hanging="328"/>
        <w:spacing w:after="0" w:line="311"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108" w:lineRule="exact"/>
        <w:rPr>
          <w:rFonts w:ascii="Arial" w:cs="Arial" w:eastAsia="Arial" w:hAnsi="Arial"/>
          <w:sz w:val="16"/>
          <w:szCs w:val="16"/>
          <w:color w:val="auto"/>
        </w:rPr>
      </w:pPr>
    </w:p>
    <w:p>
      <w:pPr>
        <w:ind w:left="660" w:right="40" w:hanging="328"/>
        <w:spacing w:after="0" w:line="286"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Exploring combination therapies</w:t>
      </w:r>
      <w:r>
        <w:rPr>
          <w:rFonts w:ascii="Arial" w:cs="Arial" w:eastAsia="Arial" w:hAnsi="Arial"/>
          <w:sz w:val="17"/>
          <w:szCs w:val="17"/>
          <w:color w:val="auto"/>
        </w:rPr>
        <w:t>. We will seek to enter into collaborations with other companies to explore combination studies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with other cancer therapies, such as ICI, CAR-T cell therapies and TCR therapies. We believe our product, as a result of its MoA, has the potential to enhance the durability and efficacy of the existing therapies, thus abolishing the immune tolerance to the tumor.</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Exploiting in-licensing opportunities with OSR</w:t>
      </w:r>
      <w:r>
        <w:rPr>
          <w:rFonts w:ascii="Arial" w:cs="Arial" w:eastAsia="Arial" w:hAnsi="Arial"/>
          <w:sz w:val="18"/>
          <w:szCs w:val="18"/>
          <w:color w:val="auto"/>
        </w:rPr>
        <w:t>. We intend to exploit in-licensing opportunities with OSR, a co-founding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To meet our drug product supply needs for conducting larger trials after the completion of our planned Phase 2 uMGMT-GBM study in Europe, we intend to enter into a supply agreement with a US-based CMO for the manufacturing of our products. Currently, Temferon, is manufactured by AGC Biologics, a leading global contract development and manufacturing organization (CDMO), which is headquartered in Italy and specializes in the manufacturing of viral vectors and genetically engineered cells. Their facility is certified by AIFA.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choose to partner with larger pharmaceutical companies whose core competencies and oncology strategies are in line with ours.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 xml:space="preserve">We believe that our growing body of early clinical data evidencing the potential of our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176" w:lineRule="exact"/>
        <w:rPr>
          <w:sz w:val="20"/>
          <w:szCs w:val="20"/>
          <w:color w:val="auto"/>
        </w:rPr>
      </w:pPr>
    </w:p>
    <w:p>
      <w:pPr>
        <w:ind w:left="660" w:hanging="328"/>
        <w:spacing w:after="0" w:line="288"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 OSR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123" w:lineRule="exact"/>
        <w:rPr>
          <w:rFonts w:ascii="Arial" w:cs="Arial" w:eastAsia="Arial" w:hAnsi="Arial"/>
          <w:sz w:val="16"/>
          <w:szCs w:val="16"/>
          <w:color w:val="auto"/>
        </w:rPr>
      </w:pPr>
    </w:p>
    <w:p>
      <w:pPr>
        <w:ind w:left="660" w:right="20" w:hanging="328"/>
        <w:spacing w:after="0" w:line="28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programs, gives us the ability to grow our pipeline by targeting a broad set of cancer diseases.</w:t>
      </w:r>
    </w:p>
    <w:p>
      <w:pPr>
        <w:spacing w:after="0" w:line="121" w:lineRule="exact"/>
        <w:rPr>
          <w:rFonts w:ascii="Arial" w:cs="Arial" w:eastAsia="Arial" w:hAnsi="Arial"/>
          <w:sz w:val="18"/>
          <w:szCs w:val="18"/>
          <w:color w:val="auto"/>
        </w:rPr>
      </w:pPr>
    </w:p>
    <w:p>
      <w:pPr>
        <w:ind w:left="660" w:right="720" w:hanging="328"/>
        <w:spacing w:after="0" w:line="282" w:lineRule="auto"/>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twelve treated uMGMT-GBM patients following a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administration of Temferon displayed modified cells at 18 months, the last measured timepoint to date.</w:t>
      </w:r>
    </w:p>
    <w:p>
      <w:pPr>
        <w:spacing w:after="0" w:line="121" w:lineRule="exact"/>
        <w:rPr>
          <w:rFonts w:ascii="Arial" w:cs="Arial" w:eastAsia="Arial" w:hAnsi="Arial"/>
          <w:sz w:val="18"/>
          <w:szCs w:val="18"/>
          <w:b w:val="1"/>
          <w:bCs w:val="1"/>
          <w:color w:val="auto"/>
        </w:rPr>
      </w:pPr>
    </w:p>
    <w:p>
      <w:pPr>
        <w:ind w:left="660" w:right="80" w:hanging="328"/>
        <w:spacing w:after="0" w:line="261" w:lineRule="auto"/>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 restrict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b w:val="1"/>
          <w:bCs w:val="1"/>
          <w:color w:val="auto"/>
        </w:rPr>
      </w:pPr>
    </w:p>
    <w:p>
      <w:pPr>
        <w:ind w:left="660" w:right="380" w:hanging="328"/>
        <w:spacing w:after="0" w:line="342" w:lineRule="auto"/>
        <w:tabs>
          <w:tab w:leader="none" w:pos="66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b w:val="1"/>
          <w:bCs w:val="1"/>
          <w:color w:val="auto"/>
        </w:rPr>
      </w:pPr>
    </w:p>
    <w:p>
      <w:pPr>
        <w:ind w:left="660" w:right="100" w:hanging="328"/>
        <w:spacing w:after="0" w:line="263" w:lineRule="auto"/>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 novel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b w:val="1"/>
          <w:bCs w:val="1"/>
          <w:color w:val="auto"/>
        </w:rPr>
      </w:pPr>
    </w:p>
    <w:p>
      <w:pPr>
        <w:jc w:val="both"/>
        <w:ind w:left="660" w:right="60" w:hanging="328"/>
        <w:spacing w:after="0" w:line="311"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 and sustained tumor surveillance. </w:t>
      </w:r>
      <w:r>
        <w:rPr>
          <w:rFonts w:ascii="Arial" w:cs="Arial" w:eastAsia="Arial" w:hAnsi="Arial"/>
          <w:sz w:val="16"/>
          <w:szCs w:val="16"/>
          <w:color w:val="auto"/>
        </w:rPr>
        <w:t>Our immune-gene investigational therapy is designed to trigger the patient’s own immune response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holds promise to fine tune the dose to be administered based on individual patient characteristics.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3" w:name="page104"/>
    <w:bookmarkEnd w:id="103"/>
    <w:p>
      <w:pPr>
        <w:ind w:left="66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660" w:right="100" w:hanging="328"/>
        <w:spacing w:after="0" w:line="272"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LVV gene therapy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Current IO Treatments</w:t>
      </w:r>
    </w:p>
    <w:p>
      <w:pPr>
        <w:spacing w:after="0" w:line="25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 Immuno-oncology therapy is recognized as an important type of cancer treatment in addition to more established options such as surgery, chemotherapy, targeted therapy and radiation therapy. Indeed, the number of IO therapeutics in development worldwide grew 233% from 2017 to 2020. IO therapeutics, which rely on the natural activity of the immune system to fight cancers in various ways, are grouped, by the Cancer Research Institute, in five main classes reported in the tables below.</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466090</wp:posOffset>
            </wp:positionV>
            <wp:extent cx="5743575" cy="4852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4357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Limitations of IO Approaches</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Despite significant advances, the clinical application of immunotherapy for cancer patients still faces challenges, including:</w:t>
      </w:r>
    </w:p>
    <w:p>
      <w:pPr>
        <w:spacing w:after="0" w:line="27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Development of tumor resistance (positive selection of tumor cells bearing advantageous mutations);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Dependence on specific targets;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Poor response for many patients;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Lack of a durable response;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Side effects;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Need for multiple dosing for most IO classes;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Inability to efficiently target many solid tumors.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5" w:name="page106"/>
    <w:bookmarkEnd w:id="105"/>
    <w:p>
      <w:pPr>
        <w:ind w:right="320" w:firstLine="648"/>
        <w:spacing w:after="0" w:line="277" w:lineRule="auto"/>
        <w:rPr>
          <w:sz w:val="20"/>
          <w:szCs w:val="20"/>
          <w:color w:val="auto"/>
        </w:rPr>
      </w:pPr>
      <w:r>
        <w:rPr>
          <w:rFonts w:ascii="Arial" w:cs="Arial" w:eastAsia="Arial" w:hAnsi="Arial"/>
          <w:sz w:val="18"/>
          <w:szCs w:val="18"/>
          <w:color w:val="auto"/>
        </w:rPr>
        <w:t>In addition, manufacturing scalability of some IO approaches remains a challenge and significantly limits market penetration. The table below reports some of the main limitations for each IO class.</w:t>
      </w:r>
    </w:p>
    <w:p>
      <w:pPr>
        <w:spacing w:after="0" w:line="189" w:lineRule="exact"/>
        <w:rPr>
          <w:sz w:val="20"/>
          <w:szCs w:val="20"/>
          <w:color w:val="auto"/>
        </w:rPr>
      </w:pPr>
    </w:p>
    <w:p>
      <w:pPr>
        <w:ind w:left="480"/>
        <w:spacing w:after="0"/>
        <w:tabs>
          <w:tab w:leader="none" w:pos="6060" w:val="left"/>
        </w:tabs>
        <w:rPr>
          <w:sz w:val="20"/>
          <w:szCs w:val="20"/>
          <w:color w:val="auto"/>
        </w:rPr>
      </w:pPr>
      <w:r>
        <w:rPr>
          <w:rFonts w:ascii="Arial" w:cs="Arial" w:eastAsia="Arial" w:hAnsi="Arial"/>
          <w:sz w:val="14"/>
          <w:szCs w:val="14"/>
          <w:b w:val="1"/>
          <w:bCs w:val="1"/>
          <w:color w:val="auto"/>
        </w:rPr>
        <w:t>IO Class</w:t>
      </w:r>
      <w:r>
        <w:rPr>
          <w:sz w:val="20"/>
          <w:szCs w:val="20"/>
          <w:color w:val="auto"/>
        </w:rPr>
        <w:tab/>
      </w:r>
      <w:r>
        <w:rPr>
          <w:rFonts w:ascii="Arial" w:cs="Arial" w:eastAsia="Arial" w:hAnsi="Arial"/>
          <w:sz w:val="13"/>
          <w:szCs w:val="13"/>
          <w:b w:val="1"/>
          <w:bCs w:val="1"/>
          <w:color w:val="auto"/>
        </w:rPr>
        <w:t>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00"/>
        <w:spacing w:after="0" w:line="381" w:lineRule="auto"/>
        <w:rPr>
          <w:sz w:val="20"/>
          <w:szCs w:val="20"/>
          <w:color w:val="auto"/>
        </w:rPr>
      </w:pPr>
      <w:r>
        <w:rPr>
          <w:rFonts w:ascii="Arial" w:cs="Arial" w:eastAsia="Arial" w:hAnsi="Arial"/>
          <w:sz w:val="15"/>
          <w:szCs w:val="15"/>
          <w:b w:val="1"/>
          <w:bCs w:val="1"/>
          <w:i w:val="1"/>
          <w:iCs w:val="1"/>
          <w:color w:val="auto"/>
        </w:rPr>
        <w:t>Cell-based immunotherapies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40" w:hanging="326"/>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Graft versus host disease (GVHD)</w:t>
      </w:r>
    </w:p>
    <w:p>
      <w:pPr>
        <w:spacing w:after="0" w:line="23" w:lineRule="exact"/>
        <w:rPr>
          <w:rFonts w:ascii="Arial" w:cs="Arial" w:eastAsia="Arial" w:hAnsi="Arial"/>
          <w:sz w:val="18"/>
          <w:szCs w:val="18"/>
          <w:color w:val="auto"/>
        </w:rPr>
      </w:pPr>
    </w:p>
    <w:p>
      <w:pPr>
        <w:ind w:left="440" w:hanging="326"/>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Only a limited number of antigens may be targeted currently</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Inability to target multiple antigens at the same time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Some antigens targeting may be ineffective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majority of TILs within the tumor microenvironment are exhausted so even tumor-specific T cells are hypo-responsive</w:t>
      </w:r>
    </w:p>
    <w:p>
      <w:pPr>
        <w:spacing w:after="0" w:line="20" w:lineRule="exact"/>
        <w:rPr>
          <w:rFonts w:ascii="Arial" w:cs="Arial" w:eastAsia="Arial" w:hAnsi="Arial"/>
          <w:sz w:val="17"/>
          <w:szCs w:val="17"/>
          <w:color w:val="auto"/>
        </w:rPr>
      </w:pPr>
    </w:p>
    <w:p>
      <w:pPr>
        <w:ind w:left="440" w:right="20" w:hanging="326"/>
        <w:spacing w:after="0" w:line="250"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CAR-T cells can only recognize antigens that are naturally expressed on the cell surface, so the range of potential antigen targets is smaller than with TCRs</w:t>
      </w:r>
    </w:p>
    <w:p>
      <w:pPr>
        <w:ind w:left="440" w:hanging="326"/>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Presence of target-negative tumor cells cause relapse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-1090930</wp:posOffset>
            </wp:positionV>
            <wp:extent cx="7132320" cy="12344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tabs>
          <w:tab w:leader="none" w:pos="420" w:val="left"/>
        </w:tabs>
        <w:rPr>
          <w:sz w:val="20"/>
          <w:szCs w:val="20"/>
          <w:color w:val="auto"/>
        </w:rPr>
      </w:pPr>
      <w:r>
        <w:rPr>
          <w:sz w:val="1"/>
          <w:szCs w:val="1"/>
          <w:color w:val="auto"/>
        </w:rPr>
        <w:drawing>
          <wp:inline distT="0" distB="0" distL="0" distR="0">
            <wp:extent cx="76835" cy="1143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114300"/>
                    </a:xfrm>
                    <a:prstGeom prst="rect">
                      <a:avLst/>
                    </a:prstGeom>
                    <a:noFill/>
                    <a:ln>
                      <a:noFill/>
                    </a:ln>
                  </pic:spPr>
                </pic:pic>
              </a:graphicData>
            </a:graphic>
          </wp:inline>
        </w:drawing>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Limited penetration and distribution into solid tumor tissues</w:t>
      </w:r>
    </w:p>
    <w:p>
      <w:pPr>
        <w:spacing w:after="0" w:line="200" w:lineRule="exact"/>
        <w:rPr>
          <w:sz w:val="20"/>
          <w:szCs w:val="20"/>
          <w:color w:val="auto"/>
        </w:rPr>
      </w:pPr>
    </w:p>
    <w:p>
      <w:pPr>
        <w:sectPr>
          <w:pgSz w:w="11900" w:h="16838" w:orient="portrait"/>
          <w:cols w:equalWidth="0" w:num="2">
            <w:col w:w="1400" w:space="100"/>
            <w:col w:w="9720"/>
          </w:cols>
          <w:pgMar w:left="320" w:top="719" w:right="359" w:bottom="1440" w:gutter="0" w:footer="0" w:header="0"/>
          <w:type w:val="continuous"/>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Immunomodulators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Vaccines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0" w:right="20"/>
        <w:spacing w:after="0" w:line="381" w:lineRule="auto"/>
        <w:rPr>
          <w:sz w:val="20"/>
          <w:szCs w:val="20"/>
          <w:color w:val="auto"/>
        </w:rPr>
      </w:pPr>
      <w:r>
        <w:rPr>
          <w:rFonts w:ascii="Arial" w:cs="Arial" w:eastAsia="Arial" w:hAnsi="Arial"/>
          <w:sz w:val="15"/>
          <w:szCs w:val="15"/>
          <w:b w:val="1"/>
          <w:bCs w:val="1"/>
          <w:i w:val="1"/>
          <w:iCs w:val="1"/>
          <w:color w:val="auto"/>
        </w:rPr>
        <w:t>Antibody-based targeted therapies</w:t>
      </w:r>
    </w:p>
    <w:p>
      <w:pPr>
        <w:spacing w:after="0" w:line="20" w:lineRule="exact"/>
        <w:rPr>
          <w:sz w:val="20"/>
          <w:szCs w:val="20"/>
          <w:color w:val="auto"/>
        </w:rPr>
      </w:pPr>
      <w:r>
        <w:rPr>
          <w:sz w:val="20"/>
          <w:szCs w:val="20"/>
          <w:color w:val="auto"/>
        </w:rPr>
        <w:br w:type="column"/>
      </w:r>
    </w:p>
    <w:p>
      <w:pPr>
        <w:ind w:left="326" w:hanging="326"/>
        <w:spacing w:after="0"/>
        <w:tabs>
          <w:tab w:leader="none" w:pos="3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Loss of self-tolerance (establishment of autoimmunity associated with failure of tumor rejection)</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Absence of reliable biomarkers and thresholds to identify the most likely responsive population</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w:t>
      </w:r>
    </w:p>
    <w:p>
      <w:pPr>
        <w:spacing w:after="0" w:line="210" w:lineRule="exact"/>
        <w:rPr>
          <w:rFonts w:ascii="Arial" w:cs="Arial" w:eastAsia="Arial" w:hAnsi="Arial"/>
          <w:sz w:val="18"/>
          <w:szCs w:val="18"/>
          <w:color w:val="auto"/>
        </w:rPr>
      </w:pPr>
    </w:p>
    <w:p>
      <w:pPr>
        <w:ind w:left="326" w:hanging="326"/>
        <w:spacing w:after="0"/>
        <w:tabs>
          <w:tab w:leader="none" w:pos="3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Absence of universal antigens (each individual’s tumor is unique and has its own distinguishing antigens)</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Presence of a compromised/weak/immunosuppressed immune system</w:t>
      </w:r>
    </w:p>
    <w:p>
      <w:pPr>
        <w:spacing w:after="0" w:line="210" w:lineRule="exact"/>
        <w:rPr>
          <w:rFonts w:ascii="Arial" w:cs="Arial" w:eastAsia="Arial" w:hAnsi="Arial"/>
          <w:sz w:val="18"/>
          <w:szCs w:val="18"/>
          <w:color w:val="auto"/>
        </w:rPr>
      </w:pPr>
    </w:p>
    <w:p>
      <w:pPr>
        <w:ind w:left="326" w:right="240" w:hanging="326"/>
        <w:spacing w:after="0" w:line="258" w:lineRule="auto"/>
        <w:tabs>
          <w:tab w:leader="none" w:pos="3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 (mAbs directed against tumor-specific antigens largely remain in the blood and no more than 20% of the administered dose typically interacts with the tumor)</w:t>
      </w:r>
    </w:p>
    <w:p>
      <w:pPr>
        <w:spacing w:after="0" w:line="1" w:lineRule="exact"/>
        <w:rPr>
          <w:rFonts w:ascii="Arial" w:cs="Arial" w:eastAsia="Arial" w:hAnsi="Arial"/>
          <w:sz w:val="18"/>
          <w:szCs w:val="18"/>
          <w:color w:val="auto"/>
        </w:rPr>
      </w:pPr>
    </w:p>
    <w:p>
      <w:pPr>
        <w:ind w:left="326" w:hanging="326"/>
        <w:spacing w:after="0"/>
        <w:tabs>
          <w:tab w:leader="none" w:pos="3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Low binding affinity between the antibody and its receptor</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Antibody uptake limit</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Competition for target binding between the therapeutic antibodies and a patient’s antibodies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8"/>
        </w:numPr>
        <w:rPr>
          <w:rFonts w:ascii="Arial" w:cs="Arial" w:eastAsia="Arial" w:hAnsi="Arial"/>
          <w:sz w:val="16"/>
          <w:szCs w:val="16"/>
          <w:color w:val="auto"/>
        </w:rPr>
      </w:pPr>
      <w:r>
        <w:rPr>
          <w:rFonts w:ascii="Arial" w:cs="Arial" w:eastAsia="Arial" w:hAnsi="Arial"/>
          <w:sz w:val="16"/>
          <w:szCs w:val="16"/>
          <w:color w:val="auto"/>
        </w:rPr>
        <w:t>Speed of diffusion through tumors is mAb size dependent (large tumor masses may be more difficult to treat by mAb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-1213485</wp:posOffset>
            </wp:positionV>
            <wp:extent cx="7132320" cy="274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14"/>
            <w:col w:w="9606"/>
          </w:cols>
          <w:pgMar w:left="320" w:top="719" w:right="3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Oncolytic viruses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IO for Solid Tumors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26" w:hanging="326"/>
        <w:spacing w:after="0"/>
        <w:tabs>
          <w:tab w:leader="none" w:pos="326"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Development of neutralizing antibodies by the host, which limits the viral delivery to cancer sites and the therapeutic effect</w:t>
      </w:r>
    </w:p>
    <w:p>
      <w:pPr>
        <w:spacing w:after="0" w:line="46" w:lineRule="exact"/>
        <w:rPr>
          <w:rFonts w:ascii="Arial" w:cs="Arial" w:eastAsia="Arial" w:hAnsi="Arial"/>
          <w:sz w:val="16"/>
          <w:szCs w:val="16"/>
          <w:color w:val="auto"/>
        </w:rPr>
      </w:pPr>
    </w:p>
    <w:p>
      <w:pPr>
        <w:ind w:left="326" w:hanging="326"/>
        <w:spacing w:after="0"/>
        <w:tabs>
          <w:tab w:leader="none" w:pos="3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Limited penetration and distribution of the virus into tumor tissues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Limited viral tropism and oncolysis capacity</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Tricky dosing strategies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Risk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-816610</wp:posOffset>
            </wp:positionV>
            <wp:extent cx="7132320" cy="8229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1560" w:space="54"/>
            <w:col w:w="9606"/>
          </w:cols>
          <w:pgMar w:left="320" w:top="719" w:right="359" w:bottom="1440" w:gutter="0" w:footer="0" w:header="0"/>
          <w:type w:val="continuous"/>
        </w:sectPr>
      </w:pP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type w:val="continuous"/>
        </w:sectPr>
      </w:pPr>
    </w:p>
    <w:bookmarkStart w:id="106" w:name="page107"/>
    <w:bookmarkEnd w:id="106"/>
    <w:p>
      <w:pPr>
        <w:ind w:left="660"/>
        <w:spacing w:after="0"/>
        <w:rPr>
          <w:sz w:val="20"/>
          <w:szCs w:val="20"/>
          <w:color w:val="auto"/>
        </w:rPr>
      </w:pPr>
      <w:r>
        <w:rPr>
          <w:rFonts w:ascii="Arial" w:cs="Arial" w:eastAsia="Arial" w:hAnsi="Arial"/>
          <w:sz w:val="18"/>
          <w:szCs w:val="18"/>
          <w:color w:val="auto"/>
        </w:rPr>
        <w:t>To overcome the current limitations of IO therapies in solid tumors, a new, effective tumor therapeutic must:</w:t>
      </w:r>
    </w:p>
    <w:p>
      <w:pPr>
        <w:spacing w:after="0" w:line="252" w:lineRule="exact"/>
        <w:rPr>
          <w:sz w:val="20"/>
          <w:szCs w:val="20"/>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achieve a local and tumor-targeted delivery;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maximize on-target effects;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reach the desired therapeutic index;</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minimize the off-target side effects;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potentially provide long term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Specifically, we adapted an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method to direct the patient’s own hematopoietic stem and progenitor cells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technology employs the following key components:</w:t>
      </w:r>
    </w:p>
    <w:p>
      <w:pPr>
        <w:spacing w:after="0" w:line="252" w:lineRule="exact"/>
        <w:rPr>
          <w:sz w:val="20"/>
          <w:szCs w:val="20"/>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use of the patient’s own autologous HSPCs;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use of LVVs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HSPCs transduction; and</w:t>
      </w:r>
    </w:p>
    <w:p>
      <w:pPr>
        <w:spacing w:after="0" w:line="225" w:lineRule="exact"/>
        <w:rPr>
          <w:rFonts w:ascii="Arial" w:cs="Arial" w:eastAsia="Arial" w:hAnsi="Arial"/>
          <w:sz w:val="18"/>
          <w:szCs w:val="18"/>
          <w:color w:val="auto"/>
        </w:rPr>
      </w:pPr>
    </w:p>
    <w:p>
      <w:pPr>
        <w:ind w:left="1300" w:right="60" w:hanging="320"/>
        <w:spacing w:after="0" w:line="263"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payload delivery within the tumor microenvironment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image below illustrates the steps of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approach to transform patient’s autologous HSPCs into a therapeutic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168910</wp:posOffset>
            </wp:positionV>
            <wp:extent cx="5314950" cy="27260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149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Illustration of our ex-vivo approach (steps 1-2-3) and treatment process (step 4)</w:t>
      </w:r>
    </w:p>
    <w:p>
      <w:pPr>
        <w:spacing w:after="0" w:line="252" w:lineRule="exact"/>
        <w:rPr>
          <w:sz w:val="20"/>
          <w:szCs w:val="20"/>
          <w:color w:val="auto"/>
        </w:rPr>
      </w:pPr>
    </w:p>
    <w:p>
      <w:pPr>
        <w:jc w:val="both"/>
        <w:ind w:firstLine="656"/>
        <w:spacing w:after="0" w:line="286" w:lineRule="auto"/>
        <w:tabs>
          <w:tab w:leader="none" w:pos="903"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Patient’s HSPCs are harvested by means of an apheresis process, and (2) </w:t>
      </w:r>
      <w:r>
        <w:rPr>
          <w:rFonts w:ascii="Arial" w:cs="Arial" w:eastAsia="Arial" w:hAnsi="Arial"/>
          <w:sz w:val="17"/>
          <w:szCs w:val="17"/>
          <w:i w:val="1"/>
          <w:iCs w:val="1"/>
          <w:color w:val="auto"/>
        </w:rPr>
        <w:t>ex-vivo</w:t>
      </w:r>
      <w:r>
        <w:rPr>
          <w:rFonts w:ascii="Arial" w:cs="Arial" w:eastAsia="Arial" w:hAnsi="Arial"/>
          <w:sz w:val="17"/>
          <w:szCs w:val="17"/>
          <w:color w:val="auto"/>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Arial" w:cs="Arial" w:eastAsia="Arial" w:hAnsi="Arial"/>
          <w:sz w:val="17"/>
          <w:szCs w:val="17"/>
          <w:i w:val="1"/>
          <w:iCs w:val="1"/>
          <w:color w:val="auto"/>
        </w:rPr>
        <w: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037" w:gutter="0" w:footer="0" w:header="0"/>
        </w:sectPr>
      </w:pPr>
    </w:p>
    <w:bookmarkStart w:id="107" w:name="page108"/>
    <w:bookmarkEnd w:id="107"/>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HSPCs are the Source of the Delivery Vehicle for Our Gene Therapy Approach</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Ex-vivo LVV based Transduction</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After collection, a functional copy of the therapeutic gene is inserted into the patient’s own HSPCs using a non-replicating LVV. This is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process called transduction. We have chosen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because it enables us to optimize the quantity, or dose, of modified cells to be infused in each patient since we know, ahead of the administration, the drug product characteristics.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 xml:space="preserve">We believe that LVVs are the first choice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(CD-19 CAR-T,</w:t>
      </w:r>
    </w:p>
    <w:p>
      <w:pPr>
        <w:spacing w:after="0" w:line="2" w:lineRule="exact"/>
        <w:rPr>
          <w:sz w:val="20"/>
          <w:szCs w:val="20"/>
          <w:color w:val="auto"/>
        </w:rPr>
      </w:pPr>
    </w:p>
    <w:p>
      <w:pPr>
        <w:ind w:right="280"/>
        <w:spacing w:after="0" w:line="209" w:lineRule="auto"/>
        <w:rPr>
          <w:sz w:val="20"/>
          <w:szCs w:val="20"/>
          <w:color w:val="auto"/>
        </w:rPr>
      </w:pPr>
      <w:r>
        <w:rPr>
          <w:rFonts w:ascii="Arial" w:cs="Arial" w:eastAsia="Arial" w:hAnsi="Arial"/>
          <w:sz w:val="18"/>
          <w:szCs w:val="18"/>
          <w:color w:val="auto"/>
        </w:rPr>
        <w:t>Novartis Pharma) and Zynteglo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(β-Thal, BlueBird Bio). With more than 100 clinical trials either completed or in progress using LVVs worldwide, this delivery method accounts for more than a third of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modified gene therapy clinical trials.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6"/>
          <w:szCs w:val="16"/>
          <w:color w:val="auto"/>
        </w:rPr>
        <w:t xml:space="preserve">Accordingly, extensive clinical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studies, based on LVV gene transfer, have been performed in recent years by SR-Tiget for the prevention and treatment of some severe inherited disorders, resulting in approved drugs, such as Libmeldy</w:t>
      </w:r>
      <w:r>
        <w:rPr>
          <w:rFonts w:ascii="Arial" w:cs="Arial" w:eastAsia="Arial" w:hAnsi="Arial"/>
          <w:sz w:val="26"/>
          <w:szCs w:val="26"/>
          <w:color w:val="auto"/>
          <w:vertAlign w:val="superscript"/>
        </w:rPr>
        <w:t>TM</w:t>
      </w:r>
      <w:r>
        <w:rPr>
          <w:rFonts w:ascii="Arial" w:cs="Arial" w:eastAsia="Arial" w:hAnsi="Arial"/>
          <w:sz w:val="16"/>
          <w:szCs w:val="16"/>
          <w:color w:val="auto"/>
        </w:rPr>
        <w:t>. These studies have shown that LVVs constitute a valuable and safer alternative to gamma-retroviral vectors (gRV), enabling a more efficient gene transfer into HSPCs and resulting in a robust and long-term transgene expression in their progeny. The studies also have demonstrated an alleviated risk of genotoxicity because of the vector design.</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Differences exist between LVVs used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There have been several significant adverse side effects in gene therapy treatments involving an ex-vivo transduced lentivirus vector (LVV) gene therapy product, BlueBird Bio’s elivaldogene autotemcel (“Lenti-D”), involving two SUSARs for cases of acute myeloid leukemia (AML), and one case involving myelodysplastic syndrome.</w:t>
      </w:r>
    </w:p>
    <w:p>
      <w:pPr>
        <w:spacing w:after="0" w:line="161" w:lineRule="exact"/>
        <w:rPr>
          <w:sz w:val="20"/>
          <w:szCs w:val="20"/>
          <w:color w:val="auto"/>
        </w:rPr>
      </w:pPr>
    </w:p>
    <w:p>
      <w:pPr>
        <w:ind w:right="80" w:firstLine="648"/>
        <w:spacing w:after="0" w:line="264" w:lineRule="auto"/>
        <w:rPr>
          <w:sz w:val="20"/>
          <w:szCs w:val="20"/>
          <w:color w:val="auto"/>
        </w:rPr>
      </w:pPr>
      <w:r>
        <w:rPr>
          <w:rFonts w:ascii="Arial" w:cs="Arial" w:eastAsia="Arial" w:hAnsi="Arial"/>
          <w:sz w:val="16"/>
          <w:szCs w:val="16"/>
          <w:color w:val="auto"/>
        </w:rPr>
        <w:t>In February 2021, BlueBird Bio temporary suspended its gene therapy clinical trials for SCD (HGB-206 and HGB-210) and the marketing of Zynteglo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due to a suspected unexpected serious adverse reaction (SUSAR) of acute myeloid leukemia (AML) in a SCD patient who received the product more than five years ago. 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21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Tumor-Targeted Payload Delivery</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130810</wp:posOffset>
            </wp:positionV>
            <wp:extent cx="5143500" cy="19030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Our transgene payload expression cassette consists of two key components: the Tie-2 promoter (RED) and miRNA-126 target sequences (LIGHT BLUE)</w:t>
      </w:r>
    </w:p>
    <w:p>
      <w:pPr>
        <w:sectPr>
          <w:pgSz w:w="11900" w:h="16845" w:orient="portrait"/>
          <w:cols w:equalWidth="0" w:num="1">
            <w:col w:w="11220"/>
          </w:cols>
          <w:pgMar w:left="320" w:top="719" w:right="359" w:bottom="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9" w:name="page110"/>
    <w:bookmarkEnd w:id="109"/>
    <w:p>
      <w:pPr>
        <w:ind w:left="660" w:hanging="328"/>
        <w:spacing w:after="0" w:line="286" w:lineRule="auto"/>
        <w:tabs>
          <w:tab w:leader="none" w:pos="660" w:val="left"/>
        </w:tabs>
        <w:numPr>
          <w:ilvl w:val="0"/>
          <w:numId w:val="7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Tie-2 promoter. </w:t>
      </w:r>
      <w:r>
        <w:rPr>
          <w:rFonts w:ascii="Arial" w:cs="Arial" w:eastAsia="Arial" w:hAnsi="Arial"/>
          <w:sz w:val="16"/>
          <w:szCs w:val="16"/>
          <w:color w:val="auto"/>
        </w:rPr>
        <w:t>The Tie-2 promoter enables the transformation of TEMs into a “Trojan Horse”, to deliver the therapeutic payload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173" w:lineRule="exact"/>
        <w:rPr>
          <w:rFonts w:ascii="Arial" w:cs="Arial" w:eastAsia="Arial" w:hAnsi="Arial"/>
          <w:sz w:val="16"/>
          <w:szCs w:val="16"/>
          <w:b w:val="1"/>
          <w:bCs w:val="1"/>
          <w:i w:val="1"/>
          <w:iCs w:val="1"/>
          <w:color w:val="auto"/>
        </w:rPr>
      </w:pPr>
    </w:p>
    <w:p>
      <w:pPr>
        <w:ind w:left="660" w:right="140" w:hanging="328"/>
        <w:spacing w:after="0" w:line="255" w:lineRule="auto"/>
        <w:tabs>
          <w:tab w:leader="none" w:pos="66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miRNA-126 target sequences</w:t>
      </w:r>
      <w:r>
        <w:rPr>
          <w:rFonts w:ascii="Arial" w:cs="Arial" w:eastAsia="Arial" w:hAnsi="Arial"/>
          <w:sz w:val="18"/>
          <w:szCs w:val="18"/>
          <w:color w:val="auto"/>
        </w:rPr>
        <w:t>. The miRNA-126 target sequence serves as a post-transcriptional regulation layer that allows the expression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148590</wp:posOffset>
            </wp:positionV>
            <wp:extent cx="5743575" cy="27603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4357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Post-transcriptional control mechanism of transgene expression</w:t>
      </w:r>
    </w:p>
    <w:p>
      <w:pPr>
        <w:spacing w:after="0" w:line="252" w:lineRule="exact"/>
        <w:rPr>
          <w:sz w:val="20"/>
          <w:szCs w:val="20"/>
          <w:color w:val="auto"/>
        </w:rPr>
      </w:pPr>
    </w:p>
    <w:p>
      <w:pPr>
        <w:jc w:val="center"/>
        <w:ind w:left="4140" w:right="180" w:hanging="3953"/>
        <w:spacing w:after="0" w:line="277" w:lineRule="auto"/>
        <w:tabs>
          <w:tab w:leader="none" w:pos="398" w:val="left"/>
        </w:tabs>
        <w:numPr>
          <w:ilvl w:val="1"/>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97" w:lineRule="exact"/>
        <w:rPr>
          <w:rFonts w:ascii="Arial" w:cs="Arial" w:eastAsia="Arial" w:hAnsi="Arial"/>
          <w:sz w:val="18"/>
          <w:szCs w:val="18"/>
          <w:i w:val="1"/>
          <w:iCs w:val="1"/>
          <w:color w:val="auto"/>
        </w:rPr>
      </w:pPr>
    </w:p>
    <w:p>
      <w:pPr>
        <w:ind w:left="1560" w:hanging="1551"/>
        <w:spacing w:after="0" w:line="308" w:lineRule="auto"/>
        <w:tabs>
          <w:tab w:leader="none" w:pos="228" w:val="left"/>
        </w:tabs>
        <w:numPr>
          <w:ilvl w:val="0"/>
          <w:numId w:val="75"/>
        </w:numPr>
        <w:rPr>
          <w:rFonts w:ascii="Arial" w:cs="Arial" w:eastAsia="Arial" w:hAnsi="Arial"/>
          <w:sz w:val="17"/>
          <w:szCs w:val="17"/>
          <w:i w:val="1"/>
          <w:iCs w:val="1"/>
          <w:color w:val="auto"/>
        </w:rPr>
      </w:pPr>
      <w:r>
        <w:rPr>
          <w:rFonts w:ascii="Arial" w:cs="Arial" w:eastAsia="Arial" w:hAnsi="Arial"/>
          <w:sz w:val="17"/>
          <w:szCs w:val="17"/>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1688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4357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40"/>
        <w:spacing w:after="0" w:line="277" w:lineRule="auto"/>
        <w:rPr>
          <w:sz w:val="20"/>
          <w:szCs w:val="20"/>
          <w:color w:val="auto"/>
        </w:rPr>
      </w:pPr>
      <w:r>
        <w:rPr>
          <w:rFonts w:ascii="Arial" w:cs="Arial" w:eastAsia="Arial" w:hAnsi="Arial"/>
          <w:sz w:val="18"/>
          <w:szCs w:val="18"/>
          <w:i w:val="1"/>
          <w:iCs w:val="1"/>
          <w:color w:val="auto"/>
        </w:rPr>
        <w:t>Transgene payload expression as the result of the transcriptional (promoter) and post-transcriptional regulation (miRNA-126 target sequence) imposed by our expression cassette.</w:t>
      </w:r>
    </w:p>
    <w:p>
      <w:pPr>
        <w:spacing w:after="0" w:line="197"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We believe that combining our built-in post-transcriptional control mechanism (</w:t>
      </w:r>
      <w:r>
        <w:rPr>
          <w:rFonts w:ascii="Arial" w:cs="Arial" w:eastAsia="Arial" w:hAnsi="Arial"/>
          <w:sz w:val="17"/>
          <w:szCs w:val="17"/>
          <w:i w:val="1"/>
          <w:iCs w:val="1"/>
          <w:color w:val="auto"/>
        </w:rPr>
        <w:t>miRNA-126 target sequences</w:t>
      </w:r>
      <w:r>
        <w:rPr>
          <w:rFonts w:ascii="Arial" w:cs="Arial" w:eastAsia="Arial" w:hAnsi="Arial"/>
          <w:sz w:val="17"/>
          <w:szCs w:val="17"/>
          <w:color w:val="auto"/>
        </w:rPr>
        <w:t>), with TEMs designed as a “Trojan Horse” allows our platform to restrict transgene expression and avoid systemic toxicity while reaching the therapeutic index to drive efficacy.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33"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Our Leading Product Candidate: Temferon</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lead product candidate, Temferon, consists of genetically modified HSPCs which use our platform to deliver interferon-alpha (IFN-α), within the tumor microenvironment via TEMs (HSPCs differentiated myeloid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20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uMGMT-GBM.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104775</wp:posOffset>
            </wp:positionV>
            <wp:extent cx="5572125" cy="29146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212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manufacturing process and mechanism of action.</w:t>
      </w:r>
    </w:p>
    <w:p>
      <w:pPr>
        <w:spacing w:after="0" w:line="252" w:lineRule="exact"/>
        <w:rPr>
          <w:sz w:val="20"/>
          <w:szCs w:val="20"/>
          <w:color w:val="auto"/>
        </w:rPr>
      </w:pPr>
    </w:p>
    <w:p>
      <w:pPr>
        <w:jc w:val="center"/>
        <w:ind w:left="340" w:right="100"/>
        <w:spacing w:after="0" w:line="263" w:lineRule="auto"/>
        <w:rPr>
          <w:sz w:val="20"/>
          <w:szCs w:val="20"/>
          <w:color w:val="auto"/>
        </w:rPr>
      </w:pPr>
      <w:r>
        <w:rPr>
          <w:rFonts w:ascii="Arial" w:cs="Arial" w:eastAsia="Arial" w:hAnsi="Arial"/>
          <w:sz w:val="18"/>
          <w:szCs w:val="18"/>
          <w:i w:val="1"/>
          <w:iCs w:val="1"/>
          <w:color w:val="auto"/>
        </w:rPr>
        <w:t xml:space="preserve">Patient’s </w:t>
      </w:r>
      <w:r>
        <w:rPr>
          <w:rFonts w:ascii="Arial" w:cs="Arial" w:eastAsia="Arial" w:hAnsi="Arial"/>
          <w:sz w:val="18"/>
          <w:szCs w:val="18"/>
          <w:b w:val="1"/>
          <w:bCs w:val="1"/>
          <w:i w:val="1"/>
          <w:iCs w:val="1"/>
          <w:color w:val="auto"/>
        </w:rPr>
        <w:t>HSPCs</w:t>
      </w:r>
      <w:r>
        <w:rPr>
          <w:rFonts w:ascii="Arial" w:cs="Arial" w:eastAsia="Arial" w:hAnsi="Arial"/>
          <w:sz w:val="18"/>
          <w:szCs w:val="18"/>
          <w:i w:val="1"/>
          <w:iCs w:val="1"/>
          <w:color w:val="auto"/>
        </w:rPr>
        <w:t xml:space="preserve"> are harvested, (1) </w:t>
      </w:r>
      <w:r>
        <w:rPr>
          <w:rFonts w:ascii="Arial" w:cs="Arial" w:eastAsia="Arial" w:hAnsi="Arial"/>
          <w:sz w:val="18"/>
          <w:szCs w:val="18"/>
          <w:b w:val="1"/>
          <w:bCs w:val="1"/>
          <w:i w:val="1"/>
          <w:iCs w:val="1"/>
          <w:color w:val="auto"/>
        </w:rPr>
        <w:t>ex-vivo</w:t>
      </w:r>
      <w:r>
        <w:rPr>
          <w:rFonts w:ascii="Arial" w:cs="Arial" w:eastAsia="Arial" w:hAnsi="Arial"/>
          <w:sz w:val="18"/>
          <w:szCs w:val="18"/>
          <w:i w:val="1"/>
          <w:iCs w:val="1"/>
          <w:color w:val="auto"/>
        </w:rPr>
        <w:t xml:space="preserve"> modified by </w:t>
      </w:r>
      <w:r>
        <w:rPr>
          <w:rFonts w:ascii="Arial" w:cs="Arial" w:eastAsia="Arial" w:hAnsi="Arial"/>
          <w:sz w:val="18"/>
          <w:szCs w:val="18"/>
          <w:b w:val="1"/>
          <w:bCs w:val="1"/>
          <w:i w:val="1"/>
          <w:iCs w:val="1"/>
          <w:color w:val="auto"/>
        </w:rPr>
        <w:t>LVVs</w:t>
      </w:r>
      <w:r>
        <w:rPr>
          <w:rFonts w:ascii="Arial" w:cs="Arial" w:eastAsia="Arial" w:hAnsi="Arial"/>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GBM is a solid tumor affecting the brain. We have chosen this indication due to the following factors:</w:t>
      </w:r>
    </w:p>
    <w:p>
      <w:pPr>
        <w:spacing w:after="0" w:line="252"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unmet medical need. </w:t>
      </w:r>
      <w:r>
        <w:rPr>
          <w:rFonts w:ascii="Arial" w:cs="Arial" w:eastAsia="Arial" w:hAnsi="Arial"/>
          <w:sz w:val="17"/>
          <w:szCs w:val="17"/>
          <w:color w:val="auto"/>
        </w:rPr>
        <w:t>The prognosis for GBM patients remains poor with few therapeutic options having limited clinical benefits.</w:t>
      </w:r>
    </w:p>
    <w:p>
      <w:pPr>
        <w:spacing w:after="0" w:line="196" w:lineRule="exact"/>
        <w:rPr>
          <w:rFonts w:ascii="Arial" w:cs="Arial" w:eastAsia="Arial" w:hAnsi="Arial"/>
          <w:sz w:val="17"/>
          <w:szCs w:val="17"/>
          <w:color w:val="auto"/>
        </w:rPr>
      </w:pPr>
    </w:p>
    <w:p>
      <w:pPr>
        <w:ind w:left="660" w:right="20" w:hanging="328"/>
        <w:spacing w:after="0" w:line="272"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Temferon’s MoA targets TEMs which have an active role in uMGMT-GBM pathology. </w:t>
      </w:r>
      <w:r>
        <w:rPr>
          <w:rFonts w:ascii="Arial" w:cs="Arial" w:eastAsia="Arial" w:hAnsi="Arial"/>
          <w:sz w:val="17"/>
          <w:szCs w:val="17"/>
          <w:color w:val="auto"/>
        </w:rPr>
        <w:t>GBMs are highly vascularized tumors that critically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 on the 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136" w:lineRule="exact"/>
        <w:rPr>
          <w:rFonts w:ascii="Arial" w:cs="Arial" w:eastAsia="Arial" w:hAnsi="Arial"/>
          <w:sz w:val="17"/>
          <w:szCs w:val="17"/>
          <w:color w:val="auto"/>
        </w:rPr>
      </w:pPr>
    </w:p>
    <w:p>
      <w:pPr>
        <w:ind w:left="660" w:right="200" w:hanging="328"/>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Immunosuppressive tumor microenvironment. </w:t>
      </w:r>
      <w:r>
        <w:rPr>
          <w:rFonts w:ascii="Arial" w:cs="Arial" w:eastAsia="Arial" w:hAnsi="Arial"/>
          <w:sz w:val="18"/>
          <w:szCs w:val="18"/>
          <w:color w:val="000000"/>
        </w:rPr>
        <w:t>GBM is characterized by an immunosuppressive microenvironment that is mediated by tumor</w:t>
      </w:r>
      <w:r>
        <w:rPr>
          <w:rFonts w:ascii="Arial" w:cs="Arial" w:eastAsia="Arial" w:hAnsi="Arial"/>
          <w:sz w:val="18"/>
          <w:szCs w:val="18"/>
          <w:b w:val="1"/>
          <w:bCs w:val="1"/>
          <w:i w:val="1"/>
          <w:iCs w:val="1"/>
          <w:color w:val="111419"/>
        </w:rPr>
        <w:t xml:space="preserve"> </w:t>
      </w:r>
      <w:r>
        <w:rPr>
          <w:rFonts w:ascii="Arial" w:cs="Arial" w:eastAsia="Arial" w:hAnsi="Arial"/>
          <w:sz w:val="18"/>
          <w:szCs w:val="18"/>
          <w:color w:val="000000"/>
        </w:rPr>
        <w:t>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11" w:name="page112"/>
    <w:bookmarkEnd w:id="111"/>
    <w:p>
      <w:pPr>
        <w:jc w:val="both"/>
        <w:ind w:left="660" w:right="20" w:hanging="328"/>
        <w:spacing w:after="0" w:line="263"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a “competent” immune system. </w:t>
      </w:r>
      <w:r>
        <w:rPr>
          <w:rFonts w:ascii="Arial" w:cs="Arial" w:eastAsia="Arial" w:hAnsi="Arial"/>
          <w:sz w:val="18"/>
          <w:szCs w:val="18"/>
          <w:color w:val="auto"/>
        </w:rPr>
        <w:t>Our approach relies on a patient’s immune system being capable of providing an immune response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recognition of the tumor. Therefore, we believe newly diagnosed uMGMT-GBM patients who have relatively “competent” immune systems, not yet damaged by repeated cycles of chemotherapies, are strong candidates for our candidate.</w:t>
      </w:r>
    </w:p>
    <w:p>
      <w:pPr>
        <w:spacing w:after="0" w:line="143" w:lineRule="exact"/>
        <w:rPr>
          <w:rFonts w:ascii="Arial" w:cs="Arial" w:eastAsia="Arial" w:hAnsi="Arial"/>
          <w:sz w:val="18"/>
          <w:szCs w:val="18"/>
          <w:color w:val="auto"/>
        </w:rPr>
      </w:pPr>
    </w:p>
    <w:p>
      <w:pPr>
        <w:jc w:val="both"/>
        <w:ind w:left="660" w:right="20" w:hanging="328"/>
        <w:spacing w:after="0" w:line="279"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Compelling preclinical data. </w:t>
      </w:r>
      <w:r>
        <w:rPr>
          <w:rFonts w:ascii="Arial" w:cs="Arial" w:eastAsia="Arial" w:hAnsi="Arial"/>
          <w:sz w:val="17"/>
          <w:szCs w:val="17"/>
          <w:color w:val="auto"/>
        </w:rPr>
        <w:t>Our preclinical studies, published in peer-reviewed papers, suggest that TEMs play an active role in uMGMT-GBM,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when 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130" w:lineRule="exact"/>
        <w:rPr>
          <w:rFonts w:ascii="Arial" w:cs="Arial" w:eastAsia="Arial" w:hAnsi="Arial"/>
          <w:sz w:val="17"/>
          <w:szCs w:val="17"/>
          <w:color w:val="auto"/>
        </w:rPr>
      </w:pPr>
    </w:p>
    <w:p>
      <w:pPr>
        <w:ind w:left="660" w:right="420" w:hanging="328"/>
        <w:spacing w:after="0" w:line="34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global market size for all GBM is projected to grow to over $1.5 billion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2026. We believe a novel therapeutic which demonstrates improvement over existing therapies would greatly increase the market size.</w:t>
      </w:r>
    </w:p>
    <w:p>
      <w:pPr>
        <w:spacing w:after="0" w:line="15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are discussing a second study using Temferon in a second solid tumor indication. Locally advanced HCC and ICC are the leading indications under consideration and, as with GBM, these liver cancer indications have been selected for similar reasons as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Temferon for uMGMT-GBM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GBM is the most common malignant primary brain tumor accounting for more than half of all central nervous system (CNS) cancers and for which there is a high unmet medical need. The incidence rate is 3.20 per 100,000 persons with over 13,000 deaths per year in the United States.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and Limitations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current standard of care for GBM includes surgery to remove the accessible tumor followed by radiation therapy (RTx), chemotherapy with temozolomide (TMZ) and/or tumor treating fields (TTFields).</w:t>
      </w:r>
    </w:p>
    <w:p>
      <w:pPr>
        <w:spacing w:after="0" w:line="197" w:lineRule="exact"/>
        <w:rPr>
          <w:sz w:val="20"/>
          <w:szCs w:val="20"/>
          <w:color w:val="auto"/>
        </w:rPr>
      </w:pPr>
    </w:p>
    <w:p>
      <w:pPr>
        <w:ind w:left="660" w:hanging="328"/>
        <w:spacing w:after="0" w:line="296"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Surgery </w:t>
      </w:r>
      <w:r>
        <w:rPr>
          <w:rFonts w:ascii="Arial" w:cs="Arial" w:eastAsia="Arial" w:hAnsi="Arial"/>
          <w:sz w:val="16"/>
          <w:szCs w:val="16"/>
          <w:color w:val="auto"/>
        </w:rPr>
        <w:t>remains the mainstay of initial treatment. If the tumor is located in a resectable region of the brain, it is used to histologically confirm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p>
      <w:pPr>
        <w:spacing w:after="0" w:line="120"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Radiation therapy </w:t>
      </w:r>
      <w:r>
        <w:rPr>
          <w:rFonts w:ascii="Arial" w:cs="Arial" w:eastAsia="Arial" w:hAnsi="Arial"/>
          <w:sz w:val="16"/>
          <w:szCs w:val="16"/>
          <w:color w:val="auto"/>
        </w:rPr>
        <w:t>improves survival and is typically started approximately 3 to 4 weeks after surgery. RTx is performed daily for approximately 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weeks. RTx induces the formation of neo-antigens and a pro-inflammatory response that are key aspects for immune system mediated disease control. However, the efficacy of RTx is impaired by hypoxia and by the negative effects of RTx on tumor infiltrating immune cells.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12" w:name="page113"/>
    <w:bookmarkEnd w:id="112"/>
    <w:p>
      <w:pPr>
        <w:ind w:left="660" w:hanging="328"/>
        <w:spacing w:after="0" w:line="291"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Chemotherapy. </w:t>
      </w:r>
      <w:r>
        <w:rPr>
          <w:rFonts w:ascii="Arial" w:cs="Arial" w:eastAsia="Arial" w:hAnsi="Arial"/>
          <w:sz w:val="16"/>
          <w:szCs w:val="16"/>
          <w:color w:val="auto"/>
        </w:rPr>
        <w:t>Temozolomide, the current chemotherapeutic standard of care, is a DNA-alkylating agent that can cross the blood-brain barrier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p>
      <w:pPr>
        <w:spacing w:after="0" w:line="125" w:lineRule="exact"/>
        <w:rPr>
          <w:rFonts w:ascii="Arial" w:cs="Arial" w:eastAsia="Arial" w:hAnsi="Arial"/>
          <w:sz w:val="16"/>
          <w:szCs w:val="16"/>
          <w:color w:val="auto"/>
        </w:rPr>
      </w:pPr>
    </w:p>
    <w:p>
      <w:pPr>
        <w:jc w:val="both"/>
        <w:ind w:left="660" w:right="100" w:hanging="328"/>
        <w:spacing w:after="0" w:line="301"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Tumor-Treating Fields (TTFields)</w:t>
      </w:r>
      <w:r>
        <w:rPr>
          <w:rFonts w:ascii="Arial" w:cs="Arial" w:eastAsia="Arial" w:hAnsi="Arial"/>
          <w:sz w:val="16"/>
          <w:szCs w:val="16"/>
          <w:color w:val="auto"/>
        </w:rPr>
        <w:t>. The use of TTFields to extend temozolomide maintenance chemotherapy for newly diagnosed glioblastoma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p>
      <w:pPr>
        <w:spacing w:after="0" w:line="112"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Experimental Treatments. </w:t>
      </w:r>
      <w:r>
        <w:rPr>
          <w:rFonts w:ascii="Arial" w:cs="Arial" w:eastAsia="Arial" w:hAnsi="Arial"/>
          <w:sz w:val="17"/>
          <w:szCs w:val="17"/>
          <w:color w:val="auto"/>
        </w:rPr>
        <w:t>Along with the above-mentioned treatments, the addition of the antiangiogenic agent bevacizumab (BEV) to RTx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TMZ has been explored with mixed clinical results </w:t>
      </w:r>
      <w:r>
        <w:rPr>
          <w:rFonts w:ascii="Arial" w:cs="Arial" w:eastAsia="Arial" w:hAnsi="Arial"/>
          <w:sz w:val="17"/>
          <w:szCs w:val="17"/>
          <w:color w:val="111419"/>
        </w:rPr>
        <w:t>BEV was tested both a first-line treatment together with RTx and concomitant TMZ</w:t>
      </w:r>
      <w:r>
        <w:rPr>
          <w:rFonts w:ascii="Arial" w:cs="Arial" w:eastAsia="Arial" w:hAnsi="Arial"/>
          <w:sz w:val="17"/>
          <w:szCs w:val="17"/>
          <w:color w:val="auto"/>
        </w:rPr>
        <w:t xml:space="preserve"> </w:t>
      </w:r>
      <w:r>
        <w:rPr>
          <w:rFonts w:ascii="Arial" w:cs="Arial" w:eastAsia="Arial" w:hAnsi="Arial"/>
          <w:sz w:val="17"/>
          <w:szCs w:val="17"/>
          <w:color w:val="111419"/>
        </w:rPr>
        <w:t xml:space="preserve">administration in newly diagnosed glioblastoma patients, as well as in combination with RTx in recurrent GBM patients. </w:t>
      </w:r>
      <w:r>
        <w:rPr>
          <w:rFonts w:ascii="Arial" w:cs="Arial" w:eastAsia="Arial" w:hAnsi="Arial"/>
          <w:sz w:val="17"/>
          <w:szCs w:val="17"/>
          <w:color w:val="000000"/>
        </w:rPr>
        <w:t>BEV was approved by</w:t>
      </w:r>
      <w:r>
        <w:rPr>
          <w:rFonts w:ascii="Arial" w:cs="Arial" w:eastAsia="Arial" w:hAnsi="Arial"/>
          <w:sz w:val="17"/>
          <w:szCs w:val="17"/>
          <w:color w:val="111419"/>
        </w:rPr>
        <w:t xml:space="preserve"> </w:t>
      </w:r>
      <w:r>
        <w:rPr>
          <w:rFonts w:ascii="Arial" w:cs="Arial" w:eastAsia="Arial" w:hAnsi="Arial"/>
          <w:sz w:val="17"/>
          <w:szCs w:val="17"/>
          <w:color w:val="000000"/>
        </w:rPr>
        <w:t>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progression free survival (PFS).</w:t>
      </w:r>
    </w:p>
    <w:p>
      <w:pPr>
        <w:spacing w:after="0" w:line="20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believe that our investigational product, Temferon, has the potential to address the world recognized GBM unmet need. Through a single administration, we believe Temferon may be able to provide a long-lasting immune response, minimize systemic toxicity, counteract cancer progression and prevent tumor relapse.</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Temferon utilizes our platform and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Arial" w:cs="Arial" w:eastAsia="Arial" w:hAnsi="Arial"/>
          <w:sz w:val="17"/>
          <w:szCs w:val="17"/>
          <w:i w:val="1"/>
          <w:iCs w:val="1"/>
          <w:color w:val="auto"/>
        </w:rPr>
        <w:t>see “Our Leading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 Temferon” and “Our Platform”</w:t>
      </w:r>
      <w:r>
        <w:rPr>
          <w:rFonts w:ascii="Arial" w:cs="Arial" w:eastAsia="Arial" w:hAnsi="Arial"/>
          <w:sz w:val="17"/>
          <w:szCs w:val="17"/>
          <w:color w:val="auto"/>
        </w:rPr>
        <w:t>). Temferon is designed to colonize the patient’s bone marrow with the genetically modified HSPCs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generate TEMs containing the IFN-α payload. Since TEMs are recruited within the tumor microenvironment, IFN-α is released solely at the targeted tumor, which may result in clinical activity without inducing systemic toxicity.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13" w:name="page114"/>
    <w:bookmarkEnd w:id="113"/>
    <w:p>
      <w:pPr>
        <w:ind w:right="60" w:firstLine="648"/>
        <w:spacing w:after="0" w:line="277" w:lineRule="auto"/>
        <w:rPr>
          <w:sz w:val="20"/>
          <w:szCs w:val="20"/>
          <w:color w:val="auto"/>
        </w:rPr>
      </w:pPr>
      <w:r>
        <w:rPr>
          <w:rFonts w:ascii="Arial" w:cs="Arial" w:eastAsia="Arial" w:hAnsi="Arial"/>
          <w:sz w:val="18"/>
          <w:szCs w:val="18"/>
          <w:color w:val="auto"/>
        </w:rPr>
        <w:t xml:space="preserve">Once within the tumor microenvironment, IFN-α is expected to act both </w:t>
      </w:r>
      <w:r>
        <w:rPr>
          <w:rFonts w:ascii="Arial" w:cs="Arial" w:eastAsia="Arial" w:hAnsi="Arial"/>
          <w:sz w:val="18"/>
          <w:szCs w:val="18"/>
          <w:i w:val="1"/>
          <w:iCs w:val="1"/>
          <w:color w:val="auto"/>
        </w:rPr>
        <w:t>directly</w:t>
      </w:r>
      <w:r>
        <w:rPr>
          <w:rFonts w:ascii="Arial" w:cs="Arial" w:eastAsia="Arial" w:hAnsi="Arial"/>
          <w:sz w:val="18"/>
          <w:szCs w:val="18"/>
          <w:color w:val="auto"/>
        </w:rPr>
        <w:t xml:space="preserve"> by promoting cancer cell apoptosis and inhibiting vascularization and </w:t>
      </w:r>
      <w:r>
        <w:rPr>
          <w:rFonts w:ascii="Arial" w:cs="Arial" w:eastAsia="Arial" w:hAnsi="Arial"/>
          <w:sz w:val="18"/>
          <w:szCs w:val="18"/>
          <w:i w:val="1"/>
          <w:iCs w:val="1"/>
          <w:color w:val="auto"/>
        </w:rPr>
        <w:t>indirectly</w:t>
      </w:r>
      <w:r>
        <w:rPr>
          <w:rFonts w:ascii="Arial" w:cs="Arial" w:eastAsia="Arial" w:hAnsi="Arial"/>
          <w:sz w:val="18"/>
          <w:szCs w:val="18"/>
          <w:color w:val="auto"/>
        </w:rPr>
        <w:t xml:space="preserve"> by restoring the body’s anti-tumor immune response, as follows:</w:t>
      </w:r>
    </w:p>
    <w:p>
      <w:pPr>
        <w:spacing w:after="0" w:line="197" w:lineRule="exact"/>
        <w:rPr>
          <w:sz w:val="20"/>
          <w:szCs w:val="20"/>
          <w:color w:val="auto"/>
        </w:rPr>
      </w:pPr>
    </w:p>
    <w:p>
      <w:pPr>
        <w:ind w:left="660" w:right="280" w:hanging="328"/>
        <w:spacing w:after="0" w:line="34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 Effects. </w:t>
      </w:r>
      <w:r>
        <w:rPr>
          <w:rFonts w:ascii="Arial" w:cs="Arial" w:eastAsia="Arial" w:hAnsi="Arial"/>
          <w:sz w:val="16"/>
          <w:szCs w:val="16"/>
          <w:color w:val="auto"/>
        </w:rPr>
        <w:t>IFN-α suppresses tumor cell proliferation and promotes the apoptosis of tumor and stromal cells by induction of proapoptotic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genes or repression of anti-apoptotic genes. Moreover, IFN-α inhibits angiogenesis by downregulating the expression of proangiogenic factors.</w:t>
      </w:r>
    </w:p>
    <w:p>
      <w:pPr>
        <w:spacing w:after="0" w:line="83"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Indirect Effects. </w:t>
      </w:r>
      <w:r>
        <w:rPr>
          <w:rFonts w:ascii="Arial" w:cs="Arial" w:eastAsia="Arial" w:hAnsi="Arial"/>
          <w:sz w:val="17"/>
          <w:szCs w:val="17"/>
          <w:color w:val="auto"/>
        </w:rPr>
        <w:t>IFN-α stimulates early innate immune responses and the subsequent adaptive immune response via multiple pathways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(CTL) responses.</w:t>
      </w:r>
    </w:p>
    <w:p>
      <w:pPr>
        <w:spacing w:after="0" w:line="20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28803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435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antitumor activity</w:t>
      </w:r>
    </w:p>
    <w:p>
      <w:pPr>
        <w:spacing w:after="0" w:line="252"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i w:val="1"/>
          <w:iCs w:val="1"/>
          <w:color w:val="auto"/>
        </w:rPr>
        <w:t>Once recruited at the tumor site, instead of fostering tumor growth and inhibiting the immune systems, TEMs start to release IFN-α that triggers cancer cell apoptosis and arms the immune cells to fight the cancer.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uMGMT-GBM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466090</wp:posOffset>
            </wp:positionV>
            <wp:extent cx="3497580" cy="38830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349758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Inhibition of Human Gliomas in IFN-α Gene Therapy Treated Athymic Mice (De Palma et al., 2008).</w:t>
      </w:r>
    </w:p>
    <w:p>
      <w:pPr>
        <w:spacing w:after="0" w:line="252" w:lineRule="exact"/>
        <w:rPr>
          <w:sz w:val="20"/>
          <w:szCs w:val="20"/>
          <w:color w:val="auto"/>
        </w:rPr>
      </w:pPr>
    </w:p>
    <w:p>
      <w:pPr>
        <w:jc w:val="center"/>
        <w:ind w:left="360"/>
        <w:spacing w:after="0" w:line="271" w:lineRule="auto"/>
        <w:rPr>
          <w:sz w:val="20"/>
          <w:szCs w:val="20"/>
          <w:color w:val="auto"/>
        </w:rPr>
      </w:pPr>
      <w:r>
        <w:rPr>
          <w:rFonts w:ascii="Arial" w:cs="Arial" w:eastAsia="Arial" w:hAnsi="Arial"/>
          <w:sz w:val="17"/>
          <w:szCs w:val="17"/>
          <w:b w:val="1"/>
          <w:bCs w:val="1"/>
          <w:i w:val="1"/>
          <w:iCs w:val="1"/>
          <w:color w:val="auto"/>
        </w:rPr>
        <w:t xml:space="preserve">A-B) </w:t>
      </w:r>
      <w:r>
        <w:rPr>
          <w:rFonts w:ascii="Arial" w:cs="Arial" w:eastAsia="Arial" w:hAnsi="Arial"/>
          <w:sz w:val="17"/>
          <w:szCs w:val="17"/>
          <w:i w:val="1"/>
          <w:iCs w:val="1"/>
          <w:color w:val="auto"/>
        </w:rPr>
        <w:t>Glioma growth (mean tumor volume ± SEM, measured by MRI) in individual control and IFN-α gene therapy treated mice (Tie2-IFN) at 3 weeks post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tumor injection (PTI). Tumor volume and progression decreased in IFN-α gene therapy treated mice. </w:t>
      </w:r>
      <w:r>
        <w:rPr>
          <w:rFonts w:ascii="Arial" w:cs="Arial" w:eastAsia="Arial" w:hAnsi="Arial"/>
          <w:sz w:val="17"/>
          <w:szCs w:val="17"/>
          <w:b w:val="1"/>
          <w:bCs w:val="1"/>
          <w:i w:val="1"/>
          <w:iCs w:val="1"/>
          <w:color w:val="auto"/>
        </w:rPr>
        <w:t>C)</w:t>
      </w:r>
      <w:r>
        <w:rPr>
          <w:rFonts w:ascii="Arial" w:cs="Arial" w:eastAsia="Arial" w:hAnsi="Arial"/>
          <w:sz w:val="17"/>
          <w:szCs w:val="17"/>
          <w:i w:val="1"/>
          <w:iCs w:val="1"/>
          <w:color w:val="auto"/>
        </w:rPr>
        <w:t xml:space="preserve"> MRI images showing brain tumor growth at the indicated time points PTI in representative control (Ctrl) and Tie2-IFN mice. Intracranial gliomas are indicated by arrows and dashed line. The tumor did not progress in Tie2-IFN mice. </w:t>
      </w:r>
      <w:r>
        <w:rPr>
          <w:rFonts w:ascii="Arial" w:cs="Arial" w:eastAsia="Arial" w:hAnsi="Arial"/>
          <w:sz w:val="17"/>
          <w:szCs w:val="17"/>
          <w:b w:val="1"/>
          <w:bCs w:val="1"/>
          <w:i w:val="1"/>
          <w:iCs w:val="1"/>
          <w:color w:val="auto"/>
        </w:rPr>
        <w:t>D)</w:t>
      </w:r>
      <w:r>
        <w:rPr>
          <w:rFonts w:ascii="Arial" w:cs="Arial" w:eastAsia="Arial" w:hAnsi="Arial"/>
          <w:sz w:val="17"/>
          <w:szCs w:val="17"/>
          <w:i w:val="1"/>
          <w:iCs w:val="1"/>
          <w:color w:val="auto"/>
        </w:rPr>
        <w:t xml:space="preserve"> Measurement of tumor necrotic fraction (mean necrotic fraction,  % ± SEM) by MRI in individual Ctrl and Tie2-IFN mice at 3 weeks PTI, evidencing cancer cell death.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1/2a Clinical Trial</w:t>
      </w:r>
    </w:p>
    <w:p>
      <w:pPr>
        <w:spacing w:after="0" w:line="25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the second quarter of 2019, we enrolled our first patient in a single-arm, open label, dose escalation, Phase 1/2a clinical trial, in adult patients aged 18 to 70 years (“TEM-GBM 001 study”). The trial is being conducted at two clinical centers of excellence located in Milan, Italy: (i) Istituto Nazionale Neurologico “</w:t>
      </w:r>
      <w:r>
        <w:rPr>
          <w:rFonts w:ascii="Arial" w:cs="Arial" w:eastAsia="Arial" w:hAnsi="Arial"/>
          <w:sz w:val="18"/>
          <w:szCs w:val="18"/>
          <w:i w:val="1"/>
          <w:iCs w:val="1"/>
          <w:color w:val="auto"/>
        </w:rPr>
        <w:t>Carlo Besta</w:t>
      </w:r>
      <w:r>
        <w:rPr>
          <w:rFonts w:ascii="Arial" w:cs="Arial" w:eastAsia="Arial" w:hAnsi="Arial"/>
          <w:sz w:val="18"/>
          <w:szCs w:val="18"/>
          <w:color w:val="auto"/>
        </w:rPr>
        <w:t>”, an internationally recognized leading center in neuroscience, specializing in the diagnosis and treatment of neurological diseases in adults and children, and (ii) OSR, which has a recognized expertise in complex and innovative diagnostic and therapeutic approaches in onco-hematological patients and in gene therapy treatments.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ind w:right="40" w:firstLine="648"/>
        <w:spacing w:after="0" w:line="272" w:lineRule="auto"/>
        <w:rPr>
          <w:sz w:val="20"/>
          <w:szCs w:val="20"/>
          <w:color w:val="auto"/>
        </w:rPr>
      </w:pPr>
      <w:r>
        <w:rPr>
          <w:rFonts w:ascii="Arial" w:cs="Arial" w:eastAsia="Arial" w:hAnsi="Arial"/>
          <w:sz w:val="17"/>
          <w:szCs w:val="17"/>
          <w:color w:val="auto"/>
        </w:rPr>
        <w:t>The primary objective of the TEM-GBM 001 study is to evaluate the safety, tolerability, feasibility and biological activity of Temferon in uMGMT-GBM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if eligible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is followed for two years. The figure below depicts the different stages of TEM-GBM 001 study enrollment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139065</wp:posOffset>
            </wp:positionV>
            <wp:extent cx="4526280" cy="26314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52628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001 Study Design.</w:t>
      </w:r>
    </w:p>
    <w:p>
      <w:pPr>
        <w:spacing w:after="0" w:line="25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Our study aims to evaluate the short-term (up to 90 Days) and long-term (up to 2 years) tolerability and safety of five escalating doses of Temferon in up to 21 patients with uMGMT-GBM and an unmethylated MGMT promoter, following first line radiotherapy.</w:t>
      </w:r>
    </w:p>
    <w:p>
      <w:pPr>
        <w:spacing w:after="0" w:line="14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Initially the study was designed with a dose escalation phase in 15 patients assigned to 5 cohorts (Part A) to test three different escalating Temferon doses and two different conditioning regimens, with the aim of determining the best Temferon engraftment associated with fewer side effects to be then applied to an expansion phase (Part B) in six additional patients.</w:t>
      </w:r>
    </w:p>
    <w:p>
      <w:pPr>
        <w:spacing w:after="0" w:line="187" w:lineRule="exact"/>
        <w:rPr>
          <w:sz w:val="20"/>
          <w:szCs w:val="20"/>
          <w:color w:val="auto"/>
        </w:rPr>
      </w:pPr>
    </w:p>
    <w:p>
      <w:pPr>
        <w:jc w:val="both"/>
        <w:ind w:right="220" w:firstLine="648"/>
        <w:spacing w:after="0" w:line="227" w:lineRule="auto"/>
        <w:rPr>
          <w:sz w:val="20"/>
          <w:szCs w:val="20"/>
          <w:color w:val="auto"/>
        </w:rPr>
      </w:pPr>
      <w:r>
        <w:rPr>
          <w:rFonts w:ascii="Arial" w:cs="Arial" w:eastAsia="Arial" w:hAnsi="Arial"/>
          <w:sz w:val="16"/>
          <w:szCs w:val="16"/>
          <w:color w:val="auto"/>
        </w:rPr>
        <w:t>Patients in cohorts 1, 2 and 3 received Temferon dose escalation up to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(Dose Level 3) and 3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as unmanipulated supporter HSPCs. Patients in Cohorts 4 and 5 were infused with Temferon Dose Level 3 but received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and were conditioned with 2 different conditioning regimens (BCNU &amp; thiotepa for Cohort 4, also utilized in Cohort 1-3 and Busulfan &amp; thiothepa for Cohort 5).</w:t>
      </w:r>
    </w:p>
    <w:p>
      <w:pPr>
        <w:spacing w:after="0" w:line="202" w:lineRule="exact"/>
        <w:rPr>
          <w:sz w:val="20"/>
          <w:szCs w:val="20"/>
          <w:color w:val="auto"/>
        </w:rPr>
      </w:pPr>
    </w:p>
    <w:p>
      <w:pPr>
        <w:ind w:firstLine="648"/>
        <w:spacing w:after="0" w:line="341" w:lineRule="auto"/>
        <w:rPr>
          <w:sz w:val="20"/>
          <w:szCs w:val="20"/>
          <w:color w:val="auto"/>
        </w:rPr>
      </w:pPr>
      <w:r>
        <w:rPr>
          <w:rFonts w:ascii="Arial" w:cs="Arial" w:eastAsia="Arial" w:hAnsi="Arial"/>
          <w:sz w:val="16"/>
          <w:szCs w:val="16"/>
          <w:color w:val="auto"/>
        </w:rPr>
        <w:t>Based on the results collected in the Part A of the study, we have amended the study to add two additional dose escalation cohorts (numbers 6 and 7). The Clinical Protocol amendment was submitted on July 20</w:t>
      </w:r>
      <w:r>
        <w:rPr>
          <w:rFonts w:ascii="Arial" w:cs="Arial" w:eastAsia="Arial" w:hAnsi="Arial"/>
          <w:sz w:val="26"/>
          <w:szCs w:val="26"/>
          <w:color w:val="auto"/>
          <w:vertAlign w:val="superscript"/>
        </w:rPr>
        <w:t>th</w:t>
      </w:r>
      <w:r>
        <w:rPr>
          <w:rFonts w:ascii="Arial" w:cs="Arial" w:eastAsia="Arial" w:hAnsi="Arial"/>
          <w:sz w:val="16"/>
          <w:szCs w:val="16"/>
          <w:color w:val="auto"/>
        </w:rPr>
        <w:t>, 2021 to the Italian Competent Authorities, and approved by AIFA in September 2021.</w:t>
      </w:r>
    </w:p>
    <w:p>
      <w:pPr>
        <w:spacing w:after="0" w:line="2" w:lineRule="exact"/>
        <w:rPr>
          <w:sz w:val="20"/>
          <w:szCs w:val="20"/>
          <w:color w:val="auto"/>
        </w:rPr>
      </w:pPr>
    </w:p>
    <w:p>
      <w:pPr>
        <w:ind w:right="100" w:firstLine="648"/>
        <w:spacing w:after="0" w:line="193" w:lineRule="auto"/>
        <w:rPr>
          <w:sz w:val="20"/>
          <w:szCs w:val="20"/>
          <w:color w:val="auto"/>
        </w:rPr>
      </w:pPr>
      <w:r>
        <w:rPr>
          <w:rFonts w:ascii="Arial" w:cs="Arial" w:eastAsia="Arial" w:hAnsi="Arial"/>
          <w:sz w:val="18"/>
          <w:szCs w:val="18"/>
          <w:color w:val="auto"/>
        </w:rPr>
        <w:t>As per the submitted clinical protocol amendment, Cohorts 6 and 7 will recruit three patients each who will be conditioned with BCNU and thiotepa and will receive 2 x 10</w:t>
      </w:r>
      <w:r>
        <w:rPr>
          <w:rFonts w:ascii="Arial" w:cs="Arial" w:eastAsia="Arial" w:hAnsi="Arial"/>
          <w:sz w:val="29"/>
          <w:szCs w:val="29"/>
          <w:color w:val="auto"/>
          <w:vertAlign w:val="superscript"/>
        </w:rPr>
        <w:t>6</w:t>
      </w:r>
      <w:r>
        <w:rPr>
          <w:rFonts w:ascii="Arial" w:cs="Arial" w:eastAsia="Arial" w:hAnsi="Arial"/>
          <w:sz w:val="18"/>
          <w:szCs w:val="18"/>
          <w:color w:val="auto"/>
        </w:rPr>
        <w:t>/kg supporter HSPCs and a Temferon dose of 3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and (Cohort 6, Dose Level 4), and 4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(Cohort 7, Dose Level 5), respectively.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figure below represents the amended TEM-GBM 001 study scheme with interim and anticipated milestones. The study EudraCT Number is 2018-001404-11 and can be found at clinicaltrialsregister.eu/ctr-search/trial/2018-001404-11/IT.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9" w:right="41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466090</wp:posOffset>
            </wp:positionV>
            <wp:extent cx="5743575" cy="32918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TEM-GBM 001 Amended Study Design.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Interim Results.</w:t>
      </w:r>
    </w:p>
    <w:p>
      <w:pPr>
        <w:spacing w:after="0" w:line="25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designed the TEM-GBM 001 study to: (i) obtain rapid accrual of patients (ii) assess the safety profile of Temferon, (iii) identify the optimal dose, and (iv) measure the biological activity of Temferon on those patients who progress to the point of requiring a second surgery.</w:t>
      </w:r>
    </w:p>
    <w:p>
      <w:pPr>
        <w:spacing w:after="0" w:line="14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designed our study anticipating that patients receiving lower doses of Temferon could progress to the point of needing a second surgery, which is often necessary in GBM patients. A second surgery provides the only source of GBM specimens post treatment to evaluate the biological activity of</w:t>
      </w:r>
    </w:p>
    <w:p>
      <w:pPr>
        <w:ind w:right="100"/>
        <w:spacing w:after="0" w:line="221" w:lineRule="auto"/>
        <w:rPr>
          <w:sz w:val="20"/>
          <w:szCs w:val="20"/>
          <w:color w:val="auto"/>
        </w:rPr>
      </w:pPr>
      <w:r>
        <w:rPr>
          <w:rFonts w:ascii="Arial" w:cs="Arial" w:eastAsia="Arial" w:hAnsi="Arial"/>
          <w:sz w:val="18"/>
          <w:szCs w:val="18"/>
          <w:color w:val="auto"/>
        </w:rPr>
        <w:t>Temferon and to evaluate its mechanism of action in patients. We enrolled our first patient in April 2019 and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had dosed 15 patients, from cohort 1 to 5. We expect to complete the enrollment and the dosing of patients to be assigned to cohorts 6 and 7 by the end of the second quarter of 2022.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Overview of the current status of TEM-GBM 001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151765</wp:posOffset>
            </wp:positionV>
            <wp:extent cx="5743575" cy="908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4357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6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There have been no dose limiting toxicities identified in our clinical study to date. All patients showed rapid engraftment and hematological recovery after administering the sub-myeloablative conditioning regimens (Busulfan BCNU + Thiotepa or Busulfan and Thiothepa). Evidence of presence and persistence of Temferon-derived differentiated cells is assessed by measuring the vector genomes in the DNA of peripheral blood and bone marrow cells (absolute number quantified by ddPCR). The vector copy number (VCN) positive cells were present within 14 days post treatment and were detectable, albeit at lower levels, in the long-term (up to 18 months, the last measured timepoint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57495" cy="19970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5749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Engineered myeloid cells persist in peripheral blood for up to 18 months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also detected very low concentrations of IFN-α in the plasma and cerebrospinal fluid, suggesting the transgene expression control mechanism may be working as intended by limiting systemic IFN-a exposure.</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Serious adverse events have mainly been attributed by the Investigator to the effects of the conditioning regimen (pneumonia, pulmonary embolism, febrile neutropenia, fatigue, C.diff infection, CMV reactivation, sepsis) or disease progression (worsening left hemiparesis, seizure, brain abscess, sudden death). Three instances of elevated gamma glutamyl transferase (GGT) have been observed: two mild cases attributed to chemotherapy and HSPC harvesting, each of which has resolved; and one case occurring at D+78 following Temferon administration, which was classified as a suspected unexpected serious adverse reaction (SUSAR) possibly related to Temferon, and which has also resolved. Nine deaths have been reported to date: seven at +241, +322, +340, +402, +478, +646 and +749 days after Temferon administration due to disease progression, and two deaths at +60 and +122 days which the Investigator considered not related to Temferon but possibly related to complications following the chronic steroid treatment and the conditioning regimens prior to Temferon administration.</w:t>
      </w:r>
    </w:p>
    <w:p>
      <w:pPr>
        <w:spacing w:after="0" w:line="20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last evaluable disease status as assessed by immunotherapy response assessment for neuro-oncology (iRANO) criteria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the last evaluable time point for all 15 treated patients (prior to death, where applicable), was as follows: six patients had shown stable disease (SD), two patients had demonstrated partial response, seven patients had shown progressive disease (PD). For reference, The iRANO guidelines specifically address interpretation of initial progressive imaging findings in the context of neuro-oncology patients with a goal of decreasing the likelihood of premature discontinuation of potentially beneficial therapies while ensuring maximum patient safety. iRANO empirically stipulates a three-month window for confirmation of progression on follow-up imaging, and further advises that progressive imaging changes beyond six months after immunotherapy initiation are more likely true tumor progression.</w:t>
      </w:r>
    </w:p>
    <w:p>
      <w:pPr>
        <w:spacing w:after="0" w:line="20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So far, eight out of the nine patients from the first three cohorts and one patient in cohort 4 progressed. The PD occurred after a median of + 123 days (range 83–239 days) following administration of Temferon. Two patients of cohort 3 progressed before Temferon administration (11 and 12 days before Temferon administration). Preliminary analyses performed on the tumor specimens belonging to patients with PD who underwent a second surgery (four patients) confirmed the presence of TEMs within the tumor, as assessed by flow cytometry, and an increased expression of IFN-responsive gene signatures compared to diagnosis, as assessed by quantitative polymerase chain reaction (PCR) tests. We believe that these findings suggest intra-tumor IFN-α release.</w:t>
      </w:r>
    </w:p>
    <w:p>
      <w:pPr>
        <w:spacing w:after="0" w:line="192"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as assessed by flow cytometry, the stable lesion had a higher proportion of T cells and TEMs within the myeloid infiltrate and as detected by quantitative PCR a markedly increased IFN-response signature as compared to the relapse-progressing lesion.</w:t>
      </w:r>
    </w:p>
    <w:p>
      <w:pPr>
        <w:spacing w:after="0" w:line="188"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also analyzed the peripheral blood of the patients from cohorts 1 to 3. In these patients, the peripheral blood showed, on two of the four subjects with samples at the first and second surgery, a change in the T cell immune repertoire post treatment, revealing expansion of tumor-associated clones, which suggested that changes in the immune system are occurring.</w:t>
      </w:r>
    </w:p>
    <w:p>
      <w:pPr>
        <w:spacing w:after="0" w:line="211"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We believe these results align with our preclinical data and suggest the immune activation effects of Temferon. Specifically, the preliminary interim results, including the tumor analysis conducted after second surgery described above, provide biological evidence to support the hypothesis that cellular and molecular changes were triggered by Temferon in uMGMT-GBM patients despite the low dose administered. We have yet to reach the maximum tolerated dose of Temferon and as outlined in our study protocol, we will be increasing the dose in cohorts 6 and 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Clinical Development Plan</w:t>
      </w:r>
    </w:p>
    <w:p>
      <w:pPr>
        <w:spacing w:after="0" w:line="25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plan to use the results of our TEM-GBM Phase 1/2a study (NCT03866109) to support a Clinical Trial Application to be conducted in Europe, a multicenter Phase 2 study in uMGMT-GBM, which we currently intend to conduct primarily in Italy.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 We intend to submit the CTA for a Temferon Phase 2 study for uMGMT-GBM</w:t>
      </w:r>
    </w:p>
    <w:p>
      <w:pPr>
        <w:sectPr>
          <w:pgSz w:w="11900" w:h="16904" w:orient="portrait"/>
          <w:cols w:equalWidth="0" w:num="1">
            <w:col w:w="11240"/>
          </w:cols>
          <w:pgMar w:left="320" w:top="719" w:right="339" w:bottom="0" w:gutter="0" w:footer="0" w:header="0"/>
        </w:sectPr>
      </w:pPr>
    </w:p>
    <w:bookmarkStart w:id="118" w:name="page119"/>
    <w:bookmarkEnd w:id="118"/>
    <w:p>
      <w:pPr>
        <w:jc w:val="both"/>
        <w:spacing w:after="0" w:line="259" w:lineRule="auto"/>
        <w:rPr>
          <w:sz w:val="20"/>
          <w:szCs w:val="20"/>
          <w:color w:val="auto"/>
        </w:rPr>
      </w:pPr>
      <w:r>
        <w:rPr>
          <w:rFonts w:ascii="Arial" w:cs="Arial" w:eastAsia="Arial" w:hAnsi="Arial"/>
          <w:sz w:val="18"/>
          <w:szCs w:val="18"/>
          <w:color w:val="auto"/>
        </w:rPr>
        <w:t>patients by the fourth quarter of 2022. The Phase 2 study will evaluate the safety, tolerability, biological reprogramming of the tumor microenvironment in Temferon treated patients compared to the current standard of care, with primary endpoints, of PFS and mOS. We are also working with our current CMO and potentially other CMOs based in the U.S. to manufacture and to supply Temferon in the U.S. for our larger trials to be conducted after the completion of our Phase 2 study.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components of the anticipated clinical trial are as follows:</w:t>
      </w:r>
    </w:p>
    <w:p>
      <w:pPr>
        <w:spacing w:after="0" w:line="252"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Multicenter study evaluating Temferon for safety, tolerability and efficacy compared to the current standard of care;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Enrollment and treatment of up to 27 patients with newly diagnosed and recurrent uMGMT-GBM;</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9" w:name="page120"/>
    <w:bookmarkEnd w:id="119"/>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PFS and mOS as co-primary study endpoints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study design as discussed with FDA at the Pre-IND meeting may be subject to modifications.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Solid Tumor Indication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also evaluating liver cancers as a potential second solid tumor to be investigated. HCC and ICC are gastrointestinal cancers affecting the digestive system. We chose to pursue these indications for similar reasons as the uMGMT-GBM indication, namely:</w:t>
      </w:r>
    </w:p>
    <w:p>
      <w:pPr>
        <w:spacing w:after="0" w:line="193" w:lineRule="exact"/>
        <w:rPr>
          <w:sz w:val="20"/>
          <w:szCs w:val="20"/>
          <w:color w:val="auto"/>
        </w:rPr>
      </w:pPr>
    </w:p>
    <w:p>
      <w:pPr>
        <w:ind w:left="660" w:right="480" w:hanging="328"/>
        <w:spacing w:after="0" w:line="282"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High unmet medical need and market opportunity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prognosis for patients with locally advanced HCC and ICC remains poor with few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options having limited clinical benefits.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111419"/>
        </w:rPr>
        <w:t>TEMs have an active role in HCC and ICC pathology.</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Several third-party studies have shown that tumor infiltration by tumor associated myeloid cells, including TEMs, is a negative prognostic factor in HCC and ICC.</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HCC, TEMs are the most abundant proportion of tumor associated myeloid cells.</w:t>
      </w:r>
    </w:p>
    <w:p>
      <w:pPr>
        <w:spacing w:after="0" w:line="184" w:lineRule="exact"/>
        <w:rPr>
          <w:rFonts w:ascii="Arial" w:cs="Arial" w:eastAsia="Arial" w:hAnsi="Arial"/>
          <w:sz w:val="18"/>
          <w:szCs w:val="18"/>
          <w:color w:val="auto"/>
        </w:rPr>
      </w:pPr>
    </w:p>
    <w:p>
      <w:pPr>
        <w:ind w:left="980" w:right="340" w:hanging="324"/>
        <w:spacing w:after="0" w:line="342" w:lineRule="auto"/>
        <w:tabs>
          <w:tab w:leader="none" w:pos="9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Hepatitis B (HBV) infections and hepatitis C (HCV) infections, both of which predispose individuals to the development of chronic liver disease and the subsequent liver cancers, upregulate Ang-2 expression, further contributing to tumor angiogenesis and TEMs migration.</w:t>
      </w:r>
    </w:p>
    <w:p>
      <w:pPr>
        <w:spacing w:after="0" w:line="8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HCC, Ang-2 mRNA expression is significantly increased when compared to adjacent liver tissue and angiopoietins and tumor infiltrating TEMs appear to be associated with metastasis and recurrent disease.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the above evidence highlights the role of TEMs in fostering liver cancer growth, by promoting angiogenesis.</w:t>
      </w:r>
    </w:p>
    <w:p>
      <w:pPr>
        <w:spacing w:after="0" w:line="252" w:lineRule="exact"/>
        <w:rPr>
          <w:sz w:val="20"/>
          <w:szCs w:val="20"/>
          <w:color w:val="auto"/>
        </w:rPr>
      </w:pPr>
    </w:p>
    <w:p>
      <w:pPr>
        <w:ind w:left="660" w:right="70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Pro-inflammatory and immunosuppressive tumor microenvironment. </w:t>
      </w:r>
      <w:r>
        <w:rPr>
          <w:rFonts w:ascii="Arial" w:cs="Arial" w:eastAsia="Arial" w:hAnsi="Arial"/>
          <w:sz w:val="18"/>
          <w:szCs w:val="18"/>
          <w:color w:val="000000"/>
        </w:rPr>
        <w:t>Both locally advanced HCC and ICC are characterized by a pro-inflammatory and immunosuppressive tumor microenvironment with TEMs playing a key role.</w:t>
      </w:r>
    </w:p>
    <w:p>
      <w:pPr>
        <w:spacing w:after="0" w:line="129"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IFN-α and liver tumors. </w:t>
      </w:r>
      <w:r>
        <w:rPr>
          <w:rFonts w:ascii="Arial" w:cs="Arial" w:eastAsia="Arial" w:hAnsi="Arial"/>
          <w:sz w:val="17"/>
          <w:szCs w:val="17"/>
          <w:color w:val="auto"/>
        </w:rPr>
        <w:t>Chronic inflammation resulting from HBV and HCV infection are key contributors for the development of HCC or ICC.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the introduction of antiviral agents in 2011, parenterally administered interferons, including IFN-α, were utilized as the standard of care in order to achieve viral clearance and/or suppression. The use of IFN-based regimens for HCV and HBV infections has been associated with a reduction in HCC risk. Evidence suggests that use of IFN-α as an adjuvant therapy in HCC patients after curative therapy may reduce the recurrence rates for up to 5 years, particularly in patients with concurrent HCV infection.</w:t>
      </w:r>
    </w:p>
    <w:p>
      <w:pPr>
        <w:spacing w:after="0" w:line="13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111419"/>
        </w:rPr>
        <w:t xml:space="preserve">Available preclinical </w:t>
      </w:r>
      <w:r>
        <w:rPr>
          <w:rFonts w:ascii="Arial" w:cs="Arial" w:eastAsia="Arial" w:hAnsi="Arial"/>
          <w:sz w:val="17"/>
          <w:szCs w:val="17"/>
          <w:b w:val="1"/>
          <w:bCs w:val="1"/>
          <w:i w:val="1"/>
          <w:iCs w:val="1"/>
          <w:color w:val="000000"/>
        </w:rPr>
        <w:t>data.</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We have preclinical data, published in peer reviewed papers suggesting that TEMs used as a “Trojan Horse” for cancer</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that has metastasized to the liver were able to induce a statistically significant tumor shrinkage and control disease progression.</w:t>
      </w:r>
    </w:p>
    <w:p>
      <w:pPr>
        <w:spacing w:after="0" w:line="105" w:lineRule="exact"/>
        <w:rPr>
          <w:rFonts w:ascii="Arial" w:cs="Arial" w:eastAsia="Arial" w:hAnsi="Arial"/>
          <w:sz w:val="17"/>
          <w:szCs w:val="17"/>
          <w:color w:val="auto"/>
        </w:rPr>
      </w:pPr>
    </w:p>
    <w:p>
      <w:pPr>
        <w:ind w:left="660" w:right="120" w:hanging="328"/>
        <w:spacing w:after="0" w:line="34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HCC and ICC combined global market value is projected to grow to over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billion by 2026. We believe a novel therapeutic which demonstrates improvement over existing therapies would greatly grow the market size.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Liver and intrahepatic bile duct cancers are upper gastrointestinal (GI) cancers that affect the digestive system. They are the fifth most common cause of cancer deaths in men in the U.S., and the seventh most common cause of death in women. The American Cancer Society (ACS) estimates that 42,230 new cases of liver cancer (including intrahepatic bile duct cancers) will be diagnosed in 2021. Of these cases, approximately three-quarters were HCC, while less than one-quarter were bile duct cancers (both intrahepatic and extrahepatic). We are developing Temferon to treat the two tumor types listed below.</w:t>
      </w:r>
    </w:p>
    <w:p>
      <w:pPr>
        <w:spacing w:after="0" w:line="215" w:lineRule="exact"/>
        <w:rPr>
          <w:sz w:val="20"/>
          <w:szCs w:val="20"/>
          <w:color w:val="auto"/>
        </w:rPr>
      </w:pPr>
    </w:p>
    <w:p>
      <w:pPr>
        <w:ind w:left="660" w:right="40" w:hanging="328"/>
        <w:spacing w:after="0" w:line="293"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Hepatocellular carcinoma </w:t>
      </w:r>
      <w:r>
        <w:rPr>
          <w:rFonts w:ascii="Arial" w:cs="Arial" w:eastAsia="Arial" w:hAnsi="Arial"/>
          <w:sz w:val="16"/>
          <w:szCs w:val="16"/>
          <w:color w:val="auto"/>
        </w:rPr>
        <w:t>(HCC) is a primary malignancy of the liver that occurs predominantly in patients with underlying chronic liver 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cirrhosis. The incidence of HCC has been rising worldwide over the last 20 years, with about eight new cases per 100,000 adults per year. The highest incidence of HCC occurs in Asia and Africa, where the endemically high prevalence of hepatitis B (HBV) and hepatitis C (HCV) strongly predisposes individuals to the development of chronic liver disease and the subsequent development of HCC. Patients with HCC have, when treated with the current standard of care, an expected median OS of only 11 months with approximately 10-40% of patients surviving 3 years. Up to 25% of HCC patients have no history of cirrhosis and do not present any risk factors for chronic liver disease, such as HBV and HCV.</w:t>
      </w:r>
    </w:p>
    <w:p>
      <w:pPr>
        <w:spacing w:after="0" w:line="12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Cholangiocarcinoma </w:t>
      </w:r>
      <w:r>
        <w:rPr>
          <w:rFonts w:ascii="Arial" w:cs="Arial" w:eastAsia="Arial" w:hAnsi="Arial"/>
          <w:sz w:val="18"/>
          <w:szCs w:val="18"/>
          <w:color w:val="auto"/>
        </w:rPr>
        <w:t>is a biliary tract cancer and represents approximately 3% of all GI malignancies. Of this 3%, ICC accounts for 5% to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cases. The incidence is 2.1 per 100,000 person years. Despite surgery, the prognosis remains poor with disease recurrence and progression occurring in approximately two-thirds of patients and a 5-year survival rate of only 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HCC Current Treatment Landscape and Limitations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general, HCC patients are asymptomatic in the early stages of the disease, and as a result, the diagnosis is usually obtained in later stages of the disease when there are no curative therapies available. The implementation of surveillance, and the improvements in imaging techniques, have enabled the diagnosis at earlier stages of HCC. In terms of first line treatment approaches, patients with very early HCC are optimal candidates for surgical resection and liver transplantation but when these options are not suitable due to tumor localization or the absence of a matched liver donor, local ablation through percutaneous ethanol injection or radiofrequency are the available alternative treatments. For late-stage HCC, the transcatheter arterial chemoembolization (TACE) is the standard of care.</w:t>
      </w:r>
    </w:p>
    <w:p>
      <w:pPr>
        <w:spacing w:after="0" w:line="219" w:lineRule="exact"/>
        <w:rPr>
          <w:sz w:val="20"/>
          <w:szCs w:val="20"/>
          <w:color w:val="auto"/>
        </w:rPr>
      </w:pPr>
    </w:p>
    <w:p>
      <w:pPr>
        <w:ind w:left="660" w:right="140" w:hanging="328"/>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Surgical Resection </w:t>
      </w:r>
      <w:r>
        <w:rPr>
          <w:rFonts w:ascii="Arial" w:cs="Arial" w:eastAsia="Arial" w:hAnsi="Arial"/>
          <w:sz w:val="18"/>
          <w:szCs w:val="18"/>
          <w:color w:val="auto"/>
        </w:rPr>
        <w:t>is the recommended first line therapy for patients with a single HCC nodule, achieving the highest effectiveness in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control and overall survival. However, despite the accurate selection of patients with early tumors and the complete tumor removal, HCC patients are at high risk of tumor recurrence.</w:t>
      </w:r>
    </w:p>
    <w:p>
      <w:pPr>
        <w:spacing w:after="0" w:line="143"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Percutaneous ethanol injection </w:t>
      </w:r>
      <w:r>
        <w:rPr>
          <w:rFonts w:ascii="Arial" w:cs="Arial" w:eastAsia="Arial" w:hAnsi="Arial"/>
          <w:sz w:val="18"/>
          <w:szCs w:val="18"/>
          <w:color w:val="auto"/>
        </w:rPr>
        <w:t>(PEI) is an effective technique used for early-stage HCC with a low complication rate that induces the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necrosis of small HCC lesions. However, PEI has limitations including the need for multiple treatment sessions (4-6) and a prolonged treatment time. Although generally well tolerated, PEI can result in death and rare instances of tumor seeding. PEI-treated lesions have a high rate of local recurrence (33% - 43%).</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Radiofrequency ablation </w:t>
      </w:r>
      <w:r>
        <w:rPr>
          <w:rFonts w:ascii="Arial" w:cs="Arial" w:eastAsia="Arial" w:hAnsi="Arial"/>
          <w:sz w:val="18"/>
          <w:szCs w:val="18"/>
          <w:color w:val="auto"/>
        </w:rPr>
        <w:t>(RFA) has advantages compared to PEI including ease of performance, effectiveness similar to that of surgical resection,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safety, and low invasiveness. RFA is the first-choice post-surgery procedure for patients with early-stage HCC. However, despite the advantages of RFA, complete tumor ablation remains difficult to achieve in some specific liver sites. Many patients treated with RFA develop atrial fibrillation on long-term follow-up.</w:t>
      </w:r>
    </w:p>
    <w:p>
      <w:pPr>
        <w:spacing w:after="0" w:line="146"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Transarterial chemoembolization </w:t>
      </w:r>
      <w:r>
        <w:rPr>
          <w:rFonts w:ascii="Arial" w:cs="Arial" w:eastAsia="Arial" w:hAnsi="Arial"/>
          <w:sz w:val="18"/>
          <w:szCs w:val="18"/>
          <w:color w:val="auto"/>
        </w:rPr>
        <w:t>(TACE) is the current standard of care for patients with intermediate/late-stage HCC and who have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preserved liver function. TACE combines the “tumor embolization”, meaning the treatment blocks the vascular supply to a tumor accompanied by a local administration of chemotherapy. This permits high concentration of drugs in the tumor area, while simultaneously reducing systemic exposure. However, the technique is not standardized and there is no universal consensus as to TACE application in the clinical setting thereby limiting reliable comparison of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1" w:name="page122"/>
    <w:bookmarkEnd w:id="121"/>
    <w:p>
      <w:pPr>
        <w:ind w:left="660" w:right="60" w:hanging="328"/>
        <w:spacing w:after="0" w:line="301"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Sorafenib </w:t>
      </w:r>
      <w:r>
        <w:rPr>
          <w:rFonts w:ascii="Arial" w:cs="Arial" w:eastAsia="Arial" w:hAnsi="Arial"/>
          <w:sz w:val="16"/>
          <w:szCs w:val="16"/>
          <w:color w:val="auto"/>
        </w:rPr>
        <w:t>has been the first line chemotherapy standard of care for patients with advanced unresectable hepatocellular carcinoma (HCC)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and has also been found to be useful in association with TACE as an effective chemotherapeutic agent to prolong survival in inoperable HCCs. However, Sorafenib is associated with adverse events (AEs) such as hand-foot skin reaction, rash, upper and lower gastrointestinal distress (i.e. diarrhea), fatigue, and hypertension. Furthermore, a proportion of treated patients show no response to the drug.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ICC Current Treatment Landscape and Limitations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Surgery (radical excision) is the only treatment available for ICC. However, the disease will recur in 40–85% of patients who have a median survival of 36 months. Neo-adjuvant approaches have largely been unsuccessful and adjuvant therapy (radiotherapy, chemoradiotherapy or chemotherapy alone) is offered to patients only as a palliative solution. Based on a single, positive Phase 3 study, chemotherapy with gemcitabine and cisplatin is considered the standard of care and plays an established role as a palliative care solution.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Similar to Temferon for GBM, we believe that Temferon may overcome the current treatment limitations of HCC and ICC that are not curative/resolutive by stopping/delaying disease progression.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HCC and ICC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described in the study published by Giovanni Sitia’s research group at OSR in collaboration with Luigi Naldini, our IFN-α gene delivery platform was tested in a mouse model of liver metastases from colorectal cancer (CRC) resulting in a substantially delayed or complete prevention of tumor growth with prolonged long-term survival. Our approach was also effective on pre-established liver metastases that more closely mimics tumor treatment in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349240" cy="42176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4924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vivo data on Tie2-IFN gene therapy platform in a mouse model of colorectal cancer (CRC) liver metastasis (Catarinella et. al;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IFN-α gene therapy treatment impairs the metastatic growth in the liver CRC liver metastasis.</w:t>
      </w: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i w:val="1"/>
          <w:iCs w:val="1"/>
          <w:color w:val="auto"/>
        </w:rPr>
        <w:t>CT26 and MC38 cell line panels: Percentage and tumor volume quantification measured by MRI analysis of mice injected with CT26 cells bearing at least one CRC liver metastasis estimated by MRI analysis and Kaplan–Meier survival curves of the indicated groups. The inset images show representative macroscopic photographs of the metastatic progression in the liver. Sham i.e., mice transplanted with non-transduced HSPCs and intrasplenically injected with saline thereafter.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Solid Tumor Study Design</w:t>
      </w:r>
    </w:p>
    <w:p>
      <w:pPr>
        <w:spacing w:after="0" w:line="25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with the TEM-GBM 001 study, we plan to propose to the Italian regulatory bodies a non-randomized, open label, single center, Phase 1/2a, therapeutic-exploratory, prospective study, involving a single injection of Temferon administration in up to 9 patients. The study will recruit and track patients at OSR.</w:t>
      </w:r>
    </w:p>
    <w:p>
      <w:pPr>
        <w:sectPr>
          <w:pgSz w:w="11900" w:h="16838" w:orient="portrait"/>
          <w:cols w:equalWidth="0" w:num="1">
            <w:col w:w="11240"/>
          </w:cols>
          <w:pgMar w:left="320" w:top="719" w:right="339" w:bottom="0" w:gutter="0" w:footer="0" w:header="0"/>
        </w:sectPr>
      </w:pPr>
    </w:p>
    <w:bookmarkStart w:id="122" w:name="page123"/>
    <w:bookmarkEnd w:id="122"/>
    <w:p>
      <w:pPr>
        <w:ind w:right="40" w:firstLine="648"/>
        <w:spacing w:after="0" w:line="263" w:lineRule="auto"/>
        <w:rPr>
          <w:sz w:val="20"/>
          <w:szCs w:val="20"/>
          <w:color w:val="auto"/>
        </w:rPr>
      </w:pPr>
      <w:r>
        <w:rPr>
          <w:rFonts w:ascii="Arial" w:cs="Arial" w:eastAsia="Arial" w:hAnsi="Arial"/>
          <w:sz w:val="18"/>
          <w:szCs w:val="18"/>
          <w:color w:val="auto"/>
        </w:rPr>
        <w:t>Patients will be administered Temferon following the same process as our TEM-GBM trial, namely: (i) HSPCs harvesting, (ii) standard of care chemotherapy concomitant to Temferon manufacturing, (iii) administration of the conditioning regimen followed by Temferon infusion, and (iv) 2-years of follow-up.</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Pipeline Pre-Clinical Programs</w:t>
      </w:r>
    </w:p>
    <w:p>
      <w:pPr>
        <w:spacing w:after="0" w:line="2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platform technology was designed to be flexible so that it can be potentially adapted to treat a variety of cancers. We believe that Temferon lends itself to be used in combination with a variety of current existing therapeutics to potentially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Treatment</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While therapies to treat several types of cancers, such as ICI, CAR-T and TCR, are rapidly transforming the practice of medical oncology, clinical data point to the risk of late relapses after treatment with these therapeutics. Thus, the data suggest that the durability of the response to these therapies remains a significant challenge. We believe that due the potentially agnostic nature of Temferon, its potential activity, which includes the abrogation of tumor induced tolerance, and its potentially synergistic mechanism of action, makes it an ideal candidate to be considered for combination treatments. Specifically, Temferon may be a good candidate to be used in combination, for very aggressive tumors,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spacing w:after="0" w:line="2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preclinical studies conducted in the laboratories of our founders, Professor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(manuscripts in preparation). These results lead us to believe that IFN gene therapy might also boost the efficacy of other immunotherapies.</w:t>
      </w:r>
    </w:p>
    <w:p>
      <w:pPr>
        <w:spacing w:after="0" w:line="21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Specifically, in a leukemia mouse model, a CD19 CAR-T approach had detectable, but not significant effect on the tumor burden. However, when used in combination with Temferon, the combination treatment resulted in a significant inhibition of the hematological malignancy with a significant fraction of CAR-T/Temferon treated mice surviving at the latest timepoint of analysis. Similarly, the combination of IFN gene therapy to α-CTLA4, an immune check point blocker, or adoptive T cell therapy, significantly improved the survival of the mice (Escobar et al., Nature Communication 2018).</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a multiple myeloma mouse model, Temferon was administered in combination with human TCR-edited T cells directed against NY-ESO1 and anti-myeloma drugs. The combination approach showed promising additive-to-synergistic effects leading to more pronounced disease control compared to most single-agent regimens, and without exacerbating hematologic or systemic toxicities (manuscript in preparation).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Switchable Platform</w:t>
      </w:r>
    </w:p>
    <w:p>
      <w:pPr>
        <w:spacing w:after="0" w:line="2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founders are developing a second-generation platform designed to release the therapeutic payload “on demand” to allow in vivo control of its potential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 inducible version of the IFN-a 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Professor Naldini with a glioblastoma mouse model showed similar anti-tumor activity of the inducible and wild-type IFN payload. Moreover, the inducible construct allows switching of IFN release upon tumor clearance (manuscript to be submitted for publication). We plan to use our second generation platform carrying an IFN-a payload in combination with CAR T cells to target glioblastoma-associated antigens or immune checkpoint blockers in an experimental tumor model in mice.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Payloads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platform is designed to allow the control of the expression of any payload we use. Similar to IFN-a, there are several alternative payloads with immunotherapeutic properties that were previously systemically delivered to patients, but were discontinued due to significant toxicity that prevented the drug from reaching therapeutic dosages (e.g. TNF-a). Because we believe that our first- and second-generation platforms may overcome the limitations associated with systemic administration, we are testing them with additional payloads such as IFN-g, IL-12 and TNF-a. Because each payload triggers a unique biological response, we believe our platform may enable a personalized treatment approach unique amongst the current treatment paradigms.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Additional immune activating cytokines have been tested for TEM-mediated gene-based delivery to tumor models in mice. Current pre-clinical results suggest the feasibility and specificity of tumor-targeted delivery of IFN-g and TNF-a and further support our hypothesis that the specific transcriptional and microRNA regulated expression of the payload prevents toxicity. Data generated in the laboratory of our founders in a leukemia model showed that IFN-g but not TNF-a mediate anti-tumor activity when delivered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Further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showed enhanced anti-tumor activity upon combined delivery of two cytokines by the TEM-based platform.</w:t>
      </w:r>
    </w:p>
    <w:p>
      <w:pPr>
        <w:spacing w:after="0" w:line="21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Moreover, experiments conducted with our second-generation inducible platform expressing IL-12 supported the hypothesis that our proprietary transcriptional and microRNA regulated expression of the payload to may prevent toxicity. Indeed, IL-12 is a potent cytokine that must be kept within a therapeutic dose range to prevent toxicity. Targeted delivery and anti-tumor activity of the new inducible payload are being investigated (abstracts to be presented at EACR in June 2021; at ASGCT 2021 in May 2021; and manuscript to be submitted). The laboratory of Professor Naldini plans to test the combination of TEM-mediated gene-based delivery of inducible Il-12 or additional inducible payloads with CAR-T, TCR and ICI in experimental murine tumor models.</w:t>
      </w:r>
    </w:p>
    <w:p>
      <w:pPr>
        <w:sectPr>
          <w:pgSz w:w="11900" w:h="16838" w:orient="portrait"/>
          <w:cols w:equalWidth="0" w:num="1">
            <w:col w:w="11220"/>
          </w:cols>
          <w:pgMar w:left="320" w:top="368" w:right="359" w:bottom="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manufacturing process for our autologous cell and gene therapy approach requires the following steps:</w:t>
      </w:r>
    </w:p>
    <w:p>
      <w:pPr>
        <w:spacing w:after="0" w:line="252" w:lineRule="exact"/>
        <w:rPr>
          <w:sz w:val="20"/>
          <w:szCs w:val="20"/>
          <w:color w:val="auto"/>
        </w:rPr>
      </w:pPr>
    </w:p>
    <w:p>
      <w:pPr>
        <w:ind w:left="1300" w:hanging="320"/>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HSPCs harvesting in a specialized clinical center (leukapheresis)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Shipping of apheresis bag/s to the selected contract manufacturing organization (CMO)</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CD34+ cells enrichment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Ex-vivo </w:t>
      </w:r>
      <w:r>
        <w:rPr>
          <w:rFonts w:ascii="Arial" w:cs="Arial" w:eastAsia="Arial" w:hAnsi="Arial"/>
          <w:sz w:val="18"/>
          <w:szCs w:val="18"/>
          <w:color w:val="auto"/>
        </w:rPr>
        <w:t>transduction of CD34+ cells with our LVV,</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Cryopreservation, characterization and release by a Qualified Person of the obtained drug product.</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LVV manufacturing needed for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117475</wp:posOffset>
            </wp:positionV>
            <wp:extent cx="5400675" cy="26060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006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Overview of Temferon manufacturing Process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We have entered into agreements with AGC Biologics to manufacture our LVV and drug product for our ongoing clinical programs in Italy. AGC Biologics is a leading global contract development and manufacturing organization (CDMO), providing world-class development and manufacture of mammalian and microbial-based therapeutic proteins of plasmid DNA (pDNA) and recently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for children, was developed and is still currently manufactured by AGC Biologics (former MolMed). Accordingly, Orchard Therapeutics (NasdaqGS: ORTX) in July 2020 renewed their collaboration agreement with AGC which will continue to support activities related to the development and manufacturing of vectors and drug products for several of Orchard’s investigational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hematopoietic stem cell (HSC) gene therapies in the upcoming years, including the recent EU market authorized gene therapy drug </w:t>
      </w:r>
      <w:r>
        <w:rPr>
          <w:rFonts w:ascii="Arial" w:cs="Arial" w:eastAsia="Arial" w:hAnsi="Arial"/>
          <w:sz w:val="16"/>
          <w:szCs w:val="16"/>
          <w:i w:val="1"/>
          <w:iCs w:val="1"/>
          <w:color w:val="auto"/>
        </w:rPr>
        <w:t>Libmeldy.</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466090</wp:posOffset>
            </wp:positionV>
            <wp:extent cx="5572125" cy="34975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AGC Biologics Headquarters and Capabilities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agreement with AGC (MolMed) establishes agreed-upon timelines for purchase order submissions and manufacturing date changes/cancellation. The supply agreement also sets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United States and abroad. However, patent protection may not afford us with complete protection against competitors who seek to circumvent our patents.</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Temferon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Temferon is protected by the following patents families that contain both issued and/or pending patent applications.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2320"/>
              <w:spacing w:after="0"/>
              <w:rPr>
                <w:sz w:val="20"/>
                <w:szCs w:val="20"/>
                <w:color w:val="auto"/>
              </w:rPr>
            </w:pPr>
            <w:r>
              <w:rPr>
                <w:rFonts w:ascii="Arial" w:cs="Arial" w:eastAsia="Arial" w:hAnsi="Arial"/>
                <w:sz w:val="14"/>
                <w:szCs w:val="14"/>
                <w:b w:val="1"/>
                <w:bCs w:val="1"/>
                <w:color w:val="auto"/>
              </w:rPr>
              <w:t>Focus / Family</w:t>
            </w:r>
          </w:p>
        </w:tc>
        <w:tc>
          <w:tcPr>
            <w:tcW w:w="220" w:type="dxa"/>
            <w:vAlign w:val="bottom"/>
          </w:tcPr>
          <w:p>
            <w:pPr>
              <w:spacing w:after="0"/>
              <w:rPr>
                <w:sz w:val="16"/>
                <w:szCs w:val="16"/>
                <w:color w:val="auto"/>
              </w:rPr>
            </w:pPr>
          </w:p>
        </w:tc>
        <w:tc>
          <w:tcPr>
            <w:tcW w:w="1700" w:type="dxa"/>
            <w:vAlign w:val="bottom"/>
          </w:tcPr>
          <w:p>
            <w:pPr>
              <w:ind w:left="7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E.U.</w:t>
            </w:r>
          </w:p>
        </w:tc>
        <w:tc>
          <w:tcPr>
            <w:tcW w:w="1680" w:type="dxa"/>
            <w:vAlign w:val="bottom"/>
          </w:tcPr>
          <w:p>
            <w:pPr>
              <w:ind w:left="520"/>
              <w:spacing w:after="0"/>
              <w:rPr>
                <w:sz w:val="20"/>
                <w:szCs w:val="20"/>
                <w:color w:val="auto"/>
              </w:rPr>
            </w:pPr>
            <w:r>
              <w:rPr>
                <w:rFonts w:ascii="Arial" w:cs="Arial" w:eastAsia="Arial" w:hAnsi="Arial"/>
                <w:sz w:val="14"/>
                <w:szCs w:val="14"/>
                <w:b w:val="1"/>
                <w:bCs w:val="1"/>
                <w:color w:val="auto"/>
              </w:rPr>
              <w:t>Expiration</w:t>
            </w:r>
          </w:p>
        </w:tc>
      </w:tr>
      <w:tr>
        <w:trPr>
          <w:trHeight w:val="202"/>
        </w:trPr>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Gene Vector comprising mi-RNA</w:t>
            </w: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USP 10,000,757*</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EP 2002003 B1</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5/26/2026*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9,556,438</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PCT/IB2006/002266 (WO 2007/000668).</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16/004,394</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Gene Vector comprising mi-RNA</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10,287,579</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2424571 B1</w:t>
            </w:r>
          </w:p>
        </w:tc>
        <w:tc>
          <w:tcPr>
            <w:tcW w:w="1680" w:type="dxa"/>
            <w:vAlign w:val="bottom"/>
          </w:tcPr>
          <w:p>
            <w:pPr>
              <w:spacing w:after="0"/>
              <w:rPr>
                <w:sz w:val="20"/>
                <w:szCs w:val="20"/>
                <w:color w:val="auto"/>
              </w:rPr>
            </w:pPr>
            <w:r>
              <w:rPr>
                <w:rFonts w:ascii="Arial" w:cs="Arial" w:eastAsia="Arial" w:hAnsi="Arial"/>
                <w:sz w:val="18"/>
                <w:szCs w:val="18"/>
                <w:color w:val="auto"/>
              </w:rPr>
              <w:t>4/30/2030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9,951,328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20167404.1</w:t>
            </w: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PCT/IB2010/001166 (WO / 2010/125471)</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16/384,571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Monocyte Cell (Tie-2) activation process (composition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7,833,789</w:t>
            </w:r>
          </w:p>
        </w:tc>
        <w:tc>
          <w:tcPr>
            <w:tcW w:w="19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10/5/2027</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USP 7,833,789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Methods for Genetic Modification of Stem Cells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10,617,721*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3060670 B1</w:t>
            </w:r>
          </w:p>
        </w:tc>
        <w:tc>
          <w:tcPr>
            <w:tcW w:w="1680" w:type="dxa"/>
            <w:vAlign w:val="bottom"/>
          </w:tcPr>
          <w:p>
            <w:pPr>
              <w:spacing w:after="0"/>
              <w:rPr>
                <w:sz w:val="20"/>
                <w:szCs w:val="20"/>
                <w:color w:val="auto"/>
              </w:rPr>
            </w:pPr>
            <w:r>
              <w:rPr>
                <w:rFonts w:ascii="Arial" w:cs="Arial" w:eastAsia="Arial" w:hAnsi="Arial"/>
                <w:sz w:val="18"/>
                <w:szCs w:val="18"/>
                <w:color w:val="auto"/>
              </w:rPr>
              <w:t>10/24/2034*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16/827,708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19185334</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PCT/IB2014/065594 (WO 2015/059674)</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Vector Production</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10,912,824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3169788</w:t>
            </w:r>
          </w:p>
        </w:tc>
        <w:tc>
          <w:tcPr>
            <w:tcW w:w="1680" w:type="dxa"/>
            <w:vAlign w:val="bottom"/>
          </w:tcPr>
          <w:p>
            <w:pPr>
              <w:spacing w:after="0"/>
              <w:rPr>
                <w:sz w:val="20"/>
                <w:szCs w:val="20"/>
                <w:color w:val="auto"/>
              </w:rPr>
            </w:pPr>
            <w:r>
              <w:rPr>
                <w:rFonts w:ascii="Arial" w:cs="Arial" w:eastAsia="Arial" w:hAnsi="Arial"/>
                <w:sz w:val="18"/>
                <w:szCs w:val="18"/>
                <w:color w:val="auto"/>
              </w:rPr>
              <w:t>7/13/2035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17/143,953</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PCT/IB2015/055286 (WO 2016/009326)</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Type 1 Interferon Gene Therapy</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16/604,484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18724470.2</w:t>
            </w:r>
          </w:p>
        </w:tc>
        <w:tc>
          <w:tcPr>
            <w:tcW w:w="1680" w:type="dxa"/>
            <w:vAlign w:val="bottom"/>
          </w:tcPr>
          <w:p>
            <w:pPr>
              <w:spacing w:after="0"/>
              <w:rPr>
                <w:sz w:val="20"/>
                <w:szCs w:val="20"/>
                <w:color w:val="auto"/>
              </w:rPr>
            </w:pPr>
            <w:r>
              <w:rPr>
                <w:rFonts w:ascii="Arial" w:cs="Arial" w:eastAsia="Arial" w:hAnsi="Arial"/>
                <w:sz w:val="18"/>
                <w:szCs w:val="18"/>
                <w:color w:val="auto"/>
              </w:rPr>
              <w:t>4/20/2038**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PCT/EP2018/060238 (WO 2018/193119)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29" w:lineRule="exact"/>
        <w:rPr>
          <w:sz w:val="20"/>
          <w:szCs w:val="20"/>
          <w:color w:val="auto"/>
        </w:rPr>
      </w:pPr>
    </w:p>
    <w:p>
      <w:pPr>
        <w:ind w:left="660" w:right="3500" w:hanging="4"/>
        <w:spacing w:after="0" w:line="277" w:lineRule="auto"/>
        <w:tabs>
          <w:tab w:leader="none" w:pos="7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Later expiration for certain U.S. patents pursuant to patent term adjustment (35 U.S.C. §154(b)). ** Application pending, anticipated expiration based on 20 year patent term.</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As discussed below, we have the option to license exclusively USP 7,833,789 and issued patents and pending applications (in the PCT/IB2014/065594 and PCT/IB2015/055286 patent families we have not yet exercised the option rights), and improvements, for other indications (fields of use) and other product candidates.</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 Licensing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Ospedale San Raffaele</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Effective December 15, 2014, we entered into a license agreement with OSR (OSR License Agreement) pursuant to which OSR granted us an exclusive, royalty-bearing, non-transferrable (except with the prior written consent of OSR) worldwide license, subject to certain retained rights, to certain patents, patent applications and existing know-how for (1) the use in the field(s) of IFN gene therapy by lentiviral based-HSPC gene transfer with respect to</w:t>
      </w:r>
    </w:p>
    <w:p>
      <w:pPr>
        <w:spacing w:after="0" w:line="2" w:lineRule="exact"/>
        <w:rPr>
          <w:sz w:val="20"/>
          <w:szCs w:val="20"/>
          <w:color w:val="auto"/>
        </w:rPr>
      </w:pPr>
    </w:p>
    <w:p>
      <w:pPr>
        <w:ind w:right="160" w:firstLine="8"/>
        <w:spacing w:after="0" w:line="252" w:lineRule="auto"/>
        <w:tabs>
          <w:tab w:leader="none" w:pos="24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Lympho-Hematopoietic Indication and/or (b) any Solid Cancer Indication that we exercise a future option (discussed below); and (2) certain products developed during the license term for use in the aforementioned field(s) consisting of any lentivirals vector regulated by miR126 and/or miR130 and/or other miRs with the same expression pattern as miR126 and miR130 in hematopoietic cells for the expression of IFN under the control of a Tie2 promoter. Lympho-Hematopoietic Indications mean any indication related to lympho-hematopoietic malignancies and Solid Cancer Indication means any solid cancer indication (e.g., without limitation, breast, pancreas, colon cancer), wherein each affected human organ being considered as a specific Solid Cancer Indication.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43" w:gutter="0" w:footer="0" w:header="0"/>
        </w:sectPr>
      </w:pPr>
    </w:p>
    <w:bookmarkStart w:id="127" w:name="page128"/>
    <w:bookmarkEnd w:id="127"/>
    <w:p>
      <w:pPr>
        <w:ind w:firstLine="648"/>
        <w:spacing w:after="0" w:line="254" w:lineRule="auto"/>
        <w:rPr>
          <w:sz w:val="20"/>
          <w:szCs w:val="20"/>
          <w:color w:val="auto"/>
        </w:rPr>
      </w:pPr>
      <w:r>
        <w:rPr>
          <w:rFonts w:ascii="Arial" w:cs="Arial" w:eastAsia="Arial" w:hAnsi="Arial"/>
          <w:sz w:val="18"/>
          <w:szCs w:val="18"/>
          <w:color w:val="auto"/>
        </w:rPr>
        <w:t>The rights retained by OSR, and extending to its affiliates, include the right to use the licensed technology for internal research within the field(s) of use,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 of use directly, or in or with the collaboration third parties; and, for any use outside the field of use, in which case the license is sublicenseable by OSR. Finally, the world-wide rights for the field of use granted to us regarding the Lentigen know-how are non-exclusive and cannot be sublicensed due to a pre-existing nonexclusive sublicense to these rights between OSR and GlaxoSmithKline Intellectual Property Development Limited.</w:t>
      </w:r>
    </w:p>
    <w:p>
      <w:pPr>
        <w:spacing w:after="0" w:line="222"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As stated, we have an exclusive option to (i) certain additional patents and patent applications, and OSR improvements at no additional cost, which could be useful for the development and/or commercialization of licensed products in the field of use; and (ii) any Solid Cancer Indication to be included as part of the field of use, on an indication-by-indication basis, subject to the payment of specified option fees and milestone payments.</w:t>
      </w:r>
    </w:p>
    <w:p>
      <w:pPr>
        <w:spacing w:after="0" w:line="17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As consideration, we paid OSR an upfront fee of €250,000, and we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EU country, BLA acceptance by the FDA, the first commercial sale of a licensed product in the United States and certain EU countries, and achievement of certain net sales levels.</w:t>
      </w:r>
    </w:p>
    <w:p>
      <w:pPr>
        <w:spacing w:after="0" w:line="19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part of the license,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are also obligated to carry out our development activities using highly skilled professionals and sufficient level of resources and, specifically, to invest (a) at least €5,425,000 with respect to the development of the licensed products, and (b) at least €2,420,000 with respect to the manufacturing of such licensed products (subject to certain adjustments).</w:t>
      </w:r>
    </w:p>
    <w:p>
      <w:pPr>
        <w:spacing w:after="0" w:line="20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Arial" w:cs="Arial" w:eastAsia="Arial" w:hAnsi="Arial"/>
          <w:sz w:val="17"/>
          <w:szCs w:val="17"/>
          <w:i w:val="1"/>
          <w:iCs w:val="1"/>
          <w:color w:val="auto"/>
        </w:rPr>
        <w:t>pro rata</w:t>
      </w:r>
      <w:r>
        <w:rPr>
          <w:rFonts w:ascii="Arial" w:cs="Arial" w:eastAsia="Arial" w:hAnsi="Arial"/>
          <w:sz w:val="17"/>
          <w:szCs w:val="17"/>
          <w:color w:val="auto"/>
        </w:rPr>
        <w:t>. OSR controls enforcement of the patents and know-how rights, at its own expense. In the event that OSR fails to file suit to enforce such rights after notice from Genenta, we have the right to enforce the licensed technology within the field of use. Both us and OSR must consent to settlement of any such litigation, and all monies recovered will be shared equally between the parties after reimbursement for costs, or failing a bona fide agreement between us and OSR, on a 50% - 50% basis.</w:t>
      </w:r>
    </w:p>
    <w:p>
      <w:pPr>
        <w:spacing w:after="0" w:line="20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OSR License expires upon the expiry of the “Royalty Term” for all licensed products in all countries, unless terminated earlier. The Royalty Term begins on the first commercial sale of a licensed product and ends upon the later of the (a) expiration of the commercial exclusivity for such product (wherein the commercial exclusivity refers to any remaining valid licensed patent claims covering such licensed product, or any remaining regulatory data exclusivity for such licensed product), and (b) 10 years from the first commercial sale of such licensed product. 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sublicensing income or milestone payments within 30 days of due dates for each.</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addition, OSR may terminate our rights as to certain fields of use for our failure to develop (a) with respect to a solid cancer indication, upon third anniversary of the date we exercised such option, if we have not filed an IND with respect to such optioned solid cancer indication specifically, as to GBM, we are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March 2017, the OSR License Agreement was amended to provide us with additional exclusive option to expand the license to include the use of lentiviral based-HSPC gene therapy platform to use tumor necrosis factor (TNF) as an alternative payload (rather than IFN) and for the use of that product alone or in combination with other products and committed to spend €500,000 on such product should the option be exercised. We have until September 30, 2022 to exercise this option, upon the payment of specified option fees, as further amended by the third amendment to the OSR License Agreement described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8" w:name="page129"/>
    <w:bookmarkEnd w:id="128"/>
    <w:p>
      <w:pPr>
        <w:ind w:right="100" w:firstLine="648"/>
        <w:spacing w:after="0" w:line="279" w:lineRule="auto"/>
        <w:rPr>
          <w:sz w:val="20"/>
          <w:szCs w:val="20"/>
          <w:color w:val="auto"/>
        </w:rPr>
      </w:pPr>
      <w:r>
        <w:rPr>
          <w:rFonts w:ascii="Arial" w:cs="Arial" w:eastAsia="Arial" w:hAnsi="Arial"/>
          <w:sz w:val="17"/>
          <w:szCs w:val="17"/>
          <w:color w:val="auto"/>
        </w:rPr>
        <w:t>In February 2019, we entered into a second amendment to the OSR License Agreement, whereby we exercised an option with respect to GBM as the first solid cancer indication. We agreed to pay OSR a GBM option fee of €1.0 million upon the dosing of the tenth patient in a specified clinical trial of GBM. We also agreed to extend the period to exercise the option rights set forth by the license agreement until September 30, 2021. This date has been extended to September 30, 2022 pursuant to the fourth amendment to the to the OSR License Agreement described below.</w:t>
      </w:r>
    </w:p>
    <w:p>
      <w:pPr>
        <w:spacing w:after="0" w:line="19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December 2020, we entered into a third amendment to the OSR License Agreement, whereby the GBM option fee included in the second amendment was reduced to €500,000 pursuant to an agreement to enter into a sponsored research agreement (SRA) within forty-five (45) days (and later amended to seventy (70) days) from the effective date of the third amendment (discussed below) in relation to research programs aimed at further studies regarding Temferon, with all intellectual property generated by such SRA being owned by OSR/Telethon subject to the grant by OSR to us of exclusive option rights with respect to such intellectual property. With the third amendment we also exercised an option with respect to a second solid cancer indication, namely solid liver cancer (LC). We agreed to pay OSR an LC option fee of €500,000 upon the earlier of (i) June 30, 2021 and (ii) the enrollment of the first patient within the Phase I clinical study for an LC licensed product. Under the terms of the third amendment, if we are unable to obtain regulatory approval to initiate human clinical trial with respect to solid liver cancer within nine (9) months from the third amendment effective date, we have the right, at no additional cost, to convert the option exercise for the second solid liver cancer indication to an alternative indication. In addition, pursuant to the third amendment, the option period for us to exercise an option with respect to any other solid cancer indication is extended until the second anniversary of the third amendment effective date, or December 23, 2022. The aggregate amount paid to date under the OSR License Agreement is €0.75 million. In addition, €0.5 million is currently due under the OSR License Agreement. Future potential payments that are not yet considered probable under this agreement include €53 million relating to GBM, €47.5 million relating to LC and €0.3 million relating to the license fee option for the third indication, if exercised. In addition, the OSR agreement was amended to extend the exclusive option as to Alternative Payload/Competing Product to September 30, 2022, as noted above.</w:t>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February 2021, we entered into a Sponsored Research Agreement (“SRA”) with OSR to conduct certain research projects related to Temferon. Unless terminated earlier or extended by mutual agreement, the SRA ends upon the earlier of (a) the date of completion of all activities relating to the sponsored research and (b) December 31, 2022. The total consideration to be paid by the Company under the SRA will be €1.0 million with payments scheduled quarterly over 2021 and 2022. The aggregate amount paid in 2021 to date under the SRA is €0.25 million.</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2021, the OSR License Agreement was amended to extend the exclusive option. Specifically, if Genenta is not able to obtain approval of the Regulatory Authorities to initiate a human clinical trial in any country with respect to solid liver cancer on or before September 30, 2022, then Genenta has the right, at no additional cost, to convert the option exercise for the second Solid Cancer Indication to an indication other than solid liver cancer. We now have until September 30, 2022 to exercise this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 License Agreement with Fondazione Telethon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Coverage, Reimbursement, Pricing</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9" w:name="page130"/>
    <w:bookmarkEnd w:id="129"/>
    <w:p>
      <w:pPr>
        <w:ind w:right="20" w:firstLine="648"/>
        <w:spacing w:after="0" w:line="308" w:lineRule="auto"/>
        <w:rPr>
          <w:sz w:val="20"/>
          <w:szCs w:val="20"/>
          <w:color w:val="auto"/>
        </w:rPr>
      </w:pPr>
      <w:r>
        <w:rPr>
          <w:rFonts w:ascii="Arial" w:cs="Arial" w:eastAsia="Arial" w:hAnsi="Arial"/>
          <w:sz w:val="17"/>
          <w:szCs w:val="17"/>
          <w:color w:val="auto"/>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steps required before a biologic may be marketed in the United States generally include:</w:t>
      </w:r>
    </w:p>
    <w:p>
      <w:pPr>
        <w:spacing w:after="0" w:line="252" w:lineRule="exact"/>
        <w:rPr>
          <w:sz w:val="20"/>
          <w:szCs w:val="20"/>
          <w:color w:val="auto"/>
        </w:rPr>
      </w:pPr>
    </w:p>
    <w:p>
      <w:pPr>
        <w:ind w:left="660" w:right="420" w:hanging="328"/>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0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(“IND”), which must become effective before human clinical trials may commence;</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independent IRB or ethics committee at each clinical trial site before each trial may be initiated;</w:t>
      </w:r>
    </w:p>
    <w:p>
      <w:pPr>
        <w:spacing w:after="0" w:line="129" w:lineRule="exact"/>
        <w:rPr>
          <w:rFonts w:ascii="Arial" w:cs="Arial" w:eastAsia="Arial" w:hAnsi="Arial"/>
          <w:sz w:val="18"/>
          <w:szCs w:val="18"/>
          <w:color w:val="auto"/>
        </w:rPr>
      </w:pPr>
    </w:p>
    <w:p>
      <w:pPr>
        <w:ind w:left="660" w:right="380" w:hanging="328"/>
        <w:spacing w:after="0" w:line="311"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08" w:lineRule="exact"/>
        <w:rPr>
          <w:rFonts w:ascii="Arial" w:cs="Arial" w:eastAsia="Arial" w:hAnsi="Arial"/>
          <w:sz w:val="16"/>
          <w:szCs w:val="16"/>
          <w:color w:val="auto"/>
        </w:rPr>
      </w:pPr>
    </w:p>
    <w:p>
      <w:pPr>
        <w:ind w:left="660" w:right="320" w:hanging="328"/>
        <w:spacing w:after="0" w:line="263"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and file the application;</w:t>
      </w:r>
    </w:p>
    <w:p>
      <w:pPr>
        <w:spacing w:after="0" w:line="184"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potential FDA audit of the preclinical study and clinical trial sites that generated the data in support of the BLA in accordance with any applicable expedited programs or designations;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FDA review and approval, or licensure, of the BLA to permit commercial marketing of the product for particular indications for use in the U.S.;</w:t>
      </w:r>
    </w:p>
    <w:p>
      <w:pPr>
        <w:spacing w:after="0" w:line="207"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FDA review and approval of the BLA.</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Preclinical Studies and the IND Process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spacing w:after="0" w:line="21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197" w:lineRule="exact"/>
        <w:rPr>
          <w:sz w:val="20"/>
          <w:szCs w:val="20"/>
          <w:color w:val="auto"/>
        </w:rPr>
      </w:pPr>
    </w:p>
    <w:p>
      <w:pPr>
        <w:ind w:left="660" w:hanging="328"/>
        <w:spacing w:after="0" w:line="255"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Phase 1 involves the initial introduction of a product candidate into humans. Phase 1 clinical trials are typically conducted in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1" w:name="page132"/>
    <w:bookmarkEnd w:id="131"/>
    <w:p>
      <w:pPr>
        <w:ind w:left="660" w:hanging="328"/>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Phase 2 includes the controlled clinical trials conducted to obtain initial evidence of effectiveness of the product candidate for a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46" w:lineRule="exact"/>
        <w:rPr>
          <w:rFonts w:ascii="Arial" w:cs="Arial" w:eastAsia="Arial" w:hAnsi="Arial"/>
          <w:sz w:val="18"/>
          <w:szCs w:val="18"/>
          <w:color w:val="auto"/>
        </w:rPr>
      </w:pPr>
    </w:p>
    <w:p>
      <w:pPr>
        <w:jc w:val="both"/>
        <w:ind w:left="660" w:right="40" w:hanging="328"/>
        <w:spacing w:after="0" w:line="296"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Phase 3 clinical trials are clinical trials conducted in an expanded patient population at geographically dispersed clinical trial sites.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2" w:name="page133"/>
    <w:bookmarkEnd w:id="132"/>
    <w:p>
      <w:pPr>
        <w:ind w:right="20" w:firstLine="648"/>
        <w:spacing w:after="0" w:line="272" w:lineRule="auto"/>
        <w:rPr>
          <w:sz w:val="20"/>
          <w:szCs w:val="20"/>
          <w:color w:val="auto"/>
        </w:rPr>
      </w:pPr>
      <w:r>
        <w:rPr>
          <w:rFonts w:ascii="Arial" w:cs="Arial" w:eastAsia="Arial" w:hAnsi="Arial"/>
          <w:sz w:val="17"/>
          <w:szCs w:val="17"/>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204"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 xml:space="preserve">In addition, there are requirements for the registration of certain clinical trials of product candidates on public registries, such as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and the submission of certain information pertaining to these trials, including clinical trial results, after trial completion.</w:t>
      </w:r>
    </w:p>
    <w:p>
      <w:pPr>
        <w:spacing w:after="0" w:line="15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22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20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3" w:name="page134"/>
    <w:bookmarkEnd w:id="133"/>
    <w:p>
      <w:pPr>
        <w:ind w:right="60" w:firstLine="648"/>
        <w:spacing w:after="0" w:line="268" w:lineRule="auto"/>
        <w:rPr>
          <w:sz w:val="20"/>
          <w:szCs w:val="20"/>
          <w:color w:val="auto"/>
        </w:rPr>
      </w:pPr>
      <w:r>
        <w:rPr>
          <w:rFonts w:ascii="Arial" w:cs="Arial" w:eastAsia="Arial" w:hAnsi="Arial"/>
          <w:sz w:val="17"/>
          <w:szCs w:val="17"/>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spacing w:after="0" w:line="2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21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drugs and therapeutic biologics where the use of a specific diagnostic test is essential for the safe and effective use of the therapeutic product, such as when the use of a product is limited to a specific patient subpopulation that can be identified by using the test, regulatory authorities may require, as a condition of approval, that a relevant “companion diagnostic” test also be approved or cleared for the appropriate indication. This general policy approach may be inapplicable in cases where the drug or therapeutic biologic is intended to treat a serious or life-threatening condition for which no satisfactory alternative treatment exists and the benefits from the use of a product with an unapproved companion diagnostic device are so pronounced as to outweigh the risks from the lack of an approved companion diagnostic. Companion diagnostics are generally regulated as medical devices by regulatory authorities and relevant statutes and regulations govern, among other things, medical device design and development, preclinical and clinical testing, premarket regulatory review, manufacturing, labeling, storage, advertising and promotion, sales and distribution, export and import, and post-market surveillance.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FDA may grant orphan drug designation to biologics intended to treat a rare disease or condition that affects fewer than 200,000 individuals in the United States or a disease or condition that affects 200,000 or more individuals in the United States but there is no reasonable expectation that the cost of developing and making the biologic would be recovered from sales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4" w:name="page135"/>
    <w:bookmarkEnd w:id="134"/>
    <w:p>
      <w:pPr>
        <w:ind w:firstLine="648"/>
        <w:spacing w:after="0" w:line="285" w:lineRule="auto"/>
        <w:rPr>
          <w:sz w:val="20"/>
          <w:szCs w:val="20"/>
          <w:color w:val="auto"/>
        </w:rPr>
      </w:pPr>
      <w:r>
        <w:rPr>
          <w:rFonts w:ascii="Arial" w:cs="Arial" w:eastAsia="Arial" w:hAnsi="Arial"/>
          <w:sz w:val="16"/>
          <w:szCs w:val="16"/>
          <w:color w:val="auto"/>
        </w:rPr>
        <w:t>In the EEA, the criteria for designating an “orphan medicinal product” are similar in principle to those in the United States.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 in the United States and Other Jurisdictions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With fast track designation, the sponsor may be eligible for more frequent opportunities to obtain the FDA’s feedback. Another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spacing w:after="0" w:line="20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16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5" w:name="page136"/>
    <w:bookmarkEnd w:id="135"/>
    <w:p>
      <w:pPr>
        <w:ind w:right="40" w:firstLine="648"/>
        <w:spacing w:after="0" w:line="296" w:lineRule="auto"/>
        <w:rPr>
          <w:sz w:val="20"/>
          <w:szCs w:val="20"/>
          <w:color w:val="auto"/>
        </w:rPr>
      </w:pPr>
      <w:r>
        <w:rPr>
          <w:rFonts w:ascii="Arial" w:cs="Arial" w:eastAsia="Arial" w:hAnsi="Arial"/>
          <w:sz w:val="16"/>
          <w:szCs w:val="16"/>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16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(“HCT/P’s”)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6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case-by-case basis for individual patients, intermediate-size patient populations, and larger populations for use of the drug under a treatment protocol or Treatment IND Application.</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19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 exclusivity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7" w:name="page138"/>
    <w:bookmarkEnd w:id="137"/>
    <w:p>
      <w:pPr>
        <w:ind w:right="100" w:firstLine="648"/>
        <w:spacing w:after="0" w:line="269"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7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5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1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25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98" w:lineRule="exact"/>
        <w:rPr>
          <w:sz w:val="20"/>
          <w:szCs w:val="20"/>
          <w:color w:val="auto"/>
        </w:rPr>
      </w:pPr>
    </w:p>
    <w:p>
      <w:pPr>
        <w:ind w:left="660" w:hanging="328"/>
        <w:spacing w:after="0" w:line="259"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46"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43"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9" w:name="page140"/>
    <w:bookmarkEnd w:id="139"/>
    <w:p>
      <w:pPr>
        <w:ind w:left="660" w:right="38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29" w:lineRule="exact"/>
        <w:rPr>
          <w:rFonts w:ascii="Arial" w:cs="Arial" w:eastAsia="Arial" w:hAnsi="Arial"/>
          <w:sz w:val="18"/>
          <w:szCs w:val="18"/>
          <w:color w:val="auto"/>
        </w:rPr>
      </w:pPr>
    </w:p>
    <w:p>
      <w:pPr>
        <w:ind w:left="660" w:right="280" w:hanging="328"/>
        <w:spacing w:after="0" w:line="301"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16"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21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0" w:name="page141"/>
    <w:bookmarkEnd w:id="140"/>
    <w:p>
      <w:pPr>
        <w:ind w:right="140" w:firstLine="648"/>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21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p>
      <w:pPr>
        <w:spacing w:after="0" w:line="151" w:lineRule="exact"/>
        <w:rPr>
          <w:sz w:val="20"/>
          <w:szCs w:val="20"/>
          <w:color w:val="auto"/>
        </w:rPr>
      </w:pPr>
    </w:p>
    <w:p>
      <w:pPr>
        <w:ind w:left="660" w:right="42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129"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5" w:lineRule="exact"/>
        <w:rPr>
          <w:rFonts w:ascii="Arial" w:cs="Arial" w:eastAsia="Arial" w:hAnsi="Arial"/>
          <w:sz w:val="17"/>
          <w:szCs w:val="17"/>
          <w:color w:val="auto"/>
        </w:rPr>
      </w:pPr>
    </w:p>
    <w:p>
      <w:pPr>
        <w:jc w:val="both"/>
        <w:ind w:left="660" w:right="560" w:hanging="328"/>
        <w:spacing w:after="0" w:line="263"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84"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1" w:name="page142"/>
    <w:bookmarkEnd w:id="141"/>
    <w:p>
      <w:pPr>
        <w:ind w:right="60" w:firstLine="648"/>
        <w:spacing w:after="0" w:line="287" w:lineRule="auto"/>
        <w:rPr>
          <w:sz w:val="20"/>
          <w:szCs w:val="20"/>
          <w:color w:val="auto"/>
        </w:rPr>
      </w:pPr>
      <w:r>
        <w:rPr>
          <w:rFonts w:ascii="Arial" w:cs="Arial" w:eastAsia="Arial" w:hAnsi="Arial"/>
          <w:sz w:val="16"/>
          <w:szCs w:val="16"/>
          <w:color w:val="auto"/>
        </w:rPr>
        <w:t>The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presidential administration announced that it will discontinue the payment of cost-sharing reduction, or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spacing w:after="0" w:line="19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presidential administration have each indicated that it will continue to seek new legislative and/or administrative measures to control drug costs.</w:t>
      </w:r>
    </w:p>
    <w:p>
      <w:pPr>
        <w:spacing w:after="0" w:line="20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Europe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order to market any medicinal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United States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which is currently expected to occur in December 2021.</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Clinical Trial Regulations in Italy</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spacing w:after="0" w:line="21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currently conducting or planning Phase I/II clinical trials on Temferon in Italy, in accordance with the specific regulations applicable to such early-phase trials. As discussed elsewhere in this prospectus, we are currently conducting our TEM-GBM 001 study on UMGMT-GBM patients and plan to start new ones on hepatic tumor (HCC and IHC) in the near future by means of appropriate application to the Italian Regulatory Authority (“AIFA”).</w:t>
      </w:r>
    </w:p>
    <w:p>
      <w:pPr>
        <w:spacing w:after="0" w:line="21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19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Arial" w:cs="Arial" w:eastAsia="Arial" w:hAnsi="Arial"/>
          <w:sz w:val="17"/>
          <w:szCs w:val="17"/>
          <w:i w:val="1"/>
          <w:iCs w:val="1"/>
          <w:color w:val="auto"/>
        </w:rPr>
        <w:t>Parere Unico</w:t>
      </w:r>
      <w:r>
        <w:rPr>
          <w:rFonts w:ascii="Arial" w:cs="Arial" w:eastAsia="Arial" w:hAnsi="Arial"/>
          <w:sz w:val="17"/>
          <w:szCs w:val="17"/>
          <w:color w:val="auto"/>
        </w:rPr>
        <w:t>, lit. “sole opinion” (“PU”) - and then the IECs of the other participating centers accept or refuse the PU in its entirety (they may seek amendment to the ICF on the basis of local operating circumstances).</w:t>
      </w:r>
    </w:p>
    <w:p>
      <w:pPr>
        <w:spacing w:after="0" w:line="20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Arial" w:cs="Arial" w:eastAsia="Arial" w:hAnsi="Arial"/>
          <w:sz w:val="16"/>
          <w:szCs w:val="16"/>
          <w:i w:val="1"/>
          <w:iCs w:val="1"/>
          <w:color w:val="auto"/>
        </w:rPr>
        <w:t>con riserva</w:t>
      </w:r>
      <w:r>
        <w:rPr>
          <w:rFonts w:ascii="Arial" w:cs="Arial" w:eastAsia="Arial" w:hAnsi="Arial"/>
          <w:sz w:val="16"/>
          <w:szCs w:val="16"/>
          <w:color w:val="auto"/>
        </w:rPr>
        <w:t>”) and can be loaded in advance accordingly, under the assumption that the documents subjected to evaluation - protocol (updated) version, ICF and the rest – coincide exactly.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 Application for Biologic Medicinal Products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 obtain regulatory approval to commercialize a new drug in the EEA (comprising the E.U. Member States plus Iceland, Liechtenstein and Norway, we must submit a marketing authorization application.</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3" w:name="page144"/>
    <w:bookmarkEnd w:id="143"/>
    <w:p>
      <w:pPr>
        <w:ind w:firstLine="648"/>
        <w:spacing w:after="0" w:line="269" w:lineRule="auto"/>
        <w:rPr>
          <w:sz w:val="20"/>
          <w:szCs w:val="20"/>
          <w:color w:val="auto"/>
        </w:rPr>
      </w:pPr>
      <w:r>
        <w:rPr>
          <w:rFonts w:ascii="Arial" w:cs="Arial" w:eastAsia="Arial" w:hAnsi="Arial"/>
          <w:sz w:val="17"/>
          <w:szCs w:val="17"/>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6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Promotion and Compliance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spacing w:after="0" w:line="16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EEA</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146" w:lineRule="exact"/>
        <w:rPr>
          <w:sz w:val="20"/>
          <w:szCs w:val="20"/>
          <w:color w:val="auto"/>
        </w:rPr>
      </w:pPr>
    </w:p>
    <w:p>
      <w:pPr>
        <w:ind w:left="660" w:right="46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APIs, including the manufacture of API outside of the EU with the intention to import the API into the EU.</w:t>
      </w:r>
    </w:p>
    <w:p>
      <w:pPr>
        <w:spacing w:after="0" w:line="147"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5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European Union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now – after Brexit – the United Kingdom, and permits data protection authorities to impose large penalties for violations of the GDPR, including potential fines of up to €20 million or 4% of annual global revenues, whichever is greater. Concerning the transfer of (pseudonymized) personal data to the United States,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Regarding the transfer of personal data to United Kingdom, the EU / UK agreement regulating the transition period after Brexit (“Statement on the end of the Brexit transition period”) provides that, until June 2021, “all data flows of personal data between stakeholders subject to GDPR and UK organizations will not be considered as transfers to a third country”, thus implying the adoption of appropriate legal basis and safeguards provided for in the GDPR for any communication of personal data to a third party, such as Data Processing Agreement containing Standard Contractual Clauses.</w:t>
      </w:r>
    </w:p>
    <w:p>
      <w:pPr>
        <w:spacing w:after="0" w:line="16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Compliance with the GDPR and all relevant EU data protection rules will be a rigorous and time-intensive process that may increase our cost of doing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Drug Products</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consultants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September 15, 2021, we had four full-time employees, all located in Milan, Italy and we rely on consultants and a large number of collaborators at SR-TIGET and OSR. Our full-time employees and consultants are engaged in clinical, research and development, product development and quality assurance activities. We consider our relationship with our employees to be good.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091"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Property and Facilities</w:t>
      </w:r>
    </w:p>
    <w:p>
      <w:pPr>
        <w:spacing w:after="0" w:line="256"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Our corporate headquarters is located in Milan, Via Olgettina 58 within San Raffaele Hospital, Italy, where we lease approximately 51 square meters of office space (3 offices). The lease commenced in January 2020 and has a 6-year initial term. It will expire on December 1, 2025 and may be</w:t>
      </w:r>
    </w:p>
    <w:p>
      <w:pPr>
        <w:ind w:right="140"/>
        <w:spacing w:after="0" w:line="221" w:lineRule="auto"/>
        <w:rPr>
          <w:sz w:val="20"/>
          <w:szCs w:val="20"/>
          <w:color w:val="auto"/>
        </w:rPr>
      </w:pPr>
      <w:r>
        <w:rPr>
          <w:rFonts w:ascii="Arial" w:cs="Arial" w:eastAsia="Arial" w:hAnsi="Arial"/>
          <w:sz w:val="18"/>
          <w:szCs w:val="18"/>
          <w:color w:val="auto"/>
        </w:rPr>
        <w:t>renewed for additional 6 years. We also have an office in a co-working space located in Alexandria Center - LaunchLabs, 430 East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New York, NY. We believe that our existing facilities are adequate for our near-term needs, and we believe that suitable additional or alternative office will be available as required in the future on commercially reasonable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 other than as set forth below:</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By letter dated February 25, 2019, Theravectys notified the Company of the possible infringement by Genenta of Theravectys’ exclusive license to patents no. EP 1071804 (and of the corresponding US patent US 6,682,907), EP 1224314, and EP 1222300 (and of the corresponding US patent US 7,968,332) granted from the owner of the patents Institut Pasteur. Theravectys requested Genenta engage in discussions as to possible contractual arrangements including the opportunity to either enter into (i) a manufacturing and supply agreement; or (ii) a non-exclusive license for Genenta’s use of the technologies allegedly protected under the patent(s). Each of these patents is now expired, having each reached the end of it its patent term on April 23, 2019 for EP1071804 and October 10, 2020 for EP 1224314, and EP 1222300.</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date, Genenta has not engaged in any such discussions with Theravectys nor has Genenta received any further claim/request from Theravectys in relation to the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following table sets forth the name, age as of the date of this prospectus, and position of the individuals who will serve as directors and executive officers of Genenta Science S.p.A. following the Corporate Conversion in May 2021 and the closing of this offering.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360" w:type="dxa"/>
            <w:vAlign w:val="bottom"/>
            <w:gridSpan w:val="2"/>
          </w:tcPr>
          <w:p>
            <w:pPr>
              <w:ind w:left="182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532"/>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Stephen Squinto, Ph.D.</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7"/>
                <w:szCs w:val="17"/>
                <w:color w:val="auto"/>
              </w:rPr>
            </w:pPr>
          </w:p>
        </w:tc>
        <w:tc>
          <w:tcPr>
            <w:tcW w:w="4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Directors(1)(2)</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2"/>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9"/>
              </w:rPr>
              <w:t>Chief Executive Officer, Vice Chairman of the Board of</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2014</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Directors and General Manager *</w:t>
            </w:r>
          </w:p>
        </w:tc>
        <w:tc>
          <w:tcPr>
            <w:tcW w:w="280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Richard B. Slansky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Carlo Russo, M.D.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Medical Officer, Head of Development</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Roger Abravanel</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Daniela Bellomo,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Guido Guidi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Luca Guidotti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2018</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Anthony Marucci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Stefania Mazzoleni,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8"/>
              </w:rPr>
              <w:t>Scientific Project Manager and Communications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2016</w:t>
            </w: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Role of General Manager effective upon listing</w:t>
      </w:r>
    </w:p>
    <w:p>
      <w:pPr>
        <w:spacing w:after="0" w:line="252"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Independent Director (as defined under Nasdaq Stock Market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Member of the Compensation, Nomination and Governance Committee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directors above were elected at the Company’s general shareholders’ meeting held on May 20, 2021, for a three-year term.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consists of 7 (seven) members.</w:t>
      </w:r>
    </w:p>
    <w:p>
      <w:pPr>
        <w:spacing w:after="0" w:line="23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term will expire with the Shareholders’ Meeting called to approve the financial statements for the year ending December 31, 2023.</w:t>
      </w:r>
    </w:p>
    <w:p>
      <w:pPr>
        <w:spacing w:after="0" w:line="19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Following the expiration of the above board of directors,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directors are to be elected, such eligibility to be established by filing an appropriate certification to that effect. The board of directors will be appointed as follows: (a) candidates for election as directors equal to the number of seats on the board of directors minus 1 (one) will be drawn from the slate that has obtained the highest number of votes cast on the shareholders’ meeting (the Majority Slate), based on the progressive order in which they are listed on the slate, while (b) the first candidate listed on the slate that receives the second greatest number of votes cast (the Minority Slate) will be elected as director so long as the Minority Slate has no connection in any way, whether directly or indirectly, with the shareholders who have submitted or voted the Majority Slate.</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Each shareholder and shareholders belonging to the same group shall not submit, or contribute to submit, or cast their vote for more than one slate, including through a nominee. Each candidate may only be listed on a single slate or, otherwise, will be ineligible for election if named on multiple slates.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8" w:name="page149"/>
    <w:bookmarkEnd w:id="148"/>
    <w:p>
      <w:pPr>
        <w:ind w:right="34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Pierluigi Paracchi, Chief Executive Officer, Vice Chairman of the Board of Directors and General Manager</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a total deal of $470 million. Pierluigi Paracchi is a member of the Assobiotec Steering Committee, the Italian Association for the development of biotechnology. He also serves on the Board of Directors of the autoimmune disease and cancer company Altheia Science, as non-executive Chairman at medical device company Lipogems International and is a venture partner with AurorA Science, an independent biotech investment vehicle.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B. Slansky, Chief Financial Officer</w:t>
      </w:r>
    </w:p>
    <w:p>
      <w:pPr>
        <w:spacing w:after="0" w:line="25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Mr. Slansky is a senior financial executive with more than 30 years of experience as Chief Financial Officer in various biopharmaceutical, diagnostic and life science companies, including OncoSec Medical, Biological Dynamics and GenMark Diagnostics. His experience spans across public and private healthcare and technology companies at various stages of growth, pre-revenue to commercial. He has been responsible for strategic vision and oversight of financial and operational teams, organizational leadership and creating maximum stakeholder value. He also serves on the Board of Directors of several private companies, including Nuclear RNA Networks, an early-stage RNA gene transcription therapeutics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 Russo, M.D., Chief Medical Officer &amp; Head of Development</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Dr. Russo has extensive experience as a biotech executive focused on medical affairs and research and development.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a number of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Stefania Mazzoleni, Ph.D., Scientific Project Manager and Communications Officer</w:t>
      </w:r>
    </w:p>
    <w:p>
      <w:pPr>
        <w:spacing w:after="0" w:line="252"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4 years of drug development and cell and gene therapy experience acquired while working at various academic institutions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in Pharmacy and Pharmaceutical Oncology and is a member of the European Academy of Tumor Immunology.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Squinto, Ph.D., Chairman of the Board of Directors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Dr. Squinto has more than 25 years’ experience in the biotech industry and is an Executive Partner of the healthcare investment company OrbiMed Advisors. He was previously CEO of the gene therapy company, Passage Bio, and co-founded Alexion Pharmaceuticals, where he served as Chief Global Operations Officer and Global Head of Research, and held several senior leadership positions at Regeneron Pharmaceuticals. Dr Squinto currently serves on the Board of Directors of several biotech and healthcare companies and has received numerous honors and awards from academic and professional organizations for his scientific 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Abravanel, Director</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Mr. Abravanel worked at McKinsey &amp; Company for 34 years as a consultant for Italian and multinational corporations in Europe, the United States and the Far East, and is now an emeritus director. He is a former board member of Luxottica, COFIDE, Teva and Admiral, is currently Chairman of the INSEAD’s advisory group in Italy and is the author of several best-selling business books.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Daniela Bellomo, Ph.D., Director</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Dr. Bellomo is Head of Business Development at San Raffaele Hospital, where she oversees technology transfer, development and value generation of research in biotech, medical technology and digital health. Dr. Bellomo is a board member of San Raffaele’s spin off Genespire and has previously been on the boards of Parco Tecnologico Padano and BiovelocITA, as well as an advisor to several life science start-ups, venture capital and incubators in the biotech and medical technology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Guido Guidi, Director</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Mr.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Luca Guidotti, MD, PhD., Director</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Dr. Guidotti is an experimental pathologist renowned internationally in the field of viral hepatitis. Dr. Guidotti spent more than 20 years as a Faculty of the Scripps Research Institute in La Jolla, California and he currently serves as Deputy Scientific Director of San Raffaele Hospital, Milan. He has published works in prestigious scientific journals including Cell, Nature, Science, Nature Medicine, Journal of Clinical Investigation and Journal of Experimental Medicine.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Anthony Marucci, Director</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Mr. Marucci is a seasoned life sciences and public company leader who has raised $1.7 billion in capital in multiple organizations over his 30 years’ experience. He is currently President and CEO of Celldex Therapeutics, the company he co-founded in 2004 and which develops targeted therapeutics, including immunotherapies and other targeted biologics. Prior to founding Celldex, he was Treasurer at Medarex, from which Celldex was spun out, and he holds an MBA from Columbia University and a MHL from Brown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Scientific Board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Luigi Naldini, M.D., Ph.D., Chairman of the Executive Scientific Board</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Bernhard Gentner, M.D., Member of the Executive Scientific Board</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Dr. Gentner is a physician scientist, serving as Group Leader of the Translational Stem Cell and Leukemia Research Unit at the San Raffaele-Telethon Institute for Gene Therapy in Milan and Staff Hematologist in the Hematology and Bone Marrow Transplantation Unit of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Advisors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Advisors to the Company include:</w:t>
      </w:r>
    </w:p>
    <w:p>
      <w:pPr>
        <w:spacing w:after="0" w:line="225" w:lineRule="exact"/>
        <w:rPr>
          <w:sz w:val="20"/>
          <w:szCs w:val="20"/>
          <w:color w:val="auto"/>
        </w:rPr>
      </w:pPr>
    </w:p>
    <w:p>
      <w:pPr>
        <w:jc w:val="both"/>
        <w:ind w:left="1300" w:right="260" w:hanging="644"/>
        <w:spacing w:after="0" w:line="287" w:lineRule="auto"/>
        <w:tabs>
          <w:tab w:leader="none" w:pos="13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Gaurav Shah, M.D.: co-founder of Rocket Pharma (NASDAQ: RCKT) and serves as its Chief Executive Officer and Corporate Board Member. Prior to this role Dr. Shah was a Global Program Head in the Cell &amp; Gene Therapies Unit at Novartis, where he had strategic oversight of 12 functions and helped spearhead pivotal trials with CART-19 for patients with leukemia and lymphoma.</w:t>
      </w:r>
    </w:p>
    <w:p>
      <w:pPr>
        <w:spacing w:after="0" w:line="2" w:lineRule="exact"/>
        <w:rPr>
          <w:rFonts w:ascii="Arial" w:cs="Arial" w:eastAsia="Arial" w:hAnsi="Arial"/>
          <w:sz w:val="16"/>
          <w:szCs w:val="16"/>
          <w:color w:val="auto"/>
        </w:rPr>
      </w:pPr>
    </w:p>
    <w:p>
      <w:pPr>
        <w:ind w:left="1300" w:right="20" w:hanging="644"/>
        <w:spacing w:after="0" w:line="250"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Brad Loncar: Founder and Chief Executive Officer at Loncar Investments. Mr. Loncar is a biotech investor, index provider, and creator of two Nasdaq-listed exchange traded funds.</w:t>
      </w:r>
    </w:p>
    <w:p>
      <w:pPr>
        <w:ind w:left="1300" w:right="120" w:hanging="644"/>
        <w:spacing w:after="0" w:line="255"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Alexander Ross: Distinguished Visiting Professor at The University of Bologna Business School and a Board Partner at Amplo, a global venture capital firm. He is the author of New York Times–bestselling </w:t>
      </w:r>
      <w:r>
        <w:rPr>
          <w:rFonts w:ascii="Arial" w:cs="Arial" w:eastAsia="Arial" w:hAnsi="Arial"/>
          <w:sz w:val="18"/>
          <w:szCs w:val="18"/>
          <w:i w:val="1"/>
          <w:iCs w:val="1"/>
          <w:color w:val="auto"/>
        </w:rPr>
        <w:t>The Industries of the Future</w:t>
      </w:r>
      <w:r>
        <w:rPr>
          <w:rFonts w:ascii="Arial" w:cs="Arial" w:eastAsia="Arial" w:hAnsi="Arial"/>
          <w:sz w:val="18"/>
          <w:szCs w:val="18"/>
          <w:color w:val="auto"/>
        </w:rPr>
        <w:t xml:space="preserve"> and Former Senior Advisor for Innovation to the US Secretary of State (2009-2013).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and Members of Management</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are no arrangements or understandings with major shareholders, customers, suppliers or others pursuant to which any of our directors or members of senior management were selected as such.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table presents in the aggregate all compensation we paid to all of our directors and senior management as a group for the year ended December 31, 2020.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amounts reported in the table below reflect the cost to the Company, in thousands of Euros, for the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9"/>
              </w:rPr>
              <w:t>Pension,</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8"/>
              </w:rPr>
              <w:t>Salary, Bonuses</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6"/>
              </w:rPr>
              <w:t>and Other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4"/>
              </w:rPr>
              <w:t>Similar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Based</w:t>
            </w: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Benefits</w:t>
            </w: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6"/>
              </w:rPr>
              <w:t>Benefits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1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All directors and senior management as a group, consisting of 9 persons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617,904</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5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140</w:t>
            </w:r>
          </w:p>
        </w:tc>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Differences between Italian Laws and Nasdaq Requirements</w:t>
      </w:r>
    </w:p>
    <w:p>
      <w:pPr>
        <w:spacing w:after="0" w:line="252"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addition, following the listing of the ADSs on Nasdaq, we will be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211" w:lineRule="exact"/>
        <w:rPr>
          <w:sz w:val="20"/>
          <w:szCs w:val="20"/>
          <w:color w:val="auto"/>
        </w:rPr>
      </w:pPr>
    </w:p>
    <w:p>
      <w:pPr>
        <w:ind w:left="660" w:right="60" w:hanging="328"/>
        <w:spacing w:after="0" w:line="291"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Composition of the board of directors</w:t>
      </w:r>
      <w:r>
        <w:rPr>
          <w:rFonts w:ascii="Arial" w:cs="Arial" w:eastAsia="Arial" w:hAnsi="Arial"/>
          <w:sz w:val="16"/>
          <w:szCs w:val="16"/>
          <w:color w:val="auto"/>
        </w:rPr>
        <w:t>. Italian law does not require that the majority of our board of directors consist of independent directors.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therefore may include fewer independent directors than would be required if we were subject to Nasdaq Listing Rule 5605(b)</w:t>
      </w:r>
    </w:p>
    <w:p>
      <w:pPr>
        <w:ind w:left="660" w:right="760"/>
        <w:spacing w:after="0" w:line="260" w:lineRule="auto"/>
        <w:rPr>
          <w:rFonts w:ascii="Arial" w:cs="Arial" w:eastAsia="Arial" w:hAnsi="Arial"/>
          <w:sz w:val="16"/>
          <w:szCs w:val="16"/>
          <w:color w:val="auto"/>
        </w:rPr>
      </w:pPr>
      <w:r>
        <w:rPr>
          <w:rFonts w:ascii="Arial" w:cs="Arial" w:eastAsia="Arial" w:hAnsi="Arial"/>
          <w:sz w:val="18"/>
          <w:szCs w:val="18"/>
          <w:color w:val="auto"/>
        </w:rPr>
        <w:t>(1). In addition, we will not be subject to Nasdaq Listing Rule 5605(b)(2), which requires that independent directors must regularly have scheduled meetings at which only independent directors are present.</w:t>
      </w:r>
    </w:p>
    <w:p>
      <w:pPr>
        <w:spacing w:after="0" w:line="144" w:lineRule="exact"/>
        <w:rPr>
          <w:rFonts w:ascii="Arial" w:cs="Arial" w:eastAsia="Arial" w:hAnsi="Arial"/>
          <w:sz w:val="16"/>
          <w:szCs w:val="16"/>
          <w:color w:val="auto"/>
        </w:rPr>
      </w:pPr>
    </w:p>
    <w:p>
      <w:pPr>
        <w:jc w:val="both"/>
        <w:ind w:left="660" w:right="160" w:hanging="328"/>
        <w:spacing w:after="0" w:line="301"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Quorum. In accordance with Italian law quorum requirements generally applicable to general meetings of shareholders are set forth in the Italian Civil Code (see “Description of Share Capital and Governing Documents”—“Meeting of shareholders”)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57"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p>
      <w:pPr>
        <w:spacing w:after="0" w:line="192" w:lineRule="exact"/>
        <w:rPr>
          <w:rFonts w:ascii="Arial" w:cs="Arial" w:eastAsia="Arial" w:hAnsi="Arial"/>
          <w:sz w:val="16"/>
          <w:szCs w:val="16"/>
          <w:color w:val="auto"/>
        </w:rPr>
      </w:pPr>
    </w:p>
    <w:p>
      <w:pPr>
        <w:ind w:left="660" w:right="120" w:hanging="328"/>
        <w:spacing w:after="0" w:line="279"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Proxy Solicitations</w:t>
      </w:r>
      <w:r>
        <w:rPr>
          <w:rFonts w:ascii="Arial" w:cs="Arial" w:eastAsia="Arial" w:hAnsi="Arial"/>
          <w:sz w:val="17"/>
          <w:szCs w:val="17"/>
          <w:color w:val="auto"/>
        </w:rPr>
        <w:t>. Under Italian law shareholders may appoint attorneys-in-fact by delivering in writing appropriate power of attorney to</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them in an ordinary or extraordinary shareholders’ meeting of the Company. Our directors, auditors and employees may not be proxies. Italian law does not have a specific regulatory regime for the solicitation of proxies in private companies; thus our practice will vary from the requirement of Nasdaq Listing Rule 5620(b), which sets forth certain requirements regarding the solicitation of proxies.</w:t>
      </w:r>
    </w:p>
    <w:p>
      <w:pPr>
        <w:spacing w:after="0" w:line="130" w:lineRule="exact"/>
        <w:rPr>
          <w:rFonts w:ascii="Arial" w:cs="Arial" w:eastAsia="Arial" w:hAnsi="Arial"/>
          <w:sz w:val="17"/>
          <w:szCs w:val="17"/>
          <w:color w:val="auto"/>
        </w:rPr>
      </w:pPr>
    </w:p>
    <w:p>
      <w:pPr>
        <w:ind w:left="660" w:right="20" w:hanging="328"/>
        <w:spacing w:after="0" w:line="275"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Share Issuances</w:t>
      </w:r>
      <w:r>
        <w:rPr>
          <w:rFonts w:ascii="Arial" w:cs="Arial" w:eastAsia="Arial" w:hAnsi="Arial"/>
          <w:sz w:val="17"/>
          <w:szCs w:val="17"/>
          <w:color w:val="auto"/>
        </w:rPr>
        <w:t>. Pursuant to Italian law, prior to this offering, we will opt out of shareholder approval requirements by way of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and conditional share capital (see “Description of Share Capital and Governing Documents—General —Authorization of shares”) for the issuance of securities in connection with certain events such as the acquisition of stock, assets or convertible notes, certain private placements and/or public offering. To this extent, our practice varies from the requirements of Nasdaq Listing Rule 5635, which generally requires an issuer to obtain shareholder approval for the issuance of securities in connection with such events.</w:t>
      </w:r>
    </w:p>
    <w:p>
      <w:pPr>
        <w:spacing w:after="0" w:line="135" w:lineRule="exact"/>
        <w:rPr>
          <w:rFonts w:ascii="Arial" w:cs="Arial" w:eastAsia="Arial" w:hAnsi="Arial"/>
          <w:sz w:val="17"/>
          <w:szCs w:val="17"/>
          <w:color w:val="auto"/>
        </w:rPr>
      </w:pPr>
    </w:p>
    <w:p>
      <w:pPr>
        <w:ind w:left="660" w:right="80" w:hanging="328"/>
        <w:spacing w:after="0" w:line="287"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US companies listed on Nasdaq are required to have an audit committee that satisfies the requirements of Rule 10A-3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certain additional requirements set by the Nasdaq. In particular,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 board of statutory auditors established in accordance with Italian law which performs substantially the same functions, (see “Description of Share Capital and Governing Documents” – Statutory auditors”)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2" w:name="page153"/>
    <w:bookmarkEnd w:id="152"/>
    <w:p>
      <w:pPr>
        <w:ind w:left="1300" w:hanging="320"/>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board of statutory auditors is established and selected pursuant to Italian law expressly permitting such a board;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board of statutory auditors is required under Italian law to be separate from the Company’s board of directors;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board of statutory auditors is not elected by management of the Company and no executive officer of the Company is a member of the board of statutory auditors;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Italian law provides for standards for the independence of the board of statutory auditors from the Company and its management;</w:t>
      </w:r>
    </w:p>
    <w:p>
      <w:pPr>
        <w:spacing w:after="0" w:line="236" w:lineRule="exact"/>
        <w:rPr>
          <w:rFonts w:ascii="Arial" w:cs="Arial" w:eastAsia="Arial" w:hAnsi="Arial"/>
          <w:sz w:val="17"/>
          <w:szCs w:val="17"/>
          <w:color w:val="auto"/>
        </w:rPr>
      </w:pPr>
    </w:p>
    <w:p>
      <w:pPr>
        <w:ind w:left="1300" w:right="100" w:hanging="320"/>
        <w:spacing w:after="0" w:line="301" w:lineRule="auto"/>
        <w:tabs>
          <w:tab w:leader="none" w:pos="13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p>
      <w:pPr>
        <w:spacing w:after="0" w:line="18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197" w:lineRule="exact"/>
        <w:rPr>
          <w:sz w:val="20"/>
          <w:szCs w:val="20"/>
          <w:color w:val="auto"/>
        </w:rPr>
      </w:pPr>
    </w:p>
    <w:p>
      <w:pPr>
        <w:ind w:left="660" w:right="160" w:hanging="328"/>
        <w:spacing w:after="0" w:line="291"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Compensation, Nomination and Governance Committee</w:t>
      </w:r>
      <w:r>
        <w:rPr>
          <w:rFonts w:ascii="Arial" w:cs="Arial" w:eastAsia="Arial" w:hAnsi="Arial"/>
          <w:sz w:val="16"/>
          <w:szCs w:val="16"/>
          <w:color w:val="auto"/>
        </w:rPr>
        <w:t>. Italian law does not require the appointment of a Compensation, Nomination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as required by the Nasdaq Listing Rules. As a matter of Italian law applicable to Italian stock corporations whose shares are not listed on a regulated market in the European Union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intend to establish a Compensation, Nomination and Governance Committee.</w:t>
      </w:r>
    </w:p>
    <w:p>
      <w:pPr>
        <w:spacing w:after="0" w:line="166"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Code of Business</w:t>
      </w:r>
      <w:r>
        <w:rPr>
          <w:rFonts w:ascii="Arial" w:cs="Arial" w:eastAsia="Arial" w:hAnsi="Arial"/>
          <w:sz w:val="18"/>
          <w:szCs w:val="18"/>
          <w:color w:val="auto"/>
        </w:rPr>
        <w:t>. Conduct and Ethics. Pursuant to Italian law, prior to this offering, we will adopt an “Organization and Operational Model”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Italian Legislative Decree of June 8, 2001, No. 231 (relating to administrative responsibility) that we expect will consist of: (i) a Code of Etichs; (ii) operating procedures and reporting systems applicable to all of our directors, officers and employees, which may not comply with the requirements of Nasdaq Listing Rule 5610.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currently follow the historical Italian corporate governance system, with a board of directors (</w:t>
      </w:r>
      <w:r>
        <w:rPr>
          <w:rFonts w:ascii="Arial" w:cs="Arial" w:eastAsia="Arial" w:hAnsi="Arial"/>
          <w:sz w:val="18"/>
          <w:szCs w:val="18"/>
          <w:i w:val="1"/>
          <w:iCs w:val="1"/>
          <w:color w:val="auto"/>
        </w:rPr>
        <w:t>consiglio di amministrazione</w:t>
      </w:r>
      <w:r>
        <w:rPr>
          <w:rFonts w:ascii="Arial" w:cs="Arial" w:eastAsia="Arial" w:hAnsi="Arial"/>
          <w:sz w:val="18"/>
          <w:szCs w:val="18"/>
          <w:color w:val="auto"/>
        </w:rPr>
        <w:t>) and a separate board of statutory auditors (</w:t>
      </w:r>
      <w:r>
        <w:rPr>
          <w:rFonts w:ascii="Arial" w:cs="Arial" w:eastAsia="Arial" w:hAnsi="Arial"/>
          <w:sz w:val="18"/>
          <w:szCs w:val="18"/>
          <w:i w:val="1"/>
          <w:iCs w:val="1"/>
          <w:color w:val="auto"/>
        </w:rPr>
        <w:t>collegio sindacale</w:t>
      </w:r>
      <w:r>
        <w:rPr>
          <w:rFonts w:ascii="Arial" w:cs="Arial" w:eastAsia="Arial" w:hAnsi="Arial"/>
          <w:sz w:val="18"/>
          <w:szCs w:val="18"/>
          <w:color w:val="auto"/>
        </w:rPr>
        <w:t>) with supervisory functions. The two boards are separate and no individual may be a member of both corporate bodies. Both the members of the board of directors and the members of the board of statutory auditors owe duties of loyalty and care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During 2020, the Company’s statutory auditors received approximately €35,000 in compensation in the aggregate for their services to the Company.</w:t>
      </w:r>
    </w:p>
    <w:p>
      <w:pPr>
        <w:spacing w:after="0" w:line="19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At the Company’s annual general shareholders’ meeting held on May 20, 2021, the following individuals were elected or re-appointed to the Company’s board of statutory auditors for a three-year term. The board consists of three members, one of which is the chairman, and two alternates. The board of statutory auditors’ term will therefore expire with the Shareholders’ Meeting called to approve the financial statements for the year ending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820" w:type="dxa"/>
            <w:vAlign w:val="bottom"/>
            <w:gridSpan w:val="2"/>
          </w:tcPr>
          <w:p>
            <w:pPr>
              <w:ind w:left="204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453"/>
              <w:spacing w:after="0"/>
              <w:rPr>
                <w:sz w:val="20"/>
                <w:szCs w:val="20"/>
                <w:color w:val="auto"/>
              </w:rPr>
            </w:pPr>
            <w:r>
              <w:rPr>
                <w:rFonts w:ascii="Arial" w:cs="Arial" w:eastAsia="Arial" w:hAnsi="Arial"/>
                <w:sz w:val="14"/>
                <w:szCs w:val="14"/>
                <w:b w:val="1"/>
                <w:bCs w:val="1"/>
                <w:color w:val="auto"/>
              </w:rPr>
              <w:t>Year elected or re-appointed</w:t>
            </w:r>
          </w:p>
        </w:tc>
      </w:tr>
      <w:tr>
        <w:trPr>
          <w:trHeight w:val="202"/>
        </w:trPr>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Carlo-Alberto Nicchio</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Statutory Auditors</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3"/>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Cesare Lazzaroni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Jacopo Doveri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Lorenzo Gianluigi Grossi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Alessandro Arpiani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bl>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Following the expiration of the above board of statutory auditors,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auditors are to be elected, such eligibility to be established by filing an appropriate certification to that effect. According to the Company’s bylaws, the board of statutory auditors will be appointed as follows: (a) candidates for election as auditors equal to two statutory auditors and one alternate auditor will be drawn from the slate that has obtained the highest number of votes on the shareholders meeting (the Majority Slate), based on the progressive order in which they are listed, while (b) the remaining statutory auditor (who will act as President of the board of statutory auditors) and alternate auditor will be drawn from the slate that has obtained the second greatest number of votes cast (the Minority Slate) so long as the Minority Slate has no connection in any way, whether directly or indirectly, with the shareholders who have submitted or voted the Majority Slate.</w:t>
      </w:r>
    </w:p>
    <w:p>
      <w:pPr>
        <w:spacing w:after="0" w:line="18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to submit, or to cast their vote for more than one slate, including through a nominee. Each candidate may only be listed on single slate or, otherwise, will be ineligible for election if named in multiple slates.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Statutory auditors”.</w:t>
      </w:r>
    </w:p>
    <w:p>
      <w:pPr>
        <w:spacing w:after="0" w:line="19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 See “— </w:t>
      </w:r>
      <w:r>
        <w:rPr>
          <w:rFonts w:ascii="Arial" w:cs="Arial" w:eastAsia="Arial" w:hAnsi="Arial"/>
          <w:sz w:val="17"/>
          <w:szCs w:val="17"/>
          <w:i w:val="1"/>
          <w:iCs w:val="1"/>
          <w:color w:val="auto"/>
        </w:rPr>
        <w:t>Differences between Italian Laws and Nasdaq Requirements</w:t>
      </w:r>
      <w:r>
        <w:rPr>
          <w:rFonts w:ascii="Arial" w:cs="Arial" w:eastAsia="Arial" w:hAnsi="Arial"/>
          <w:sz w:val="17"/>
          <w:szCs w:val="17"/>
          <w:color w:val="auto"/>
        </w:rPr>
        <w:t>”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t>Additional Board Committees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Italian law does not require that we adopt a Compensation, Nomination and Governance Committee, in connection with the Corporate Conversion, we have established a Compensation, Nomination and Governance Committee according to Nasdaq Listing Rule 5615(a)(3). The members of our compensation, nomination and governance committee include Stephen Squinto, Roger Abravanel and Guido Guidi.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 2025 Equity Incentive Plan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20, 2021, our shareholders meeting approved a capital increase to allow for issuance of up to 2,700,000 ordinary shares to the service of a four-year employees’ share option plan (the “2021-2025 Equity Incentive Plan”) to be adopted by the board of directors. The purpose of the 2021-2025 Equity Incentive Plan is to motivate and reward performance of our employees, directors, non-employee directors and consultants, and in the best interests of the Company and our shareholders.</w:t>
      </w:r>
    </w:p>
    <w:p>
      <w:pPr>
        <w:spacing w:after="0" w:line="21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On May 20, 2021 our board of directors approved the specific terms (e.g., regulation) of our 2021 – 2025 Equity Incentive Plan which will become effective upon the effectiveness of the registration statement of which this prospectus is part. Under Italian law, we do not need to obtain the approval of the specific terms of our equity incentive plans by our shareholders. Except where the context indicates otherwise, reference hereunder to our ordinary shares shall be deemed to include a number of ADSs equal to the number of ordinary shares.</w:t>
      </w:r>
    </w:p>
    <w:p>
      <w:pPr>
        <w:spacing w:after="0" w:line="198"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2021 – 2025 Equity Incentive Plan is administered by our board of directors in consultation with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 and Governance Committee, unless and until the board delegates administration to this latter. The board of directors has the authority to take all actions and make all determinations under the 2021 – 2025 Equity Incentive Plan, to interpret the 2021 – 2025 Equity Incentive Plan and award agreements and to adopt, amend and repeal rules for the administration of the 2021 – 2025 Equity Incentive Plan as it deems advisable, subject to certain limitations imposed under the 2021 – 2025 Equity Incentive Plan, and other applicable laws and stock exchange rules.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The board of directors jointly with the Compensation, Nomination and Governance Committee will be able to offer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at its discretion under the 2021 – 2025 Equity Incentive Plan to:</w:t>
      </w:r>
    </w:p>
    <w:p>
      <w:pPr>
        <w:spacing w:after="0" w:line="197"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employees of us or any of our subsidiaries;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non-employee directors serving on our board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consultants to us or any of our subsidiaries (the “Eligible Participants”).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Grant of Awards; Shares Available for Awards. </w:t>
      </w:r>
      <w:r>
        <w:rPr>
          <w:rFonts w:ascii="Arial" w:cs="Arial" w:eastAsia="Arial" w:hAnsi="Arial"/>
          <w:sz w:val="18"/>
          <w:szCs w:val="18"/>
          <w:color w:val="auto"/>
        </w:rPr>
        <w:t>The 2021 – 2025 Equity Incentive Plan provides for the grant of options to purchase up to a</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of 2.7 million ordinary shares (</w:t>
      </w:r>
      <w:r>
        <w:rPr>
          <w:rFonts w:ascii="Arial" w:cs="Arial" w:eastAsia="Arial" w:hAnsi="Arial"/>
          <w:sz w:val="18"/>
          <w:szCs w:val="18"/>
          <w:i w:val="1"/>
          <w:iCs w:val="1"/>
          <w:color w:val="auto"/>
        </w:rPr>
        <w:t>i.e.</w:t>
      </w:r>
      <w:r>
        <w:rPr>
          <w:rFonts w:ascii="Arial" w:cs="Arial" w:eastAsia="Arial" w:hAnsi="Arial"/>
          <w:sz w:val="18"/>
          <w:szCs w:val="18"/>
          <w:color w:val="auto"/>
        </w:rPr>
        <w:t xml:space="preserve"> approximately 10% of the issued share capital of the Company upon this offering on a fully diluted basis) in the future upon written exercise notice. This number is subject to adjustment in the event of a split-up, share dividend or other change in our capitalization. If any award expires, is cancelled, or is terminated, unexercised or is forfeited, the number of shares subject thereto is again available for grant under the 2021 – 2025 Equity Incentive Plan.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55" w:name="page156"/>
    <w:bookmarkEnd w:id="155"/>
    <w:p>
      <w:pPr>
        <w:ind w:right="560" w:firstLine="648"/>
        <w:spacing w:after="0" w:line="277" w:lineRule="auto"/>
        <w:rPr>
          <w:sz w:val="20"/>
          <w:szCs w:val="20"/>
          <w:color w:val="auto"/>
        </w:rPr>
      </w:pPr>
      <w:r>
        <w:rPr>
          <w:rFonts w:ascii="Arial" w:cs="Arial" w:eastAsia="Arial" w:hAnsi="Arial"/>
          <w:sz w:val="18"/>
          <w:szCs w:val="18"/>
          <w:color w:val="auto"/>
        </w:rPr>
        <w:t>The number of stock options to be granted to executives and directors cannot be determined at this time as the grant of stock options and/or restricted shares is dependent upon various factors such as hiring requirements and job performance.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Terms of exercise – Stock Options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Options may be granted to selected Eligible Participants (the “Optionee”) on such terms and conditions as the board of directors may determine; provided, however, that the exercise price of an option may not be less than the fair market value of a Company share as of the grant date as determined by the board of directors, or the Compensation, Nomination and Governance Committee, in its reasonable discretion and the term of the option my not exceed three years from the grant date.</w:t>
      </w:r>
    </w:p>
    <w:p>
      <w:pPr>
        <w:spacing w:after="0" w:line="21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The vesting conditions for stock options granted under the 2021 – 2025 Equity Incentive Plan are set forth in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Termination of Service and Change in Control</w:t>
      </w:r>
      <w:r>
        <w:rPr>
          <w:rFonts w:ascii="Arial" w:cs="Arial" w:eastAsia="Arial" w:hAnsi="Arial"/>
          <w:sz w:val="16"/>
          <w:szCs w:val="16"/>
          <w:color w:val="auto"/>
        </w:rPr>
        <w:t>. In the event of termination of an Optionee’s employment or service without cause or an Optionee’s</w:t>
      </w:r>
      <w:r>
        <w:rPr>
          <w:rFonts w:ascii="Arial" w:cs="Arial" w:eastAsia="Arial" w:hAnsi="Arial"/>
          <w:sz w:val="16"/>
          <w:szCs w:val="16"/>
          <w:i w:val="1"/>
          <w:iCs w:val="1"/>
          <w:color w:val="auto"/>
        </w:rPr>
        <w:t xml:space="preserve"> </w:t>
      </w:r>
      <w:r>
        <w:rPr>
          <w:rFonts w:ascii="Arial" w:cs="Arial" w:eastAsia="Arial" w:hAnsi="Arial"/>
          <w:sz w:val="16"/>
          <w:szCs w:val="16"/>
          <w:color w:val="auto"/>
        </w:rPr>
        <w:t>resignation for just cause (as defined in the 2021 – 2025 Equity Incentive Plan) following a change in control of the company (as defined in the 2021 – 2025 Equity Incentive Plan), any awards outstanding to the Optionee (unless otherwise provided in the award agreement) will immediately vest, and options will become fully exercisable during the twelve (12) months following the Change in Control of the Company, or until the date of expiration of the applicable option, if earlier. In the event of a change in control that involves a merger, acquisition or other corporate transaction, any outstanding award not assumed, substituted, replaced or continued in connection with the transaction will immediately vest, and options will become fully exercisable and upon the effectiveness of such corporate transaction, the 2021 – 2025 Equity Incentive Plan and all awards will automatically terminate.</w:t>
      </w:r>
    </w:p>
    <w:p>
      <w:pPr>
        <w:spacing w:after="0" w:line="193"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Within the limitation of the 2021 – 2025 Equity Incentive Plan, the board of directors or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and Governance Committee may amend, suspend or terminate the 2021 – 2025 Equity Incentive Plan, at any time and for any reason. The suspension or termination of the 2021 – 2025 Equity Incentive Plan, or any amendment thereof, shall not affect any option previously granted under the 2021 – 2025 Equity Incentive Plan. No option shall be granted under the 2021 – 2025 Equity Incentive Plan after its suspension or termination. An amendment of the 2021 – 2025 Equity Incentive Plan shall be subject to the approval of the Company’s shareholders only to the extent required by applicable laws or regulations.</w:t>
      </w:r>
    </w:p>
    <w:p>
      <w:pPr>
        <w:spacing w:after="0" w:line="21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Right to amend options</w:t>
      </w:r>
      <w:r>
        <w:rPr>
          <w:rFonts w:ascii="Arial" w:cs="Arial" w:eastAsia="Arial" w:hAnsi="Arial"/>
          <w:sz w:val="18"/>
          <w:szCs w:val="18"/>
          <w:color w:val="auto"/>
        </w:rPr>
        <w:t>. The board of directors at any time, and from time to time, may amend the terms of any one or more options;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the rights under any option shall not be impaired by any such amendment unless (i) the Company requests the consent of the optionee and (ii) the optionee consents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2021- 2025 Chairman Sub-Plan</w:t>
      </w:r>
    </w:p>
    <w:p>
      <w:pPr>
        <w:spacing w:after="0" w:line="2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2021 – 2025 Chairman Sub-Plan allows for the grant of options to our chairman of the board of directors, Mr. Squinto. In particular, Mr. Squinto is entitled to receive options to subscribe: (i) no. 147,783 shares at a price equal to €6.38 each upon listing; and (ii) no. 73,892 shares at a price equal to €6.38 each, during the year starting from the first anniversary of the listing.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for the above, the 2021 – 2025 Chairman Sub-Plan provides for identical terms and conditions under our 2021 – 2025 Equity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Vesting of Existing Options Represented by Class B Quotas</w:t>
      </w:r>
    </w:p>
    <w:p>
      <w:pPr>
        <w:spacing w:after="0" w:line="252" w:lineRule="exact"/>
        <w:rPr>
          <w:sz w:val="20"/>
          <w:szCs w:val="20"/>
          <w:color w:val="auto"/>
        </w:rPr>
      </w:pPr>
    </w:p>
    <w:p>
      <w:pPr>
        <w:jc w:val="both"/>
        <w:ind w:right="760" w:firstLine="648"/>
        <w:spacing w:after="0" w:line="263" w:lineRule="auto"/>
        <w:rPr>
          <w:sz w:val="20"/>
          <w:szCs w:val="20"/>
          <w:color w:val="auto"/>
        </w:rPr>
      </w:pPr>
      <w:r>
        <w:rPr>
          <w:rFonts w:ascii="Arial" w:cs="Arial" w:eastAsia="Arial" w:hAnsi="Arial"/>
          <w:sz w:val="18"/>
          <w:szCs w:val="18"/>
          <w:color w:val="auto"/>
        </w:rPr>
        <w:t>The following table summarizes, as of the date of this prospectus, previously outstanding options subject to accelerated vesting upon the occurrence of a liquidity event. Prior to the consummation of the Corporation Conversion all such options were converted into Quota B and then subsequently converted into our ordinary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B quotas</w:t>
            </w: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16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(€/Share)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20"/>
                <w:szCs w:val="20"/>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BENEFICIAL OWNERSHIP OF PRINCIPAL SHAREHOLDERS AND MANAGEMENT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November 15, 2021 by:</w:t>
      </w:r>
    </w:p>
    <w:p>
      <w:pPr>
        <w:spacing w:after="0" w:line="252"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5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ordinary shares. Percentage of shares beneficially owned before this offering is based on 15,000,000 shares outstanding on November 15, 2021. The number of ordinary shares deemed outstanding after this offering includes the ordinary shares being offered for sale in this offering but assumes no exercise by the representative of the underwriters of the over-allotment option.</w:t>
      </w:r>
    </w:p>
    <w:p>
      <w:pPr>
        <w:spacing w:after="0" w:line="214"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Genenta Science S.p.A., Via Olgettina no. 58, 20132 Milan, Italy.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 of Shares</w:t>
            </w:r>
          </w:p>
        </w:tc>
        <w:tc>
          <w:tcPr>
            <w:tcW w:w="206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2220" w:type="dxa"/>
            <w:vAlign w:val="bottom"/>
            <w:gridSpan w:val="2"/>
            <w:vMerge w:val="restart"/>
          </w:tcPr>
          <w:p>
            <w:pPr>
              <w:jc w:val="center"/>
              <w:ind w:right="60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200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89"/>
              </w:rPr>
              <w:t>Beneficially</w:t>
            </w:r>
          </w:p>
        </w:tc>
        <w:tc>
          <w:tcPr>
            <w:tcW w:w="2060" w:type="dxa"/>
            <w:vAlign w:val="bottom"/>
            <w:gridSpan w:val="2"/>
            <w:vMerge w:val="continue"/>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Owned</w:t>
            </w: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Owned</w:t>
            </w:r>
          </w:p>
        </w:tc>
        <w:tc>
          <w:tcPr>
            <w:tcW w:w="22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Prior to this</w:t>
            </w: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Before this</w:t>
            </w:r>
          </w:p>
        </w:tc>
        <w:tc>
          <w:tcPr>
            <w:tcW w:w="22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After this</w:t>
            </w:r>
          </w:p>
        </w:tc>
        <w:tc>
          <w:tcPr>
            <w:tcW w:w="0" w:type="dxa"/>
            <w:vAlign w:val="bottom"/>
          </w:tcPr>
          <w:p>
            <w:pPr>
              <w:spacing w:after="0"/>
              <w:rPr>
                <w:sz w:val="1"/>
                <w:szCs w:val="1"/>
                <w:color w:val="auto"/>
              </w:rPr>
            </w:pPr>
          </w:p>
        </w:tc>
      </w:tr>
      <w:tr>
        <w:trPr>
          <w:trHeight w:val="277"/>
        </w:trPr>
        <w:tc>
          <w:tcPr>
            <w:tcW w:w="4960" w:type="dxa"/>
            <w:vAlign w:val="bottom"/>
          </w:tcPr>
          <w:p>
            <w:pPr>
              <w:spacing w:after="0"/>
              <w:rPr>
                <w:sz w:val="24"/>
                <w:szCs w:val="2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2060" w:type="dxa"/>
            <w:vAlign w:val="bottom"/>
            <w:gridSpan w:val="2"/>
          </w:tcPr>
          <w:p>
            <w:pPr>
              <w:jc w:val="center"/>
              <w:ind w:right="380"/>
              <w:spacing w:after="0" w:line="270" w:lineRule="exact"/>
              <w:rPr>
                <w:sz w:val="20"/>
                <w:szCs w:val="20"/>
                <w:color w:val="auto"/>
              </w:rPr>
            </w:pPr>
            <w:r>
              <w:rPr>
                <w:rFonts w:ascii="Arial" w:cs="Arial" w:eastAsia="Arial" w:hAnsi="Arial"/>
                <w:sz w:val="18"/>
                <w:szCs w:val="18"/>
                <w:b w:val="1"/>
                <w:bCs w:val="1"/>
                <w:color w:val="auto"/>
                <w:w w:val="89"/>
              </w:rPr>
              <w:t>Offering</w:t>
            </w:r>
            <w:r>
              <w:rPr>
                <w:rFonts w:ascii="Arial" w:cs="Arial" w:eastAsia="Arial" w:hAnsi="Arial"/>
                <w:sz w:val="29"/>
                <w:szCs w:val="29"/>
                <w:b w:val="1"/>
                <w:bCs w:val="1"/>
                <w:color w:val="auto"/>
                <w:w w:val="89"/>
                <w:vertAlign w:val="superscript"/>
              </w:rPr>
              <w:t>(1)</w:t>
            </w:r>
          </w:p>
        </w:tc>
        <w:tc>
          <w:tcPr>
            <w:tcW w:w="2220" w:type="dxa"/>
            <w:vAlign w:val="bottom"/>
            <w:gridSpan w:val="2"/>
          </w:tcPr>
          <w:p>
            <w:pPr>
              <w:jc w:val="center"/>
              <w:ind w:right="560"/>
              <w:spacing w:after="0" w:line="270" w:lineRule="exact"/>
              <w:rPr>
                <w:sz w:val="20"/>
                <w:szCs w:val="20"/>
                <w:color w:val="auto"/>
              </w:rPr>
            </w:pPr>
            <w:r>
              <w:rPr>
                <w:rFonts w:ascii="Arial" w:cs="Arial" w:eastAsia="Arial" w:hAnsi="Arial"/>
                <w:sz w:val="18"/>
                <w:szCs w:val="18"/>
                <w:b w:val="1"/>
                <w:bCs w:val="1"/>
                <w:color w:val="auto"/>
                <w:w w:val="87"/>
              </w:rPr>
              <w:t>Offering</w:t>
            </w:r>
            <w:r>
              <w:rPr>
                <w:rFonts w:ascii="Arial" w:cs="Arial" w:eastAsia="Arial" w:hAnsi="Arial"/>
                <w:sz w:val="29"/>
                <w:szCs w:val="29"/>
                <w:b w:val="1"/>
                <w:bCs w:val="1"/>
                <w:color w:val="auto"/>
                <w:w w:val="87"/>
                <w:vertAlign w:val="superscript"/>
              </w:rPr>
              <w:t>(3)</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Stephen Squinto</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2,275,516</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15.17%</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0"/>
                <w:szCs w:val="20"/>
                <w:color w:val="auto"/>
              </w:rPr>
            </w:pPr>
            <w:r>
              <w:rPr>
                <w:rFonts w:ascii="Arial" w:cs="Arial" w:eastAsia="Arial" w:hAnsi="Arial"/>
                <w:sz w:val="18"/>
                <w:szCs w:val="18"/>
                <w:color w:val="auto"/>
              </w:rPr>
              <w:t>Roger Abravanel</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73,729</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220"/>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Daniela Bellomo</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16,357</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Guido Guidi</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61,553</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49,469</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Anthony Marucci</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Richard B. Slansky</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19,947</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Carlo-Russo</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598,417</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3.99%</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Luigi Naldini</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1,386,145</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Bernard Gentner</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692,871</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4.62%</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 directors and executive officers as a group (11 persons)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5,174,004</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34.49%</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5% Shareholders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1,896,730</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12.64%</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390"/>
        </w:trPr>
        <w:tc>
          <w:tcPr>
            <w:tcW w:w="4960" w:type="dxa"/>
            <w:vAlign w:val="bottom"/>
          </w:tcPr>
          <w:p>
            <w:pPr>
              <w:spacing w:after="0"/>
              <w:rPr>
                <w:sz w:val="20"/>
                <w:szCs w:val="20"/>
                <w:color w:val="auto"/>
              </w:rPr>
            </w:pPr>
            <w:r>
              <w:rPr>
                <w:rFonts w:ascii="Arial" w:cs="Arial" w:eastAsia="Arial" w:hAnsi="Arial"/>
                <w:sz w:val="18"/>
                <w:szCs w:val="18"/>
                <w:color w:val="auto"/>
              </w:rPr>
              <w:t>Spafid</w:t>
            </w:r>
            <w:r>
              <w:rPr>
                <w:rFonts w:ascii="Arial" w:cs="Arial" w:eastAsia="Arial" w:hAnsi="Arial"/>
                <w:sz w:val="29"/>
                <w:szCs w:val="29"/>
                <w:color w:val="auto"/>
                <w:vertAlign w:val="superscript"/>
              </w:rPr>
              <w:t>(2)</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3,404,688</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22.70%</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6459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44"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30"/>
          <w:szCs w:val="30"/>
          <w:color w:val="auto"/>
          <w:vertAlign w:val="superscript"/>
        </w:rPr>
      </w:pPr>
      <w:r>
        <w:rPr>
          <w:rFonts w:ascii="Arial" w:cs="Arial" w:eastAsia="Arial" w:hAnsi="Arial"/>
          <w:sz w:val="18"/>
          <w:szCs w:val="18"/>
          <w:color w:val="auto"/>
        </w:rPr>
        <w:t>The percentages shown are based on 15,000,000 ordinary shares issued and outstanding as of November 15, 2021.</w:t>
      </w:r>
    </w:p>
    <w:p>
      <w:pPr>
        <w:spacing w:after="0" w:line="1" w:lineRule="exact"/>
        <w:rPr>
          <w:rFonts w:ascii="Arial" w:cs="Arial" w:eastAsia="Arial" w:hAnsi="Arial"/>
          <w:sz w:val="30"/>
          <w:szCs w:val="30"/>
          <w:color w:val="auto"/>
          <w:vertAlign w:val="superscript"/>
        </w:rPr>
      </w:pPr>
    </w:p>
    <w:p>
      <w:pPr>
        <w:ind w:left="340" w:right="20" w:hanging="332"/>
        <w:spacing w:after="0" w:line="236" w:lineRule="auto"/>
        <w:tabs>
          <w:tab w:leader="none" w:pos="340" w:val="left"/>
        </w:tabs>
        <w:numPr>
          <w:ilvl w:val="0"/>
          <w:numId w:val="105"/>
        </w:numPr>
        <w:rPr>
          <w:rFonts w:ascii="Arial" w:cs="Arial" w:eastAsia="Arial" w:hAnsi="Arial"/>
          <w:sz w:val="29"/>
          <w:szCs w:val="29"/>
          <w:color w:val="auto"/>
          <w:vertAlign w:val="superscript"/>
        </w:rPr>
      </w:pPr>
      <w:r>
        <w:rPr>
          <w:rFonts w:ascii="Arial" w:cs="Arial" w:eastAsia="Arial" w:hAnsi="Arial"/>
          <w:sz w:val="17"/>
          <w:szCs w:val="17"/>
          <w:color w:val="auto"/>
        </w:rPr>
        <w:t>Spafid is a public limited liability company established under the laws of Italy, having its registered office at Via Filodrammatici no. 10, 20121 Milan, Italy, and having its principal place of business at Foro Buonaparte no. 10, 20121 Milan, Italy, registered under number 00717010151, that acts pursuant to Italian Law 23 November 1939 no. 1966 on “fiduciary Activity”. Spafid is indicated as Owner Entity because identified as formal owner of the shares. As Fiduciary Company, according to Italian Rules, Spafid operates on behalf of Beneficial Owner of Fiduciary Mandate. Shares of Spafid are wholly owned by Mediobanca – Banca di Credito Finanziario S.p.A., a leading Italian investment bank. In such a capacity of Fiduciary company, Spafid owns no. 3,404,688 ordinary shares of the Company on behalf of no. 43 beneficial owners (“fiducianti”).</w:t>
      </w:r>
    </w:p>
    <w:p>
      <w:pPr>
        <w:spacing w:after="0" w:line="5" w:lineRule="exact"/>
        <w:rPr>
          <w:rFonts w:ascii="Arial" w:cs="Arial" w:eastAsia="Arial" w:hAnsi="Arial"/>
          <w:sz w:val="29"/>
          <w:szCs w:val="29"/>
          <w:color w:val="auto"/>
          <w:vertAlign w:val="superscript"/>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percentages shown are based on 17,608,695 securities issued and outstanding after this offering.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2,450 ordinary shares that Mr. Abravanel intends to purchase in the Reserved Offering.</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shares of the Company owned by Spafid represent 22.59% of the Company’s share capital: (i) the average shareholding owned through Spafid in the Company’s share capital by each beneficial owner is equal to 0.53%; while (ii) the maximum shareholding owned through Spafid in the Company’s share capital by a single beneficial owner is equal to 2.30%. Spafid exercises - and will exercise - the relevant voting rights in the shareholders’ meeting of the Company according to voting instructions provided for by each beneficial owner.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Holders</w:t>
      </w:r>
    </w:p>
    <w:p>
      <w:pPr>
        <w:spacing w:after="0" w:line="25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November 15, 2021, there was a total of 68 holders of record of our ordinary shares, none of which had, to the best of our knowledge, a registered address in the United States.</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not controlled by another corporation, by any foreign government or by any natural or legal persons except as set forth herein, and there are no arrangements known to us which would result in a change in control of the Company at a subsequent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808"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OSR</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a longstanding relationship with OSR. Dr. Guidotti, a member of our Board of Directors, currently serves as Deputy Scientific Director of OSR. On June 4, 2015, we entered into a service agreement with OSR to provide certain services (accounting/bookkeeping and rent of spaces, the latter with an addendum effective from January 1, 2016) free of charge. Beginning in January 2020, we engaged a third-party provider to perform these services. We determined that the value of these services provided in 2019 and in prior years were not material to our financial statements. Beginning January 1, 2020, we entered into a six-year lease agreement for the use of office space in the OSR building. We paid OSR annual rent of €13,400 in 2020 with a security deposit of €3,350.</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entered into a license agreement with OSR effective December 15, 2014, pursuant to which OSR granted us an exclusive, royalty-bearing, non-transferable, worldwide license, subject to certain retained rights, to certain patents, patent applications and existing know-how in exchange for certain ongoing payment obligations. See “Business — Collaboration/Licensing.” In February 2021, we entered into a Sponsored Research Agreement (“SRA”) with OSR to conduct certain research projects related to Temferon. The total consideration to be paid by the Company under the SRA will be €1.0 million with payments scheduled quarterly during 2021 and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Consulting and Services Agreements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Dr. Russo is currently a party to a Service Agreement dated July 2017 through an affiliated company, XDG BioMed LLC, which, as amended, provides for fixed annual fees of €300,000 gross and a discretionary annual variable gross remuneration up to a minimum amount of €50,000, tax included. We entered into consulting agreements in October 2015 and April 2016 with Prof. Naldini and Dr. Gentner, which, as amended, provided for gross annual fees of €50,000 and €30,000, respectively. These agreements renew automatically each year.</w:t>
      </w:r>
    </w:p>
    <w:p>
      <w:pPr>
        <w:spacing w:after="0" w:line="21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entered into a directorship agreement with Mr. Paracchi in December 2019, which provides for a gross annual salary of €250,000 and a discretionary €50,000 gross performance bonus payment to be approved by the Board of Directors. Such agreement will be terminated by the parties for mutual consent upon signature of the below employment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Employment Agreements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intend to enter into new employment agreements with each of Mr. Paracchi, Dr. Russo and Mr. Slansky effective upon the consummation of this offering, and in the case of Mr. Slansky, the earlier of the consummation of this offering or November 1, 2021, whichever is earlier. The forms of such proposed employment agreements have been filed as exhibits to the registration statement of which this prospectus forms a part. Pursuant to such proposed employment agreements, Mr. Paracchi, Dr. Russo and Mr. Slansky are entitled to gross annual base salaries of €420,000, $500,000 and $300,000, respectively, which is subject to annual review by and at the sole discretion of the Compensation, Nomination and Governance Committee of our board of directors. Mr. Paracchi and Dr. Russo are also eligible to receive an annual cash bonus equal to or exceeding 20% of base salary, and Mr. Slansky is eligible to receive an annual cash bonus equal to or exceeding 30% of base salary, provided that such individual achieves performance targets determined by the Compensation, Nomination and Governance Committee of the board of directors.</w:t>
      </w:r>
    </w:p>
    <w:p>
      <w:pPr>
        <w:spacing w:after="0" w:line="2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proposed employment agreements of Dr. Russo and Mr. Slansky, are governed by US Law and include the following terms and conditions, among others:</w:t>
      </w:r>
    </w:p>
    <w:p>
      <w:pPr>
        <w:spacing w:after="0" w:line="170" w:lineRule="exact"/>
        <w:rPr>
          <w:sz w:val="20"/>
          <w:szCs w:val="20"/>
          <w:color w:val="auto"/>
        </w:rPr>
      </w:pPr>
    </w:p>
    <w:p>
      <w:pPr>
        <w:ind w:left="720" w:right="20" w:hanging="712"/>
        <w:spacing w:after="0" w:line="254" w:lineRule="auto"/>
        <w:tabs>
          <w:tab w:leader="none" w:pos="720" w:val="left"/>
        </w:tabs>
        <w:numPr>
          <w:ilvl w:val="0"/>
          <w:numId w:val="106"/>
        </w:numPr>
        <w:rPr>
          <w:rFonts w:ascii="Arial" w:cs="Arial" w:eastAsia="Arial" w:hAnsi="Arial"/>
          <w:sz w:val="18"/>
          <w:szCs w:val="18"/>
          <w:i w:val="1"/>
          <w:iCs w:val="1"/>
          <w:color w:val="auto"/>
        </w:rPr>
      </w:pPr>
      <w:r>
        <w:rPr>
          <w:rFonts w:ascii="Arial" w:cs="Arial" w:eastAsia="Arial" w:hAnsi="Arial"/>
          <w:sz w:val="18"/>
          <w:szCs w:val="18"/>
          <w:color w:val="auto"/>
        </w:rPr>
        <w:t>each proposed employment agreement has a term commencing on the date of consummation of this offering and continuing until terminated (i) upon death of the employee, (ii) upon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p>
      <w:pPr>
        <w:spacing w:after="0" w:line="194" w:lineRule="exact"/>
        <w:rPr>
          <w:rFonts w:ascii="Arial" w:cs="Arial" w:eastAsia="Arial" w:hAnsi="Arial"/>
          <w:sz w:val="18"/>
          <w:szCs w:val="18"/>
          <w:i w:val="1"/>
          <w:iCs w:val="1"/>
          <w:color w:val="auto"/>
        </w:rPr>
      </w:pPr>
    </w:p>
    <w:p>
      <w:pPr>
        <w:ind w:left="720" w:right="300" w:hanging="712"/>
        <w:spacing w:after="0" w:line="291" w:lineRule="auto"/>
        <w:tabs>
          <w:tab w:leader="none" w:pos="720" w:val="left"/>
        </w:tabs>
        <w:numPr>
          <w:ilvl w:val="0"/>
          <w:numId w:val="106"/>
        </w:numPr>
        <w:rPr>
          <w:rFonts w:ascii="Arial" w:cs="Arial" w:eastAsia="Arial" w:hAnsi="Arial"/>
          <w:sz w:val="16"/>
          <w:szCs w:val="16"/>
          <w:i w:val="1"/>
          <w:iCs w:val="1"/>
          <w:color w:val="auto"/>
        </w:rPr>
      </w:pPr>
      <w:r>
        <w:rPr>
          <w:rFonts w:ascii="Arial" w:cs="Arial" w:eastAsia="Arial" w:hAnsi="Arial"/>
          <w:sz w:val="16"/>
          <w:szCs w:val="16"/>
          <w:color w:val="auto"/>
        </w:rPr>
        <w:t>in the event such individual is terminated six months prior to or two years after a Change of Control (as defined in the agreement) by the Company for any reason other than cause or by such individual for good reason, then the executive shall be entitled to receive a cash payment</w:t>
      </w:r>
    </w:p>
    <w:p>
      <w:pPr>
        <w:ind w:left="720" w:right="460"/>
        <w:spacing w:after="0" w:line="260" w:lineRule="auto"/>
        <w:rPr>
          <w:sz w:val="20"/>
          <w:szCs w:val="20"/>
          <w:color w:val="auto"/>
        </w:rPr>
      </w:pPr>
      <w:r>
        <w:rPr>
          <w:rFonts w:ascii="Arial" w:cs="Arial" w:eastAsia="Arial" w:hAnsi="Arial"/>
          <w:sz w:val="18"/>
          <w:szCs w:val="18"/>
          <w:color w:val="auto"/>
        </w:rPr>
        <w:t>equal to times such individual’s then-current annual base salary, plus 1.0 times his cash bonus for the year in which the termination occurs. Such payment shall be in lieu of the severance payment described above.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proposed employment agreement of Mr. Paracchi is governed by Italian Law and include the following terms and conditions, among others:</w:t>
      </w:r>
    </w:p>
    <w:p>
      <w:pPr>
        <w:spacing w:after="0" w:line="248"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i w:val="1"/>
          <w:iCs w:val="1"/>
          <w:color w:val="auto"/>
        </w:rPr>
      </w:pPr>
      <w:r>
        <w:rPr>
          <w:rFonts w:ascii="Arial" w:cs="Arial" w:eastAsia="Arial" w:hAnsi="Arial"/>
          <w:sz w:val="18"/>
          <w:szCs w:val="18"/>
          <w:color w:val="auto"/>
        </w:rPr>
        <w:t>the duties of general manager (</w:t>
      </w:r>
      <w:r>
        <w:rPr>
          <w:rFonts w:ascii="Arial" w:cs="Arial" w:eastAsia="Arial" w:hAnsi="Arial"/>
          <w:sz w:val="18"/>
          <w:szCs w:val="18"/>
          <w:i w:val="1"/>
          <w:iCs w:val="1"/>
          <w:color w:val="auto"/>
        </w:rPr>
        <w:t>direttore generale</w:t>
      </w:r>
      <w:r>
        <w:rPr>
          <w:rFonts w:ascii="Arial" w:cs="Arial" w:eastAsia="Arial" w:hAnsi="Arial"/>
          <w:sz w:val="18"/>
          <w:szCs w:val="18"/>
          <w:color w:val="auto"/>
        </w:rPr>
        <w:t>) with direct report to the Board of Directors of the Company;</w:t>
      </w:r>
    </w:p>
    <w:p>
      <w:pPr>
        <w:spacing w:after="0" w:line="225" w:lineRule="exact"/>
        <w:rPr>
          <w:rFonts w:ascii="Arial" w:cs="Arial" w:eastAsia="Arial" w:hAnsi="Arial"/>
          <w:sz w:val="18"/>
          <w:szCs w:val="18"/>
          <w:i w:val="1"/>
          <w:iCs w:val="1"/>
          <w:color w:val="auto"/>
        </w:rPr>
      </w:pPr>
    </w:p>
    <w:p>
      <w:pPr>
        <w:ind w:left="660" w:right="360" w:hanging="652"/>
        <w:spacing w:after="0" w:line="277" w:lineRule="auto"/>
        <w:tabs>
          <w:tab w:leader="none" w:pos="660" w:val="left"/>
        </w:tabs>
        <w:numPr>
          <w:ilvl w:val="0"/>
          <w:numId w:val="107"/>
        </w:numPr>
        <w:rPr>
          <w:rFonts w:ascii="Arial" w:cs="Arial" w:eastAsia="Arial" w:hAnsi="Arial"/>
          <w:sz w:val="18"/>
          <w:szCs w:val="18"/>
          <w:i w:val="1"/>
          <w:iCs w:val="1"/>
          <w:color w:val="auto"/>
        </w:rPr>
      </w:pPr>
      <w:r>
        <w:rPr>
          <w:rFonts w:ascii="Arial" w:cs="Arial" w:eastAsia="Arial" w:hAnsi="Arial"/>
          <w:sz w:val="18"/>
          <w:szCs w:val="18"/>
          <w:color w:val="auto"/>
        </w:rPr>
        <w:t>reimbursement of reasonable expenses incurred in the performance of work duties, health benefits and, subject to the approval of the board of directors, a grant of an equity award under an equity incentive plan to be adopted after the offering;</w:t>
      </w:r>
    </w:p>
    <w:p>
      <w:pPr>
        <w:spacing w:after="0" w:line="170" w:lineRule="exact"/>
        <w:rPr>
          <w:rFonts w:ascii="Arial" w:cs="Arial" w:eastAsia="Arial" w:hAnsi="Arial"/>
          <w:sz w:val="18"/>
          <w:szCs w:val="18"/>
          <w:i w:val="1"/>
          <w:iCs w:val="1"/>
          <w:color w:val="auto"/>
        </w:rPr>
      </w:pPr>
    </w:p>
    <w:p>
      <w:pPr>
        <w:ind w:left="660" w:right="120" w:hanging="652"/>
        <w:spacing w:after="0" w:line="259" w:lineRule="auto"/>
        <w:tabs>
          <w:tab w:leader="none" w:pos="660" w:val="left"/>
        </w:tabs>
        <w:numPr>
          <w:ilvl w:val="0"/>
          <w:numId w:val="107"/>
        </w:numPr>
        <w:rPr>
          <w:rFonts w:ascii="Arial" w:cs="Arial" w:eastAsia="Arial" w:hAnsi="Arial"/>
          <w:sz w:val="18"/>
          <w:szCs w:val="18"/>
          <w:i w:val="1"/>
          <w:iCs w:val="1"/>
          <w:color w:val="auto"/>
        </w:rPr>
      </w:pPr>
      <w:r>
        <w:rPr>
          <w:rFonts w:ascii="Arial" w:cs="Arial" w:eastAsia="Arial" w:hAnsi="Arial"/>
          <w:sz w:val="18"/>
          <w:szCs w:val="18"/>
          <w:color w:val="auto"/>
        </w:rPr>
        <w:t>in case of Change of Control (as defined in the relevant agreement), in the event of termination not for “cause” by the Company or of resignation for “cause” by the executive (such terms as understood in accordance with Article 2119 of the Italian Civil Code), the executive shall be entitled to receive a cash payment equal to three times such individual’s then-current annual base salary (such indemnity will replace any indemnity provided for by the applicable National Collective Labour Agreement in case of termination);</w:t>
      </w:r>
    </w:p>
    <w:p>
      <w:pPr>
        <w:spacing w:after="0" w:line="213" w:lineRule="exact"/>
        <w:rPr>
          <w:rFonts w:ascii="Arial" w:cs="Arial" w:eastAsia="Arial" w:hAnsi="Arial"/>
          <w:sz w:val="18"/>
          <w:szCs w:val="18"/>
          <w:i w:val="1"/>
          <w:iCs w:val="1"/>
          <w:color w:val="auto"/>
        </w:rPr>
      </w:pPr>
    </w:p>
    <w:p>
      <w:pPr>
        <w:ind w:left="660" w:right="60" w:hanging="652"/>
        <w:spacing w:after="0" w:line="308" w:lineRule="auto"/>
        <w:tabs>
          <w:tab w:leader="none" w:pos="660" w:val="left"/>
        </w:tabs>
        <w:numPr>
          <w:ilvl w:val="0"/>
          <w:numId w:val="107"/>
        </w:numPr>
        <w:rPr>
          <w:rFonts w:ascii="Arial" w:cs="Arial" w:eastAsia="Arial" w:hAnsi="Arial"/>
          <w:sz w:val="17"/>
          <w:szCs w:val="17"/>
          <w:i w:val="1"/>
          <w:iCs w:val="1"/>
          <w:color w:val="auto"/>
        </w:rPr>
      </w:pPr>
      <w:r>
        <w:rPr>
          <w:rFonts w:ascii="Arial" w:cs="Arial" w:eastAsia="Arial" w:hAnsi="Arial"/>
          <w:sz w:val="17"/>
          <w:szCs w:val="17"/>
          <w:color w:val="auto"/>
        </w:rPr>
        <w:t>non-competition and non-solicitation obligations of the executive for a 12 months period after the termination of the employment in consideration for compensation equal to 12 months after termination at the executive’s then-current monthly base salary for each obligation;</w:t>
      </w:r>
    </w:p>
    <w:p>
      <w:pPr>
        <w:spacing w:after="0" w:line="146" w:lineRule="exact"/>
        <w:rPr>
          <w:rFonts w:ascii="Arial" w:cs="Arial" w:eastAsia="Arial" w:hAnsi="Arial"/>
          <w:sz w:val="17"/>
          <w:szCs w:val="17"/>
          <w:i w:val="1"/>
          <w:iCs w:val="1"/>
          <w:color w:val="auto"/>
        </w:rPr>
      </w:pPr>
    </w:p>
    <w:p>
      <w:pPr>
        <w:jc w:val="both"/>
        <w:ind w:left="660" w:right="320"/>
        <w:spacing w:after="0" w:line="342" w:lineRule="auto"/>
        <w:rPr>
          <w:rFonts w:ascii="Arial" w:cs="Arial" w:eastAsia="Arial" w:hAnsi="Arial"/>
          <w:sz w:val="17"/>
          <w:szCs w:val="17"/>
          <w:i w:val="1"/>
          <w:iCs w:val="1"/>
          <w:color w:val="auto"/>
        </w:rPr>
      </w:pPr>
      <w:r>
        <w:rPr>
          <w:rFonts w:ascii="Arial" w:cs="Arial" w:eastAsia="Arial" w:hAnsi="Arial"/>
          <w:sz w:val="16"/>
          <w:szCs w:val="16"/>
          <w:color w:val="auto"/>
        </w:rPr>
        <w:t>Such agreement has a term commencing on the date of consummation of this offering and continuing until terminated, among other things, (a) upon death of the executive, (b) for just cause, (c) with objective or subjective reason, (d) by resignation of the executive, or (e) voluntarily by</w:t>
      </w:r>
    </w:p>
    <w:p>
      <w:pPr>
        <w:sectPr>
          <w:pgSz w:w="11900" w:h="16838" w:orient="portrait"/>
          <w:cols w:equalWidth="0" w:num="1">
            <w:col w:w="11220"/>
          </w:cols>
          <w:pgMar w:left="320" w:top="715" w:right="359" w:bottom="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mutual agreement between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Consultancy Agreements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Messrs. Squinto and Marucci have entered into consultancy agreements in connection with their appointment to the board of directors in order to support the development and growth of the Company. The agreements provide for gross compensations of $25,000 (Mr. Squinto) and $11,875 (Mr. Marucci) per quarter (pro rated for partial quarters). The consultant will be fully and solely responsible for the payment of all tax and/or social security charges and will not be entitled to expenses reimbursement. These agreements have a term of three years, but are subject to termination at the option of either party by written notice given at least 15 days prior to each anniversary of the date of effectiveness of the agreement).</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Messrs. Alexander Ross, Brad Loncar and Gaurav Shah have entered into consultancy agreements for the activity of support the development and the growth of the Company in the US market. All agreements provide for a gross compensation of USD 30,000 for the 12-months’ period of duration of the agreements and a specific no-conflict clause towards the Company.</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25" w:right="3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or before the time of effectiveness of this registration statement, an indemnification agreement with our directors and executive officers will be entered into. The indemnification agreement requires us to indemnify our directors and executive officers to the fullest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the Company and (iii) officers and directors are held liable towards the Company.</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Share Capital</w:t>
      </w:r>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Since our founding, we have obtained equity financing in an aggregate amount of approximately €35.1 million in four separate rounds based on the credentials and reputation of our founders and management team and our relationship with SR-TIGET, OSR, and Telethon Institute for Gene Therapy.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its organization in July 2014, the Company was capitalized with €11,650 through the issuance of the following quotas: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4,754.37</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1520" w:type="dxa"/>
            <w:vAlign w:val="bottom"/>
          </w:tcPr>
          <w:p>
            <w:pPr>
              <w:jc w:val="right"/>
              <w:spacing w:after="0"/>
              <w:rPr>
                <w:sz w:val="20"/>
                <w:szCs w:val="20"/>
                <w:color w:val="auto"/>
              </w:rPr>
            </w:pPr>
            <w:r>
              <w:rPr>
                <w:rFonts w:ascii="Arial" w:cs="Arial" w:eastAsia="Arial" w:hAnsi="Arial"/>
                <w:sz w:val="18"/>
                <w:szCs w:val="18"/>
                <w:color w:val="auto"/>
              </w:rPr>
              <w:t>5,703.84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Bernhard Gentner</w:t>
            </w:r>
          </w:p>
        </w:tc>
        <w:tc>
          <w:tcPr>
            <w:tcW w:w="1520" w:type="dxa"/>
            <w:vAlign w:val="bottom"/>
          </w:tcPr>
          <w:p>
            <w:pPr>
              <w:jc w:val="right"/>
              <w:spacing w:after="0"/>
              <w:rPr>
                <w:sz w:val="20"/>
                <w:szCs w:val="20"/>
                <w:color w:val="auto"/>
              </w:rPr>
            </w:pPr>
            <w:r>
              <w:rPr>
                <w:rFonts w:ascii="Arial" w:cs="Arial" w:eastAsia="Arial" w:hAnsi="Arial"/>
                <w:sz w:val="18"/>
                <w:szCs w:val="18"/>
                <w:color w:val="auto"/>
              </w:rPr>
              <w:t>397.26</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quotas held by Mr. Paracchi and OSR, on the one hand, and by Prof. Naldini and Dr. Gentner, on the other hand, were converted into class A and B quotas, respectively, in connection with our first round of equity financing approved by shareholders on December 23, 2014 (which resolution has been subsequently amended and restated), as follows:</w:t>
      </w:r>
    </w:p>
    <w:p>
      <w:pPr>
        <w:spacing w:after="0" w:line="211" w:lineRule="exact"/>
        <w:rPr>
          <w:sz w:val="20"/>
          <w:szCs w:val="20"/>
          <w:color w:val="auto"/>
        </w:rPr>
      </w:pPr>
    </w:p>
    <w:p>
      <w:pPr>
        <w:ind w:left="660" w:right="40" w:hanging="328"/>
        <w:spacing w:after="0" w:line="25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issuance of a maximum of €6,237.50 of class B quotas to Prof. Naldini and Dr. Gentner, directors, employees and other individuals in recognition of their contributions to the Company’s growth;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issuance of class C quotas (including class C quotas issuable upon conversion of convertible notes) for an aggregate amount equal to €10.0 million.</w:t>
      </w:r>
    </w:p>
    <w:p>
      <w:pPr>
        <w:spacing w:after="0" w:line="21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class C quotas were offered on the basis of a pre-money valuation of the Company of €20.0 million with assistance from Banca Esperia, the formerly Private Bank of Mediobanca, and purchased by accredited investors, including entrepreneurs, managers, and family offices, including affiliates of the Ferrari family, which controls FIS Holding, one of the leading manufacturers of pharmaceuticals in Europe, and an early investor in Advanced Accelerator Application (NASDAQ: AAAP) (“AAAP”), a biotech company later acquired by Novartis (NYSE: NVS) for $3.9 billion.</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class C quota offering, Roger Abravanel (former McKinsey &amp; Company director and board member of TEVA) joined the Company’s board of directors.</w:t>
      </w:r>
    </w:p>
    <w:p>
      <w:pPr>
        <w:spacing w:after="0" w:line="19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On June 27, 2017, our shareholders approved the issuance of class D quotas for an aggregate amount equal to €7.0 million on the basis of a pre-money valuation of the Company of €45.0 million. The class D quotas were purchased by Italian, British, and Swiss private investors, family offices, and angel investors, including FIDIM S.r.l., the holding company for the Rovati family, former owner of Rottapharm, which was acquired in 2014 by Meda/Mylan for $2.2 billion) (“FIDIM”), some other early investors in AAAP, and Mr. Giuseppe Vita, former Chairman of Schering-Plough.</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class D quota offering, Guido Guidi, then Head of Novartis in Europe joined the Company’s board of directors. During his tenure as Head of Novartis’ Oncology Europe division, Mr. Guidi led the development and launch of a number of highly successful products, such as Cosentyx, Entresto, Lucentis, Gilenya, Xolair, Ultibro, Seebri, Galvus, Exforge, Zometa, Femara and Glivec. At that time, Kenneth C. Anderson, Kraft Family Professor of Medicine at Harvard Medical School, President Elect of the American Society of Hematology, and Director of the Lebow Institute for Myeloma Therapeutics and the Jerome Lipper Myeloma Center at DanaFaber Cancer Institute, joined the Company’s Scientific Advisory Board.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60" w:name="page161"/>
    <w:bookmarkEnd w:id="160"/>
    <w:p>
      <w:pPr>
        <w:ind w:right="200" w:firstLine="648"/>
        <w:spacing w:after="0" w:line="279" w:lineRule="auto"/>
        <w:rPr>
          <w:sz w:val="20"/>
          <w:szCs w:val="20"/>
          <w:color w:val="auto"/>
        </w:rPr>
      </w:pPr>
      <w:r>
        <w:rPr>
          <w:rFonts w:ascii="Arial" w:cs="Arial" w:eastAsia="Arial" w:hAnsi="Arial"/>
          <w:sz w:val="17"/>
          <w:szCs w:val="17"/>
          <w:color w:val="auto"/>
        </w:rPr>
        <w:t>In August 2019, our shareholders approved the issuance of class E quotas for an aggregate amount equal €17.1 million, subscribed for €15.1 million, on the basis of a pre-money valuation of the Company of €70.0 million. The lead investor in the class E quota offering was Qianzhan Investment Management, a Shanghai based private company active in private equity and venture capital investments, and FIDIM. Qianzhan was an early investor in Tencent Music (NASDAQ: TME) and in pharmaceutical and biotech companies in China and in the U.S.</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July 2020, our shareholders approved the issuance of an additional of class E quotas for an aggregate amount equal to € 1.5 million on the basis of a pre-money valuation of the Company of €90.0 million. The lead investor was GM Investimenti, a private company controlled by Giuseppe Miroglio, former CEO and current Chairman of Miroglio Group.</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tables below set forth the aggregate number of class B and D quotas issued and subscribed by related parties as part of the offerings described above. No related parties purchased class C or E quotas.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B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Bernhard Gentner</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1,396.5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1,396.5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Roger Abravanel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Stefania Mazzoleni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D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t>DESCRIPTION OF SHARE CAPITAL AND GOVERNING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following description summarizes important terms of our capital stock and certain provisions of our articles of association and by-laws, each of which will be in effect upon the closing of this offering. Copies of these documents will be filed with the SEC as exhibits to our registration statement, of which this prospectus forms a part. The description of our capital stock reflects the completion of the Corporate Conversion that occurred in May 2021.</w:t>
      </w:r>
    </w:p>
    <w:p>
      <w:pPr>
        <w:spacing w:after="0" w:line="17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the date of filing of this prospectus our authorized capital stock is equal to Euro 50,000 represented by 15,000,000 ordinary shares with no par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preference shares are designated, issued or outstanding.</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is a summary of certain information concerning our ordinary shares and bylaws (</w:t>
      </w:r>
      <w:r>
        <w:rPr>
          <w:rFonts w:ascii="Arial" w:cs="Arial" w:eastAsia="Arial" w:hAnsi="Arial"/>
          <w:sz w:val="18"/>
          <w:szCs w:val="18"/>
          <w:i w:val="1"/>
          <w:iCs w:val="1"/>
          <w:color w:val="auto"/>
        </w:rPr>
        <w:t>Statuto</w:t>
      </w:r>
      <w:r>
        <w:rPr>
          <w:rFonts w:ascii="Arial" w:cs="Arial" w:eastAsia="Arial" w:hAnsi="Arial"/>
          <w:sz w:val="18"/>
          <w:szCs w:val="18"/>
          <w:color w:val="auto"/>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Italian law, most of the procedures regulating our Company, including certain rights of shareholders, are contained in our bylaws.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Amendments to our bylaws must be approved at an extraordinary meeting of shareholders, as described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 of shares</w:t>
      </w:r>
    </w:p>
    <w:p>
      <w:pPr>
        <w:spacing w:after="0" w:line="25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Our shareholders may authorize the issuance of additional shares at any time at an extraordinary shareholders’ meeting. However, the newly issued shares may not be purchased before all the outstanding shares (i.e., the shares already subscribed) are entirely paid for. Moreover, although Italian law generally provides shareholders with preemptive rights when new shares are issued for cash, it is possible, in certain case, for general meeting to exclude or limit preemptive rights. Such an exclusion of preemptive rights must be illustrated by the directors with a specific report which sets out the reasons for the exclusion or limitation of the pre-emptive right, or, if the exclusion derives from a contribution in kind, the reasons for such contribution in kind, and in any case the criteria adopted for determining the issue price. On May 20, 2021, our shareholders approved or delegated our board of directors to approve — several capital increases. In particular, the shareholders’ meeting unanimously resolved, </w:t>
      </w:r>
      <w:r>
        <w:rPr>
          <w:rFonts w:ascii="Arial" w:cs="Arial" w:eastAsia="Arial" w:hAnsi="Arial"/>
          <w:sz w:val="16"/>
          <w:szCs w:val="16"/>
          <w:i w:val="1"/>
          <w:iCs w:val="1"/>
          <w:color w:val="auto"/>
        </w:rPr>
        <w:t>inter alia</w:t>
      </w:r>
    </w:p>
    <w:p>
      <w:pPr>
        <w:spacing w:after="0" w:line="193" w:lineRule="exact"/>
        <w:rPr>
          <w:sz w:val="20"/>
          <w:szCs w:val="20"/>
          <w:color w:val="auto"/>
        </w:rPr>
      </w:pPr>
    </w:p>
    <w:p>
      <w:pPr>
        <w:ind w:left="660" w:right="60" w:hanging="328"/>
        <w:spacing w:after="0" w:line="25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increase the share capital against payment in one or more instalments on a divisible basis, with the exclusion of the pre-emptive rights under Article 2441, paragraph 5, of Italian Civil Code, up to a maximum amount of € 115 million (including share premium), with allocation to capital of € 0.10 per share, by issuance of a maximum of 11.5 million new ordinary shares with no par value and with regular dividend entitlement, to the service of our initial public offering, granting authority to the board of directors to implement the proposed capital increase in one or more tranches, in the amounts quoted above, within the time limit of December 31, 2021, of which a maximum number of 10 million ordinary shares against a countervalue of € 100 million (including share premium), shall be issued to the service of the initial public offering; while a maximum number of 1.5 million ordinary shares (subject to the maximum limit of 15% of the number of shares actually used to the service of our initial public offering) against a countervalue of € 15 million (including share premium), shall be issued to the service of potential exercise of the over-allotment option (greenshoe);</w:t>
      </w:r>
    </w:p>
    <w:p>
      <w:pPr>
        <w:spacing w:after="0" w:line="155" w:lineRule="exact"/>
        <w:rPr>
          <w:rFonts w:ascii="Arial" w:cs="Arial" w:eastAsia="Arial" w:hAnsi="Arial"/>
          <w:sz w:val="18"/>
          <w:szCs w:val="18"/>
          <w:color w:val="auto"/>
        </w:rPr>
      </w:pPr>
    </w:p>
    <w:p>
      <w:pPr>
        <w:ind w:left="660" w:right="160" w:hanging="328"/>
        <w:spacing w:after="0" w:line="290"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to grant to the board of directors the authority to approve the issuance of a maximum number of 0.5 million warrants to be granted free of charge to the Underwriters and to increase the share capital, on a divisible basis, to the service of warrants exercised by the Underwriters, by maximum par values of €5,000,000 (including share premium), with allocation to capital of €0.10 per share, by issuance of a further maximum number of 500,000 ordinary shares (subject to the maximum limit of 4% of the ADSs to service our initial public offering as well as criteria set forth in agreements executed by the Company in relation to our initial public offering), all represented by ADSs, to be issued by no later than December 31, 2021, being it specified that, if such increase is not fully subscribed within that time limit, the increase shall remain valid within the limits of the subscriptions collected; being it further specified that such capital increase shall be implemented, pursuant to the warrants regulation, by the board of directors duly authorized to set the issue price and the portions to be allocated to capital and to share premium; and</w:t>
      </w:r>
    </w:p>
    <w:p>
      <w:pPr>
        <w:spacing w:after="0" w:line="124" w:lineRule="exact"/>
        <w:rPr>
          <w:rFonts w:ascii="Arial" w:cs="Arial" w:eastAsia="Arial" w:hAnsi="Arial"/>
          <w:sz w:val="16"/>
          <w:szCs w:val="16"/>
          <w:color w:val="auto"/>
        </w:rPr>
      </w:pPr>
    </w:p>
    <w:p>
      <w:pPr>
        <w:ind w:left="660" w:right="20" w:hanging="328"/>
        <w:spacing w:after="0" w:line="269"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to grant to the board of directors the authority, in accordance with Article 2443 of Italian Civil Code, to further increase the share capital against payment, in one or more instalments on a divisible basis, up to a maximum amount of €300,000,000 (including share premium), by issuance of a maximum number of 30,000,000 new ordinary shares with no par value and with regular dividend entitlement, also with the exclusion of pre-emptive rights or free of charge, in accordance with Article 2441, paragraphs 4, 5 and 8, of Italian Civil Code for a five-year period, also in support of third-party grants of participating interests and/or industrial and intellectual property rights and similar intangible assets (such as patents, marks and know-how) which can be granted and held by the board of directors itself in accordance to the scope of the corporate purpose, in addition to the authority, pursuant to Article 2420-</w:t>
      </w:r>
      <w:r>
        <w:rPr>
          <w:rFonts w:ascii="Arial" w:cs="Arial" w:eastAsia="Arial" w:hAnsi="Arial"/>
          <w:sz w:val="17"/>
          <w:szCs w:val="17"/>
          <w:i w:val="1"/>
          <w:iCs w:val="1"/>
          <w:color w:val="auto"/>
        </w:rPr>
        <w:t>ter</w:t>
      </w:r>
      <w:r>
        <w:rPr>
          <w:rFonts w:ascii="Arial" w:cs="Arial" w:eastAsia="Arial" w:hAnsi="Arial"/>
          <w:sz w:val="17"/>
          <w:szCs w:val="17"/>
          <w:color w:val="auto"/>
        </w:rPr>
        <w:t xml:space="preserve"> of Italian Civil Code, to issue convertible debentures in one or more instalments, convertible into ordinary shares, within the same aggregate maximum amount of €300,000,000 (including share premium), with consequent capital increase to the service of the conversion, also with the exclusion of pre-emptive rights in accordance with Article 2441, paragraphs 4, 5 and 8 of Italian Civil Code, likewise for a period of five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and transfer of shares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ordinary shares are not represented by share certificates (</w:t>
      </w:r>
      <w:r>
        <w:rPr>
          <w:rFonts w:ascii="Arial" w:cs="Arial" w:eastAsia="Arial" w:hAnsi="Arial"/>
          <w:sz w:val="16"/>
          <w:szCs w:val="16"/>
          <w:i w:val="1"/>
          <w:iCs w:val="1"/>
          <w:color w:val="auto"/>
        </w:rPr>
        <w:t>certificati azionari) as they are dematerialised (azioni dematerializzate</w:t>
      </w:r>
      <w:r>
        <w:rPr>
          <w:rFonts w:ascii="Arial" w:cs="Arial" w:eastAsia="Arial" w:hAnsi="Arial"/>
          <w:sz w:val="16"/>
          <w:szCs w:val="16"/>
          <w:color w:val="auto"/>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416" w:gutter="0" w:footer="0" w:header="0"/>
        </w:sectPr>
      </w:pPr>
    </w:p>
    <w:bookmarkStart w:id="162" w:name="page163"/>
    <w:bookmarkEnd w:id="162"/>
    <w:p>
      <w:pPr>
        <w:ind w:right="160" w:firstLine="648"/>
        <w:spacing w:after="0" w:line="254" w:lineRule="auto"/>
        <w:rPr>
          <w:sz w:val="20"/>
          <w:szCs w:val="20"/>
          <w:color w:val="auto"/>
        </w:rPr>
      </w:pPr>
      <w:r>
        <w:rPr>
          <w:rFonts w:ascii="Arial" w:cs="Arial" w:eastAsia="Arial" w:hAnsi="Arial"/>
          <w:sz w:val="18"/>
          <w:szCs w:val="18"/>
          <w:color w:val="auto"/>
        </w:rPr>
        <w:t>There are no limitations on the right to own or vote our ordinary shares, which applies to non-Italian residents and foreign residents except for Golden Power’s rules and Antitrust rule (see Section “Notification of Acquisition of Shares”).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which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5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payment of any annual dividend must be proposed by our board of directors to the shareholders and is subject to the approval of our shareholders at the annual ordinary shareholders’ meeting. Before dividends may be paid out of our unconsolidated net income in any year, we must allocate an amount equal to 5% of the Italian GAAP net income to our legal reserve until such reserve is at least equal to 20% of our corporate capital. If a loss in our corporate capital occurs, we may not pay dividends until the capital is reconstituted or reduced by the amount of such losses. We may pay dividends out of available retained earnings from prior years, provided that after such payment, we will have a legal reserve at least equal to the legally required minimum of 20% of the corporate capital. We may not approve or pay dividends until this minimum (i.e., 20% of the capital) is met. If the minimum is met, the board of directors could propose the issuance of a dividend to the shareholders and the shareholders’ resolution might approve that issuance. The shareholders’ resolution will specify the manner and the date for dividend payment. Any dividends which shareholders do not collect within five years of the date on which they become payable will be forfeited by those shareholders and come back to us. The board of directors may not approve interim dividends at times between our annual ordinary shareholders’ meetings.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Nasdaq rules, the Company is permitted, as a listed foreign private issuer, to adhere to the corporate governance rules of our home country in lieu of certain Nasdaq corporate governance rules.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Corporate governance rules for Italian corporations (</w:t>
      </w:r>
      <w:r>
        <w:rPr>
          <w:rFonts w:ascii="Arial" w:cs="Arial" w:eastAsia="Arial" w:hAnsi="Arial"/>
          <w:sz w:val="16"/>
          <w:szCs w:val="16"/>
          <w:i w:val="1"/>
          <w:iCs w:val="1"/>
          <w:color w:val="auto"/>
        </w:rPr>
        <w:t>società per azioni</w:t>
      </w:r>
      <w:r>
        <w:rPr>
          <w:rFonts w:ascii="Arial" w:cs="Arial" w:eastAsia="Arial" w:hAnsi="Arial"/>
          <w:sz w:val="16"/>
          <w:szCs w:val="16"/>
          <w:color w:val="auto"/>
        </w:rPr>
        <w:t>) like the Company provide that the Company can be managed by a board of directors (</w:t>
      </w:r>
      <w:r>
        <w:rPr>
          <w:rFonts w:ascii="Arial" w:cs="Arial" w:eastAsia="Arial" w:hAnsi="Arial"/>
          <w:sz w:val="16"/>
          <w:szCs w:val="16"/>
          <w:i w:val="1"/>
          <w:iCs w:val="1"/>
          <w:color w:val="auto"/>
        </w:rPr>
        <w:t>consiglio di amministrazione</w:t>
      </w:r>
      <w:r>
        <w:rPr>
          <w:rFonts w:ascii="Arial" w:cs="Arial" w:eastAsia="Arial" w:hAnsi="Arial"/>
          <w:sz w:val="16"/>
          <w:szCs w:val="16"/>
          <w:color w:val="auto"/>
        </w:rPr>
        <w:t>) and a separate board of statutory auditors (</w:t>
      </w:r>
      <w:r>
        <w:rPr>
          <w:rFonts w:ascii="Arial" w:cs="Arial" w:eastAsia="Arial" w:hAnsi="Arial"/>
          <w:sz w:val="16"/>
          <w:szCs w:val="16"/>
          <w:i w:val="1"/>
          <w:iCs w:val="1"/>
          <w:color w:val="auto"/>
        </w:rPr>
        <w:t>collegio sindacale</w:t>
      </w:r>
      <w:r>
        <w:rPr>
          <w:rFonts w:ascii="Arial" w:cs="Arial" w:eastAsia="Arial" w:hAnsi="Arial"/>
          <w:sz w:val="16"/>
          <w:szCs w:val="16"/>
          <w:color w:val="auto"/>
        </w:rPr>
        <w:t>) with supervisory functions concerning the compliance of the by-laws and Italian laws. The two boards are separate and no individual may be a member of both boards. Both the members of the board of directors and the members of the board of statutory auditors owe duties of loyalty and care to the Company. As required by Italian law, an external auditing firm (</w:t>
      </w:r>
      <w:r>
        <w:rPr>
          <w:rFonts w:ascii="Arial" w:cs="Arial" w:eastAsia="Arial" w:hAnsi="Arial"/>
          <w:sz w:val="16"/>
          <w:szCs w:val="16"/>
          <w:i w:val="1"/>
          <w:iCs w:val="1"/>
          <w:color w:val="auto"/>
        </w:rPr>
        <w:t>società di revisione</w:t>
      </w:r>
      <w:r>
        <w:rPr>
          <w:rFonts w:ascii="Arial" w:cs="Arial" w:eastAsia="Arial" w:hAnsi="Arial"/>
          <w:sz w:val="16"/>
          <w:szCs w:val="16"/>
          <w:color w:val="auto"/>
        </w:rPr>
        <w:t>) is in charge of auditing the Company’s financial statements. The members of the Company’s board of directors and board of statutory auditors, as well as the external auditor, are directly and separately appointed by shareholders’ resolution at the shareholders’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board of director consists of seven members (see “Management” for additional information). Our board of directors is elected at an ordinary shareholders’ meeting for the period established at the time of election but in any case, for no longer than three fiscal years. Our directors, who may but are not required to be shareholders, may be reappointed for successive terms.</w:t>
      </w:r>
    </w:p>
    <w:p>
      <w:pPr>
        <w:spacing w:after="0" w:line="21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Following the expiration of the term of directors currently in office, future members of the board of directors will be elected by means of a slate voting mechanism. Slates may be submitted by shareholders representing, individually or collectively with other shareholders joining in the submission of the slate, at least 6% of the share capital eligible to vote at the shareholders’ meeting at which directors are to be elected, such eligibility to be established by filing with the Company a certification to that effect. The board of directors shall be elected as follows: (a) candidates for election as directors equal to the total number of seats on the board of directors minus one shall be drawn from the slate that has obtained the highest number of votes cast at the shareholders meeting (the Majority Slate), in the order in which their name is listed on the Majority Slate, (b) the first candidate listed on the slate that receives the second greatest number of votes cast (the Minority Slate) shall be elected as director so long as none of the shareholders joining in the submission of the Minority Slate has any connection whatsoever, whether directly or indirectly, with the shareholders who have submitted or voted the Majority Slate.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3" w:name="page164"/>
    <w:bookmarkEnd w:id="163"/>
    <w:p>
      <w:pPr>
        <w:jc w:val="both"/>
        <w:ind w:right="12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join in submitting, or cast their vote for more than one slate, including through a nominee or agent. Each candidate for election as director may only be listed on single slate and will be ineligible for election if named on multiple slates.</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directors to be filled as provided under clause (a) above, all candidates listed in the Majority Slate shall be elected as directors and the remaining directors shall be elected from the Minority Slate according to the order in which they are listed in such slate. The voting procedure according to slates described above shall be applicable only in case of election of the entire board of directors at the same shareholders’ meeting.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 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elected at the same shareholders’ meeting, or in case it is otherwise not possible for any reason to elect the board of directors in accordance with the provisions set out in our by-laws, the members of the board of directors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board of directors has all ordinary and extraordinary powers to manage our affairs as it deems advisable for the achievement of our corporate purposes, except for the actions reserved, by applicable law or the bylaws, to a vote of the shareholders at an ordinary or extraordinary shareholders’ meeting.</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If we cannot repay our creditors, and a court determines that our directors did not perform their duties regarding the preservation of our assets, the court may find our directors liable to our creditors. However,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in such a way that the same may not be sufficient to satisfy creditors’ claims.</w:t>
      </w:r>
    </w:p>
    <w:p>
      <w:pPr>
        <w:spacing w:after="0" w:line="20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If a chairman (</w:t>
      </w:r>
      <w:r>
        <w:rPr>
          <w:rFonts w:ascii="Arial" w:cs="Arial" w:eastAsia="Arial" w:hAnsi="Arial"/>
          <w:sz w:val="16"/>
          <w:szCs w:val="16"/>
          <w:i w:val="1"/>
          <w:iCs w:val="1"/>
          <w:color w:val="auto"/>
        </w:rPr>
        <w:t>presidente</w:t>
      </w:r>
      <w:r>
        <w:rPr>
          <w:rFonts w:ascii="Arial" w:cs="Arial" w:eastAsia="Arial" w:hAnsi="Arial"/>
          <w:sz w:val="16"/>
          <w:szCs w:val="16"/>
          <w:color w:val="auto"/>
        </w:rPr>
        <w:t>) has not already been elected by the shareholders, the board of directors must appoint one. The board of directors may appoint a vice-chairman. The chairman of the board of directors is the legal representative of the Company. Our board of directors may delegate certain powers to one or more managing directors (</w:t>
      </w:r>
      <w:r>
        <w:rPr>
          <w:rFonts w:ascii="Arial" w:cs="Arial" w:eastAsia="Arial" w:hAnsi="Arial"/>
          <w:sz w:val="16"/>
          <w:szCs w:val="16"/>
          <w:i w:val="1"/>
          <w:iCs w:val="1"/>
          <w:color w:val="auto"/>
        </w:rPr>
        <w:t>amministratori delegati</w:t>
      </w:r>
      <w:r>
        <w:rPr>
          <w:rFonts w:ascii="Arial" w:cs="Arial" w:eastAsia="Arial" w:hAnsi="Arial"/>
          <w:sz w:val="16"/>
          <w:szCs w:val="16"/>
          <w:color w:val="auto"/>
        </w:rPr>
        <w:t>), determine the nature and scope of the powers delegated to each such managing director and revoke such delegation at any time. Any managing director shall report to the board of directors and the board of statutory auditors at least every 180 days on the Company’s business and the principal business carried out by the Company or by its subsidiaries. Our board of directors may also appoint one or more general managers (</w:t>
      </w:r>
      <w:r>
        <w:rPr>
          <w:rFonts w:ascii="Arial" w:cs="Arial" w:eastAsia="Arial" w:hAnsi="Arial"/>
          <w:sz w:val="16"/>
          <w:szCs w:val="16"/>
          <w:i w:val="1"/>
          <w:iCs w:val="1"/>
          <w:color w:val="auto"/>
        </w:rPr>
        <w:t>direttori generali</w:t>
      </w:r>
      <w:r>
        <w:rPr>
          <w:rFonts w:ascii="Arial" w:cs="Arial" w:eastAsia="Arial" w:hAnsi="Arial"/>
          <w:sz w:val="16"/>
          <w:szCs w:val="16"/>
          <w:color w:val="auto"/>
        </w:rPr>
        <w:t>) who must report directly to the board and may delegate authority for specific matters or categories of matters to employees of the Company or persons unaffiliated with the Company. The general managers may be employees, and the board of directors may delegate certain powers to general managers that the board has not already delegated to managing directors or an executive committee, subject to the following limitations: under Italian law, the board of directors may not delegate to officers or employees of the Company certain responsibilities, including the preparation and approval of draft financial statements, the approval of merger and de-merger plans to be presented to shareholders’ meetings, increases in the amount of our share capital or the issuance of convertible debentures (if any of such powers has been delegated to our board of directors by our shareholders at an extraordinary shareholders’ meeting).</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Italian law, the members of the board of directors must perform the duties imposed on them by law and company’s bylaws with the degree of diligence that is required by the nature of their office and pursuant to their specific level of competence.</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Meetings of our board of directors are called with no less than four days’ notice or, in case of urgency, at least one day’s notice given by registered letter or e-mail sent by the chairman, the deputy chairman or a managing director. Statutory auditors are normally required to attend meetings of the board of directors, but if a meeting has been duly called, the board of directors may validly take action at the meeting even if the board of statutory auditors does not participate. If the meeting has not been duly called, the meeting is nevertheless validly constituted if all of the directors in office and all of the statutory auditors are in attendance.</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Meetings of our board of directors may be held in person, or by audio-conference or video-conference, in Italy and in any member state of the European Union or the United States. The quorum for meetings of our board of directors is a majority of the directors in office. Resolutions are adopted by the vote of the majority of the directors in attendance at a meeting at which a quorum is met.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4" w:name="page165"/>
    <w:bookmarkEnd w:id="164"/>
    <w:p>
      <w:pPr>
        <w:ind w:right="300" w:firstLine="648"/>
        <w:spacing w:after="0" w:line="286" w:lineRule="auto"/>
        <w:rPr>
          <w:sz w:val="20"/>
          <w:szCs w:val="20"/>
          <w:color w:val="auto"/>
        </w:rPr>
      </w:pPr>
      <w:r>
        <w:rPr>
          <w:rFonts w:ascii="Arial" w:cs="Arial" w:eastAsia="Arial" w:hAnsi="Arial"/>
          <w:sz w:val="17"/>
          <w:szCs w:val="17"/>
          <w:color w:val="auto"/>
        </w:rPr>
        <w:t>Our directors are not subject to the non-compete obligations provided by Italian law. As a result, our directors may (i) be equity holders in competing companies, including entities where they have unlimited liability, (ii) exercise in person or on behalf of third parties activities in competition with that of the Company, and (iii) be elected as directors of, or act as general managers (</w:t>
      </w:r>
      <w:r>
        <w:rPr>
          <w:rFonts w:ascii="Arial" w:cs="Arial" w:eastAsia="Arial" w:hAnsi="Arial"/>
          <w:sz w:val="17"/>
          <w:szCs w:val="17"/>
          <w:i w:val="1"/>
          <w:iCs w:val="1"/>
          <w:color w:val="auto"/>
        </w:rPr>
        <w:t>direttori generali</w:t>
      </w:r>
      <w:r>
        <w:rPr>
          <w:rFonts w:ascii="Arial" w:cs="Arial" w:eastAsia="Arial" w:hAnsi="Arial"/>
          <w:sz w:val="17"/>
          <w:szCs w:val="17"/>
          <w:color w:val="auto"/>
        </w:rPr>
        <w:t>) in, competing companies.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Under Italian law, directors having any interest in a proposed transaction must disclose their interest to the board of directors and to the board of statutory auditors, even if such interest is not in conflict with the Company’s interest in the same transaction. The interested director is not required to abstain from voting on the resolution approving the transaction, but the resolution must state explicitly the reasons for, and the benefit to us of, the approved transaction. If these provisions are not complied with, or if the transaction would not have been approved without the vote of the interested director, the resolution may be challenged by a director or by our board of statutory auditors if the approved transaction may be prejudicial to us. A director having any interest in a proposed transaction that he or she has authority to approve must solicit prior board approval of such transaction. The interested director may be held liable for damages to us resulting from a resolution adopted in breach of the above rules. Finally, directors may be held liable for damages to us if they illicitly profit from insider information or corporate opportunities.</w:t>
      </w:r>
    </w:p>
    <w:p>
      <w:pPr>
        <w:spacing w:after="0" w:line="205"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Our board of directors may transfer the Company’s registered office within Italy, set up and eliminate secondary offices and, if the company’s bylaws (as in our case) so provide, approve mergers by absorption into the Company of any subsidiary in which the Company holds at least 90% of the issued share capital. Our board of directors may also approve the issuance of shares or convertible debentures and reductions of the Company’s share capital in the case of withdrawal of a shareholder if so authorized by the Company’s extraordinary shareholders’ meeting.</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Under Italian law, directors may be removed from office at any time by the vote of shareholders at any shareholders’ meeting. Whilst the removal is immediately effective within the company, it is effective </w:t>
      </w:r>
      <w:r>
        <w:rPr>
          <w:rFonts w:ascii="Arial" w:cs="Arial" w:eastAsia="Arial" w:hAnsi="Arial"/>
          <w:sz w:val="17"/>
          <w:szCs w:val="17"/>
          <w:i w:val="1"/>
          <w:iCs w:val="1"/>
          <w:color w:val="auto"/>
        </w:rPr>
        <w:t>vis-à-vis</w:t>
      </w:r>
      <w:r>
        <w:rPr>
          <w:rFonts w:ascii="Arial" w:cs="Arial" w:eastAsia="Arial" w:hAnsi="Arial"/>
          <w:sz w:val="17"/>
          <w:szCs w:val="17"/>
          <w:color w:val="auto"/>
        </w:rPr>
        <w:t xml:space="preserve"> third parties only upon entry of the relevant resolution in the companies register. The resolution of the shareholders’ meeting in favor of a liability suit against a director and the occurrence of causes of ineligibility constitute just cause for removal. If the removal of a director occurs without just cause, such director may have a claim for damages against us. These damages may include, but are not limited to, compensation that would otherwise have been paid to the director for the remainder of his or her term and damage to his or her reputation. Directors may resign at any time by written notice to the board of directors and to the chairman of the board of statutory auditors. The board of directors must appoint substitute directors to fill vacancies arising from the removal or resignation of any director, subject to the approval of the board of statutory auditors, to serve until the next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members of the board of directors (or the board of statutory auditors if all members of the board of directors have resigned or cease to be directors) must promptly call a shareholders’ meeting to elect new directors.</w:t>
      </w:r>
    </w:p>
    <w:p>
      <w:pPr>
        <w:spacing w:after="0" w:line="20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Compensation, Nomination and Governance Committee will recommend the compensation of our directors to the board of directors, which in turn will make recommendations to our shareholders. Under Italian law, our shareholders determine the compensation of our directors relating to basic board service, such as annual fees for serving on the board and/or fees for attending board meetings. The board of directors, after consultation with the board of statutory auditors, may determine the remuneration of directors that serve on the various board committees and/or perform management or other special services for the Company, such as managing directors and general directors. Our directors are entitled to reimbursement for expenses incurred in connection with their service as directors, such as travel expenses to attend board meetings.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The board of statutory auditors (</w:t>
      </w:r>
      <w:r>
        <w:rPr>
          <w:rFonts w:ascii="Arial" w:cs="Arial" w:eastAsia="Arial" w:hAnsi="Arial"/>
          <w:sz w:val="17"/>
          <w:szCs w:val="17"/>
          <w:i w:val="1"/>
          <w:iCs w:val="1"/>
          <w:color w:val="auto"/>
        </w:rPr>
        <w:t>Collegio Sindacale</w:t>
      </w:r>
      <w:r>
        <w:rPr>
          <w:rFonts w:ascii="Arial" w:cs="Arial" w:eastAsia="Arial" w:hAnsi="Arial"/>
          <w:sz w:val="17"/>
          <w:szCs w:val="17"/>
          <w:color w:val="auto"/>
        </w:rPr>
        <w:t>) is elected by the shareholders and must be comprised of individuals qualified to act in such capacity under Italian law. Statutory auditors are elected for a term of three fiscal years, they may be re-elected for successive terms and may be removed only for cause and with the approval of a competent court. Each member of the board of statutory auditors must provide evidence that such individual is qualified to act in such capacity under Italian law and meets certain professional standards.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5" w:name="page166"/>
    <w:bookmarkEnd w:id="165"/>
    <w:p>
      <w:pPr>
        <w:ind w:right="200" w:firstLine="648"/>
        <w:spacing w:after="0" w:line="259" w:lineRule="auto"/>
        <w:rPr>
          <w:sz w:val="20"/>
          <w:szCs w:val="20"/>
          <w:color w:val="auto"/>
        </w:rPr>
      </w:pPr>
      <w:r>
        <w:rPr>
          <w:rFonts w:ascii="Arial" w:cs="Arial" w:eastAsia="Arial" w:hAnsi="Arial"/>
          <w:sz w:val="18"/>
          <w:szCs w:val="18"/>
          <w:color w:val="auto"/>
        </w:rPr>
        <w:t>Under Italian law, at least one standing statutory auditor and one substitute statutory auditor must be chosen among persons registered with the Register of Auditors established with the Italian Ministry of Justice. The other statutory auditors shall be chosen among those registered with any register established by decree of the Ministry of Justice or among University professors in economics or law, if they are not registered with the Register of Auditors. The following persons may not serve as statutory auditors:</w:t>
      </w:r>
    </w:p>
    <w:p>
      <w:pPr>
        <w:spacing w:after="0" w:line="214"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person legally incapacitated, bankrupt, or disqualified from holding public or an executive office under Italian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spouse, parent or relative-in-law of a director of the company or an affiliate of the company; and</w:t>
      </w:r>
    </w:p>
    <w:p>
      <w:pPr>
        <w:spacing w:after="0" w:line="184"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person whose independence may be impaired due to an employment or consulting relationship or any other economic relationship with the company or an affiliate of the company.</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bylaws currently provides that the board of statutory auditors shall consist of three standing statutory auditors and two alternate auditors (who will automatically replace a statutory auditor who resigns or is otherwise unable to serve).</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Following the expiration of the members of the board of statutory auditors currently in office, future members will be elected by means of a slate voting mechanism: slates may be submitted by shareholders representing, individually or collectively with other shareholders joining in the submission of the slate, at least 6% of share capital eligible to vote at the shareholders’ meeting at which auditors are to be elected, such eligibility to be established by filing with the Company an appropriate certification to that effect. The slates of candidates shall be split into two sections, one for candidates for the position of statutory auditor and one for candidates for the position of alternate auditor. According to the Company’s bylaws, the board of statutory auditors will be elected as follows: (a) two statutory auditors and one alternate auditor shall be drawn from the slate that has obtained the highest number of votes on the shareholders meeting (the Majority Slate), in the order in which their name is listed in the Majority Slate, and(b) the remaining statutory auditor (who will act as President of the board of statutory auditors) and alternate auditor shall be drawn from the slate that receives the second greatest number of votes cast (the Minority Slate) so long as none of the shareholders joining in the submission of the Minority Slate has any connection whatsoever, whether directly or indirectly, with the shareholders who have submitted or voted the Majority Slate.</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join in submitting, or cast their vote for more than one slate, including through a nominee or agent. Each candidate for election as statutory auditor or alternate auditor may only be listed on single slate and will be ineligible for election if named on multiple slates.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statutory auditors to be filled as provided under paragraph (a) above, all candidates listed in the Majority Slate shall be elected statutory auditors and the remaining statutory auditors shall be drawn from the Minority Slate according to the order in which they are listed in such slate. The voting procedure according to slates provided above shall be applicable only in case of election of the entire board of statutory auditors.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statutory auditors shall be elected from that slate in accordance with applicable law at the time. If no slates are submitted, or a single slate is submitted and such slate does not obtain the requisite number of votes, or the number of statutory auditors to be elected on the basis of the slates submitted is less than the full number of statutory auditors to be elected, or the board of statutory auditors is not to be entirely elected, or it is otherwise not possible for any reason to elect the board of statutory auditors in accordance with the provisions of this title, the members of the board of statutory auditors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In the event of the resignation or removal termination of a member of the board of statutory auditors who was drawn from the Majority Slate or from the Minority Slate, as the case may be, alternate statutory auditors drawn from the same slate shall fill the vacancy, with older alternates being seated before younger alternates, subject to compliance with the requirements of our bylaws regarding the composition of the board of statutory auditors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statutory auditors is required, among other things, to verify that we:</w:t>
      </w:r>
    </w:p>
    <w:p>
      <w:pPr>
        <w:spacing w:after="0" w:line="252"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comply with applicable laws and our bylaws;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respect principles of good governance;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maintain adequate organizational structure, internal controls and administrative and accounting system.</w:t>
      </w:r>
    </w:p>
    <w:p>
      <w:pPr>
        <w:spacing w:after="0" w:line="252"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The board of statutory auditors is required to meet at least once every ninety days and is expected to attend meetings of our board of directors and our shareholders. In case a statutory auditor, without just cause, does not attend the shareholders’ meetings or does not attend two consecutive meetings of the board of directors or of the board of statutory auditors during the same fiscal year, such statutory auditor shall automatically be removed from office.</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statutory auditors may decide to call a shareholders’ meeting, ask for information about our management from our directors, carry out inspections and verifications at our offices and exchange information with our external auditors. Any shareholder may submit a complaint to our board of statutory auditors regarding facts that the shareholder believes should be investigated and if shareholders collectively representing 5% of our corporate capital, or 2% of the corporate capital should our company be classified as an Open Company (as defined in Section “Applicable Laws”), submit such a complaint, our board of statutory auditors must promptly undertake an investigation and present its findings and any recommendations to a shareholders’ meeting (which must be convened immediately if the complaint appears to have a reasonable basis and there is an urgent need to take action). Our board of statutory auditors may report serious breaches of directors’ duties to a competent court which then may take such actions as inspecting the company’s operations, removing directors, appointing temporary administrators to manage the company or any other actions that the court feels is necessary to preserve the value of our company for our creditors and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578"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External auditor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Mayer Hoffman McCann, P.C. remains the PCAOB-registered, independent registered public accounting firm for the purposes of all of our filings in the United States; however, Italian law requires us to appoint an external auditor or a firm of external auditors (</w:t>
      </w:r>
      <w:r>
        <w:rPr>
          <w:rFonts w:ascii="Arial" w:cs="Arial" w:eastAsia="Arial" w:hAnsi="Arial"/>
          <w:sz w:val="18"/>
          <w:szCs w:val="18"/>
          <w:i w:val="1"/>
          <w:iCs w:val="1"/>
          <w:color w:val="auto"/>
        </w:rPr>
        <w:t>revisore legale dei conti</w:t>
      </w:r>
      <w:r>
        <w:rPr>
          <w:rFonts w:ascii="Arial" w:cs="Arial" w:eastAsia="Arial" w:hAnsi="Arial"/>
          <w:sz w:val="18"/>
          <w:szCs w:val="18"/>
          <w:color w:val="auto"/>
        </w:rPr>
        <w:t>), each of them qualified to act in such capacity under Italian law, to verify during the fiscal year that our accounting records are correctly kept and accurately reflect our activities, and to audit our financial statements for statutory filings.This is separate and apart from the work of Mayer Hoffman McCann, P.C. The Italian external auditor’s opinion on the financial statements must be published in Italy.</w:t>
      </w:r>
    </w:p>
    <w:p>
      <w:pPr>
        <w:spacing w:after="0" w:line="21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Italian external auditor is appointed for a three-year term by the vote of our shareholders at an ordinary shareholders’ meeting. Once appointed, the shareholders may remove the auditors only for cause and with the approval of the board of statutory auditors and of a competent court. Following removal, the Company and the external auditor or auditing firm must timely inform the Italian Ministry of Economics and Finance, explaining the reasons justifying the removal. In case we are considered an Open Company, such communication must be notified also to Consob.</w:t>
      </w:r>
    </w:p>
    <w:p>
      <w:pPr>
        <w:spacing w:after="0" w:line="198"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On May 20, 2021, our shareholders appointed Kreston GV Italy – Audit S.r.l., subject to the effective listing of the Company on the Nasdaq Capital Market, as our Italian external auditors for three-year term expiring at the time of the annual shareholders meeting to approve the financial statement for the financial year ending on December 31,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are entitled to attend and vote at ordinary and extraordinary shareholders’ meetings. Votes may be cast personally or by proxy. Shareholders’ meetings may be called by the board of directors (or by the board of statutory auditors) and must be called if requested by holders of at least 10% of the outstanding shares. Shareholders are not entitled to request that a meeting of shareholders be convened to vote on issues which as a matter of law fall within the authority of the board of directors. If the shareholders’ meeting is not called despite a shareholders’ request and such refusal is unjustified, a competent court may call the meeting.</w:t>
      </w:r>
    </w:p>
    <w:p>
      <w:pPr>
        <w:spacing w:after="0" w:line="21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hold meetings of shareholders at our registered office, or elsewhere within Italy and any member state of the European Union or in the United States. Our bylaws provides that shareholders’ meetings, both ordinary and extraordinary, shall be called by notice published in the Italian daily newspaper “Il Sole 24 Ore” at least 15 days prior to the date of the meeting or otherwise given by our Company, provided that so long as the Company is allowed by applicable Italian law, by sending, either in the alternative or in addition to the foregoing published notice, a notice to the shareholders, to the members of the board of directors and to the members of the board of statutory auditors, by: (a) registered mail with return receipt requested; (b) e-mail with electronic acknowledgment of receipt; as long as the notice is received by the addressee at least eight calendar days before the date set for the meeting with evidence thereof as provided above. The notice shall also be posted on our Company’s web site. However, if the above procedures are not complied with, the shareholders’ meeting will still be deemed validly held if all outstanding shares are represented, all other holders having the right to vote are present and a majority of the board of directors and the board of statutory auditors are in attendance; provided that in such event, any shareholder or other participant present may object to the discussion of items with respect to which he/she does not deem to have been adequately informed.</w:t>
      </w:r>
    </w:p>
    <w:p>
      <w:pPr>
        <w:spacing w:after="0" w:line="19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must convene an ordinary shareholders’ meeting at least once a year. Our annual stand-alone financial statements are prepared by the board of directors and submitted for approval to the ordinary shareholders’ meeting, which must be convened within 120 days after the end of the fiscal year to which such financial statements relate. This term may be extended by up to 180 days after the end of the fiscal year, as long as the Company continues to be bound by law to draw up financial statements or if particular circumstances concerning our structure or our purposes so require. At ordinary shareholders’ meetings, our shareholders also appoint the external auditors, approve any distribution of dividends that have been proposed by our board of directors, elect our board of directors and statutory auditors, determine their remuneration and vote on any business matter for which resolution or authorization is entrusted to the shareholders by law.</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67" w:name="page168"/>
    <w:bookmarkEnd w:id="167"/>
    <w:p>
      <w:pPr>
        <w:ind w:firstLine="648"/>
        <w:spacing w:after="0" w:line="271" w:lineRule="auto"/>
        <w:rPr>
          <w:sz w:val="20"/>
          <w:szCs w:val="20"/>
          <w:color w:val="auto"/>
        </w:rPr>
      </w:pPr>
      <w:r>
        <w:rPr>
          <w:rFonts w:ascii="Arial" w:cs="Arial" w:eastAsia="Arial" w:hAnsi="Arial"/>
          <w:sz w:val="17"/>
          <w:szCs w:val="17"/>
          <w:color w:val="auto"/>
        </w:rPr>
        <w:t>We may call extraordinary shareholders’ meetings to vote upon spin-offs, split-ups, dissolutions, appointment of receivers and similar extraordinary actions. We may also call extraordinary shareholders’ meetings to vote upon proposed amendments to our bylaws, issuance of convertible debentures, mergers and de-mergers and capital increases and reductions, if such actions may not be authorized by the board of directors without shareholder approval. The board of directors has the authority to transfer our registered office within Italy, authorize, on a non-exclusive basis, amendments to our bylaws that are required by law, authorize mergers by absorption to our subsidiaries in which we hold all or at least 90% of the outstanding shares, if the Company’s bylaws (as in our case) so provide, authorize reductions of our share capital in case of withdrawal of a shareholder and indicate who among the directors is our legal representative. If the shareholders authorize the issuance of shares or other securities at an extraordinary meeting, they may delegate the power to make specific issuances to the board of directors.</w:t>
      </w:r>
    </w:p>
    <w:p>
      <w:pPr>
        <w:spacing w:after="0" w:line="205"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Once our shareholders have authorized the issuance of securities, the securities that have been subscribed must be fully paid for before the shareholders may authorize the issuance of additional securities, unless the shareholders meet and vote to cancel those authorized but unsubscribed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of our shareholders’ meeting may specify two or more meeting dates for an ordinary or extraordinary shareholders’ meeting.</w:t>
      </w:r>
    </w:p>
    <w:p>
      <w:pPr>
        <w:spacing w:after="0" w:line="26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quorum for an ordinary meeting of our shareholders on the first call, also in the event we are considered an Open Company, is at least 50% of the outstanding ordinary shares, while on second call there is no quorum requirement. In either case, resolutions may be adopted with the majority of ordinary shares in attendance or represented at the meeting. The quorum for an extraordinary shareholders’ meeting is more than half of the outstanding ordinary shares on the first call and more than one-third of the outstanding shares on second call. Extraordinary shareholders’ meeting resolutions may be adopted with the majority of the outstanding ordinary shares on first call and at least two-thirds of the holders of shares in attendance or represented at the meeting on second call. In the event we are considered an Open Company, the quorum for an extraordinary shareholders’ meeting is, on first call, the majority of at least two-thirds of the shares present or represented at such meeting, provided that a quorum of at least half of the share capital is attending; on second call, the majority of at least two-thirds of the shares present or represented at such meeting, provided that a quorum of more than one-third of the share capital is attending. In addition, certain matters (such as, for example, a change in our corporate purpose, the transfer of our registered office outside Italy or our liquidation prior to the date set forth in our bylaws) must be adopted by shareholders representing more than one-third of the outstanding ordinary shares (not just the ordinary shares in attendance or represented at the meeting).</w:t>
      </w:r>
    </w:p>
    <w:p>
      <w:pPr>
        <w:spacing w:after="0" w:line="19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Shareholders are entitled to one vote per ordinary share. Neither Italian law nor our bylaws limit the right of non-resident or foreign owners to hold or vote their shares. Shareholders do not need to present their share certificates (due to the fact that our shares are not represented by share certificates) but the entitlement to attend the meetings is then proven by exhibition of the certificate or communication to the Company made by the intermediary (banks and other financial institutions) which manages the electronical register whereby ownership of the shares, their transfer, the related rights and restrictions on shares (if any) are recorded.</w:t>
      </w:r>
    </w:p>
    <w:p>
      <w:pPr>
        <w:spacing w:after="0" w:line="215"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Shareholders may appoint proxies or attorneys-in-fact by delivering in writing the proxies to represent them in an ordinary or extraordinary shareholders’ meeting. Our directors, auditors and employees may not be proxies. Italian law provides that no proxy may represent more than twenty shareholders prior to the company “seeking access to the risk capital market.” It is unsettled whether listing shares on a stock exchange outside of the European Union constitutes “seeking access to the risk capital market” for this purpose.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5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considerations. Those who exercise their preemptive rights, provided they make such request simultaneously, have a pre-emption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i w:val="1"/>
          <w:iCs w:val="1"/>
          <w:color w:val="auto"/>
        </w:rPr>
        <w:t>Preference shares; other securities</w:t>
      </w:r>
    </w:p>
    <w:p>
      <w:pPr>
        <w:spacing w:after="0" w:line="25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Italian law permits us to issue preference shares with limited voting rights, other classes of equity securities with different economic and voting rights, shares with economic rights related to the results of the corporate activity in a specific sector, “participation instruments” with limited economic and voting rights against the contribution, by shareholders or third-parties, of work or services, as well as “participation instruments” in favor of employees.</w:t>
      </w:r>
    </w:p>
    <w:p>
      <w:pPr>
        <w:spacing w:after="0" w:line="17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spacing w:after="0" w:line="19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“Participation instruments” may include convertible equity and/or “hybrid” instruments that confer on the holder the right to vote on specific matters and/or grants economic rights, to be determined at the time of the issuance of such instruments, or management rights, such as the right to appoint, in accordance with the procedures established by the bylaws, an independent member of the board of directors or a statutory auditor.</w:t>
      </w:r>
    </w:p>
    <w:p>
      <w:pPr>
        <w:spacing w:after="0" w:line="19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Debt-equity ratio</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Arial" w:cs="Arial" w:eastAsia="Arial" w:hAnsi="Arial"/>
          <w:sz w:val="16"/>
          <w:szCs w:val="16"/>
          <w:i w:val="1"/>
          <w:iCs w:val="1"/>
          <w:color w:val="auto"/>
        </w:rPr>
        <w:t>valore nominale</w:t>
      </w:r>
      <w:r>
        <w:rPr>
          <w:rFonts w:ascii="Arial" w:cs="Arial" w:eastAsia="Arial" w:hAnsi="Arial"/>
          <w:sz w:val="16"/>
          <w:szCs w:val="16"/>
          <w:color w:val="auto"/>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i w:val="1"/>
          <w:iCs w:val="1"/>
          <w:color w:val="auto"/>
        </w:rPr>
        <w:t>Reduction of equity by losses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Italian law requires us to reduce our shareholders’ equity in certain situations. Our shareholders’ equity has three main components: capital, legal reserves and other shareholders’ equity (such as share premium and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among others, either reducing the legal reserves and capital by the amount of the remaining losses, or carrying the losses forward for up to one year. If the shareholders vote to elect to carry the losses forward for up to one year, and the losses are still more than one-third of the amount of the capital at the end of the year, then we must reduce our capital by the amount of the losses.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present intention to enter into any such transaction and no such transaction is currently in effect.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shares by us (Treasury Stocks)</w:t>
      </w:r>
    </w:p>
    <w:p>
      <w:pPr>
        <w:spacing w:after="0" w:line="25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in lack,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hold any of its shares.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i w:val="1"/>
          <w:iCs w:val="1"/>
          <w:color w:val="auto"/>
        </w:rPr>
        <w:t>Notification of the acquisition of shares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spacing w:after="0" w:line="21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 xml:space="preserve">In addition, if we fall under the scope of the Law Decree No. 21 of March 15, 2012 (so-called Italian </w:t>
      </w:r>
      <w:r>
        <w:rPr>
          <w:rFonts w:ascii="Arial" w:cs="Arial" w:eastAsia="Arial" w:hAnsi="Arial"/>
          <w:sz w:val="16"/>
          <w:szCs w:val="16"/>
          <w:i w:val="1"/>
          <w:iCs w:val="1"/>
          <w:color w:val="auto"/>
        </w:rPr>
        <w:t>“Golden Power” regulations</w:t>
      </w:r>
      <w:r>
        <w:rPr>
          <w:rFonts w:ascii="Arial" w:cs="Arial" w:eastAsia="Arial" w:hAnsi="Arial"/>
          <w:sz w:val="16"/>
          <w:szCs w:val="16"/>
          <w:color w:val="auto"/>
        </w:rPr>
        <w:t xml:space="preserve">), as subsequently amended and supplemented, (i) certain resolutions of the Company and, if specific thresholds requirements are met, (ii) certain third-party investors’ purchases of our shares may be subject to </w:t>
      </w:r>
      <w:r>
        <w:rPr>
          <w:rFonts w:ascii="Arial" w:cs="Arial" w:eastAsia="Arial" w:hAnsi="Arial"/>
          <w:sz w:val="16"/>
          <w:szCs w:val="16"/>
          <w:i w:val="1"/>
          <w:iCs w:val="1"/>
          <w:color w:val="auto"/>
        </w:rPr>
        <w:t>ad hoc</w:t>
      </w:r>
      <w:r>
        <w:rPr>
          <w:rFonts w:ascii="Arial" w:cs="Arial" w:eastAsia="Arial" w:hAnsi="Arial"/>
          <w:sz w:val="16"/>
          <w:szCs w:val="16"/>
          <w:color w:val="auto"/>
        </w:rPr>
        <w:t xml:space="preserve"> notifications to the Italian Government and this latter may object to the transaction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particular, in such cases the Government would have, </w:t>
      </w:r>
      <w:r>
        <w:rPr>
          <w:rFonts w:ascii="Arial" w:cs="Arial" w:eastAsia="Arial" w:hAnsi="Arial"/>
          <w:sz w:val="18"/>
          <w:szCs w:val="18"/>
          <w:i w:val="1"/>
          <w:iCs w:val="1"/>
          <w:color w:val="auto"/>
        </w:rPr>
        <w:t>among others</w:t>
      </w:r>
      <w:r>
        <w:rPr>
          <w:rFonts w:ascii="Arial" w:cs="Arial" w:eastAsia="Arial" w:hAnsi="Arial"/>
          <w:sz w:val="18"/>
          <w:szCs w:val="18"/>
          <w:color w:val="auto"/>
        </w:rPr>
        <w:t>:</w:t>
      </w:r>
    </w:p>
    <w:p>
      <w:pPr>
        <w:spacing w:after="0" w:line="252" w:lineRule="exact"/>
        <w:rPr>
          <w:sz w:val="20"/>
          <w:szCs w:val="20"/>
          <w:color w:val="auto"/>
        </w:rPr>
      </w:pPr>
    </w:p>
    <w:p>
      <w:pPr>
        <w:ind w:right="420" w:firstLine="656"/>
        <w:spacing w:after="0" w:line="277" w:lineRule="auto"/>
        <w:tabs>
          <w:tab w:leader="none" w:pos="86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power to veto or to impose specific conditions with respect to the acquisition of certain shareholdings by any foreign entity outside the European Union with respect to companies having assets and business in sectors of strategic importance; and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power to veto or impose specific conditions with regard to the adoption of specific corporate resolutions, acts or transactions by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shareholders’ rights; withdrawal rights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resolutions which are not adopted in conformity with applicable law or our bylaws may be challenged (with certain limitations and exceptions) within 90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spacing w:after="0" w:line="21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prospectus.</w:t>
      </w:r>
    </w:p>
    <w:p>
      <w:pPr>
        <w:spacing w:after="0" w:line="20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Any shareholder may bring to the attention of the board of statutory auditors facts or acts which such shareholder deems wrongful. If such shareholders represent at least 5% of our share capital, or in case we are considered an Open Company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Applicable Laws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the date of this prospectus and upon completion of this offering, the Company is and will be governed by the corporate laws of Italy, and is and will be legally considered and treated, according to the Italian Civil Code, as a private company being our shares not listed on a regulated market in Italy or within the European Union.</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It should be noted that under Italian corporate law, while joint-stock companies are all the same type of legal entity, there is a distinction between those companies that do not have access to the capital markets (</w:t>
      </w:r>
      <w:r>
        <w:rPr>
          <w:rFonts w:ascii="Arial" w:cs="Arial" w:eastAsia="Arial" w:hAnsi="Arial"/>
          <w:sz w:val="18"/>
          <w:szCs w:val="18"/>
          <w:i w:val="1"/>
          <w:iCs w:val="1"/>
          <w:color w:val="auto"/>
        </w:rPr>
        <w:t>Private Companies</w:t>
      </w:r>
      <w:r>
        <w:rPr>
          <w:rFonts w:ascii="Arial" w:cs="Arial" w:eastAsia="Arial" w:hAnsi="Arial"/>
          <w:sz w:val="18"/>
          <w:szCs w:val="18"/>
          <w:color w:val="auto"/>
        </w:rPr>
        <w:t>) and companies that have such access. This latter category comprises both companies listed on European regulated markets (</w:t>
      </w:r>
      <w:r>
        <w:rPr>
          <w:rFonts w:ascii="Arial" w:cs="Arial" w:eastAsia="Arial" w:hAnsi="Arial"/>
          <w:sz w:val="18"/>
          <w:szCs w:val="18"/>
          <w:i w:val="1"/>
          <w:iCs w:val="1"/>
          <w:color w:val="auto"/>
        </w:rPr>
        <w:t>Public Companies</w:t>
      </w:r>
      <w:r>
        <w:rPr>
          <w:rFonts w:ascii="Arial" w:cs="Arial" w:eastAsia="Arial" w:hAnsi="Arial"/>
          <w:sz w:val="18"/>
          <w:szCs w:val="18"/>
          <w:color w:val="auto"/>
        </w:rPr>
        <w:t>) and companies whose securities are not listed on such markets, insofar as they have completed a significant distribution of their securities among the public (so-called “</w:t>
      </w:r>
      <w:r>
        <w:rPr>
          <w:rFonts w:ascii="Arial" w:cs="Arial" w:eastAsia="Arial" w:hAnsi="Arial"/>
          <w:sz w:val="18"/>
          <w:szCs w:val="18"/>
          <w:i w:val="1"/>
          <w:iCs w:val="1"/>
          <w:color w:val="auto"/>
        </w:rPr>
        <w:t>emittenti aventi strumenti finanziari diffusi tra il pubblico in</w:t>
      </w:r>
      <w:r>
        <w:rPr>
          <w:rFonts w:ascii="Arial" w:cs="Arial" w:eastAsia="Arial" w:hAnsi="Arial"/>
          <w:sz w:val="18"/>
          <w:szCs w:val="18"/>
          <w:color w:val="auto"/>
        </w:rPr>
        <w:t xml:space="preserve"> </w:t>
      </w:r>
      <w:r>
        <w:rPr>
          <w:rFonts w:ascii="Arial" w:cs="Arial" w:eastAsia="Arial" w:hAnsi="Arial"/>
          <w:sz w:val="18"/>
          <w:szCs w:val="18"/>
          <w:i w:val="1"/>
          <w:iCs w:val="1"/>
          <w:color w:val="auto"/>
        </w:rPr>
        <w:t>maniera rilevante</w:t>
      </w:r>
      <w:r>
        <w:rPr>
          <w:rFonts w:ascii="Arial" w:cs="Arial" w:eastAsia="Arial" w:hAnsi="Arial"/>
          <w:sz w:val="18"/>
          <w:szCs w:val="18"/>
          <w:color w:val="auto"/>
        </w:rPr>
        <w:t>”), according to the relevant provisions set forth in Italian Financials’ Consolidated Act and its implementing provisions (</w:t>
      </w:r>
      <w:r>
        <w:rPr>
          <w:rFonts w:ascii="Arial" w:cs="Arial" w:eastAsia="Arial" w:hAnsi="Arial"/>
          <w:sz w:val="18"/>
          <w:szCs w:val="18"/>
          <w:i w:val="1"/>
          <w:iCs w:val="1"/>
          <w:color w:val="auto"/>
        </w:rPr>
        <w:t>Open Companies</w:t>
      </w:r>
      <w:r>
        <w:rPr>
          <w:rFonts w:ascii="Arial" w:cs="Arial" w:eastAsia="Arial" w:hAnsi="Arial"/>
          <w:sz w:val="18"/>
          <w:szCs w:val="18"/>
          <w:color w:val="auto"/>
        </w:rPr>
        <w:t>).</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Article 2-bis of the Issuer’s Regulation implemented by Consob (</w:t>
      </w:r>
      <w:r>
        <w:rPr>
          <w:rFonts w:ascii="Arial" w:cs="Arial" w:eastAsia="Arial" w:hAnsi="Arial"/>
          <w:sz w:val="18"/>
          <w:szCs w:val="18"/>
          <w:i w:val="1"/>
          <w:iCs w:val="1"/>
          <w:color w:val="auto"/>
        </w:rPr>
        <w:t>Regolamento emittenti</w:t>
      </w:r>
      <w:r>
        <w:rPr>
          <w:rFonts w:ascii="Arial" w:cs="Arial" w:eastAsia="Arial" w:hAnsi="Arial"/>
          <w:sz w:val="18"/>
          <w:szCs w:val="18"/>
          <w:color w:val="auto"/>
        </w:rPr>
        <w:t>), Open Companies must meet the following requirements:</w:t>
      </w:r>
    </w:p>
    <w:p>
      <w:pPr>
        <w:spacing w:after="0" w:line="197" w:lineRule="exact"/>
        <w:rPr>
          <w:sz w:val="20"/>
          <w:szCs w:val="20"/>
          <w:color w:val="auto"/>
        </w:rPr>
      </w:pPr>
    </w:p>
    <w:p>
      <w:pPr>
        <w:ind w:left="980" w:hanging="324"/>
        <w:spacing w:after="0"/>
        <w:tabs>
          <w:tab w:leader="none" w:pos="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having at least 500 shareholders in addition to the majority shareholders who hold at least 5% of the outstanding share capital; and</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exceeding at least two out of the following three thresholds:</w:t>
      </w:r>
    </w:p>
    <w:p>
      <w:pPr>
        <w:spacing w:after="0" w:line="279" w:lineRule="exact"/>
        <w:rPr>
          <w:rFonts w:ascii="Arial" w:cs="Arial" w:eastAsia="Arial" w:hAnsi="Arial"/>
          <w:sz w:val="18"/>
          <w:szCs w:val="18"/>
          <w:color w:val="auto"/>
        </w:rPr>
      </w:pPr>
    </w:p>
    <w:p>
      <w:pPr>
        <w:ind w:left="1620" w:hanging="316"/>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total assets side of €4.4 million;</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total revenues of €8.8 million; and,</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 average of 50 employees during the year.</w:t>
      </w:r>
    </w:p>
    <w:p>
      <w:pPr>
        <w:spacing w:after="0" w:line="2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If, following completion of this offering, we issue financial instruments widely distributed among the public, the regulation relating to Open Companies could apply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have reserved the symbol “GNTA” for purposes of listing the ADSs on the Nasdaq Capital Market and have applied to list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of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 register is currently kept by Spafid S.p.A., which acts as registrar. The share register reflects only record owners of our ordinary shares.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will represent one share (or a right to receive one share) deposited with The Bank of New York Mellon, as custodian, acting through an office located in the United Kingdom.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Italian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9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the heading “Where You Can Find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3" w:name="page174"/>
    <w:bookmarkEnd w:id="173"/>
    <w:p>
      <w:pPr>
        <w:ind w:firstLine="648"/>
        <w:spacing w:after="0" w:line="290" w:lineRule="auto"/>
        <w:rPr>
          <w:sz w:val="20"/>
          <w:szCs w:val="20"/>
          <w:color w:val="auto"/>
        </w:rPr>
      </w:pPr>
      <w:r>
        <w:rPr>
          <w:rFonts w:ascii="Arial" w:cs="Arial" w:eastAsia="Arial" w:hAnsi="Arial"/>
          <w:sz w:val="16"/>
          <w:szCs w:val="16"/>
          <w:i w:val="1"/>
          <w:iCs w:val="1"/>
          <w:color w:val="auto"/>
        </w:rPr>
        <w:t>Rights to purchase additional shares</w:t>
      </w:r>
      <w:r>
        <w:rPr>
          <w:rFonts w:ascii="Arial" w:cs="Arial" w:eastAsia="Arial" w:hAnsi="Arial"/>
          <w:sz w:val="16"/>
          <w:szCs w:val="16"/>
          <w:color w:val="auto"/>
        </w:rPr>
        <w:t>. If we offer holders of our securities any rights to subscribe for additional shares or any other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5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Italy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204"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Except by instructing the depositary as described above, you will not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21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7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1080"/>
        <w:spacing w:after="0"/>
        <w:tabs>
          <w:tab w:leader="none" w:pos="8680" w:val="left"/>
        </w:tabs>
        <w:rPr>
          <w:sz w:val="20"/>
          <w:szCs w:val="20"/>
          <w:color w:val="auto"/>
        </w:rPr>
      </w:pPr>
      <w:r>
        <w:rPr>
          <w:rFonts w:ascii="Arial" w:cs="Arial" w:eastAsia="Arial" w:hAnsi="Arial"/>
          <w:sz w:val="14"/>
          <w:szCs w:val="14"/>
          <w:b w:val="1"/>
          <w:bCs w:val="1"/>
          <w:i w:val="1"/>
          <w:iCs w:val="1"/>
          <w:color w:val="auto"/>
        </w:rPr>
        <w:t>Persons depositing or withdrawing shares or ADS holders must pay:</w:t>
      </w:r>
      <w:r>
        <w:rPr>
          <w:sz w:val="20"/>
          <w:szCs w:val="20"/>
          <w:color w:val="auto"/>
        </w:rPr>
        <w:tab/>
      </w:r>
      <w:r>
        <w:rPr>
          <w:rFonts w:ascii="Arial" w:cs="Arial" w:eastAsia="Arial" w:hAnsi="Arial"/>
          <w:sz w:val="13"/>
          <w:szCs w:val="13"/>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 fee equivalent to the fee that would be payable if securities distributed to you had been shares and the shares had been deposited for issuance of ADSs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 per calendar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securities distributed to holders of deposited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securities (including rights) that are distributed by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Cable (including SWIFT) and facsimile transmissions (when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expressly provided in the deposit agreement)Converting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to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ectPr>
          <w:pgSz w:w="11900" w:h="16838" w:orient="portrait"/>
          <w:cols w:equalWidth="0" w:num="2">
            <w:col w:w="6040" w:space="380"/>
            <w:col w:w="4800"/>
          </w:cols>
          <w:pgMar w:left="320" w:top="715" w:right="359" w:bottom="1440" w:gutter="0" w:footer="0" w:header="0"/>
          <w:type w:val="continuous"/>
        </w:sectPr>
      </w:pPr>
    </w:p>
    <w:bookmarkStart w:id="175" w:name="page176"/>
    <w:bookmarkEnd w:id="175"/>
    <w:p>
      <w:pPr>
        <w:ind w:firstLine="648"/>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22"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5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6" w:name="page177"/>
    <w:bookmarkEnd w:id="176"/>
    <w:p>
      <w:pPr>
        <w:jc w:val="both"/>
        <w:ind w:right="20" w:firstLine="648"/>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1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w:t>
      </w:r>
      <w:r>
        <w:rPr>
          <w:rFonts w:ascii="Arial" w:cs="Arial" w:eastAsia="Arial" w:hAnsi="Arial"/>
          <w:sz w:val="17"/>
          <w:szCs w:val="17"/>
          <w:i w:val="1"/>
          <w:iCs w:val="1"/>
          <w:color w:val="auto"/>
        </w:rPr>
        <w:t>the</w:t>
      </w:r>
      <w:r>
        <w:rPr>
          <w:rFonts w:ascii="Arial" w:cs="Arial" w:eastAsia="Arial" w:hAnsi="Arial"/>
          <w:sz w:val="17"/>
          <w:szCs w:val="17"/>
          <w:color w:val="auto"/>
        </w:rPr>
        <w:t xml:space="preserve"> ADSs, to agree to the amendment and to be bound by the ADRs and the deposit agreement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97"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980" w:right="380" w:hanging="324"/>
        <w:spacing w:after="0" w:line="277" w:lineRule="auto"/>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77" w:name="page178"/>
    <w:bookmarkEnd w:id="177"/>
    <w:p>
      <w:pPr>
        <w:ind w:right="40" w:firstLine="648"/>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7" w:lineRule="exact"/>
        <w:rPr>
          <w:sz w:val="20"/>
          <w:szCs w:val="20"/>
          <w:color w:val="auto"/>
        </w:rPr>
      </w:pPr>
    </w:p>
    <w:p>
      <w:pPr>
        <w:ind w:left="660" w:right="60" w:hanging="328"/>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29" w:lineRule="exact"/>
        <w:rPr>
          <w:rFonts w:ascii="Arial" w:cs="Arial" w:eastAsia="Arial" w:hAnsi="Arial"/>
          <w:sz w:val="18"/>
          <w:szCs w:val="18"/>
          <w:color w:val="auto"/>
        </w:rPr>
      </w:pPr>
    </w:p>
    <w:p>
      <w:pPr>
        <w:ind w:left="660" w:right="320" w:hanging="328"/>
        <w:spacing w:after="0" w:line="532"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 are not liable for the acts or omissions of any securities depository, clearing agency or settlement system; and</w:t>
      </w:r>
    </w:p>
    <w:p>
      <w:pPr>
        <w:ind w:left="660" w:hanging="328"/>
        <w:spacing w:after="0" w:line="311" w:lineRule="auto"/>
        <w:tabs>
          <w:tab w:leader="none" w:pos="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Before the depositary will deliver or register a transfer of ADSs, make a distribution on ADSs, or permit withdrawal of shares, the depositary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38" w:lineRule="exact"/>
        <w:rPr>
          <w:sz w:val="20"/>
          <w:szCs w:val="20"/>
          <w:color w:val="auto"/>
        </w:rPr>
      </w:pPr>
    </w:p>
    <w:p>
      <w:pPr>
        <w:ind w:left="660" w:right="140" w:hanging="328"/>
        <w:spacing w:after="0" w:line="27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84"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52" w:lineRule="exact"/>
        <w:rPr>
          <w:sz w:val="20"/>
          <w:szCs w:val="20"/>
          <w:color w:val="auto"/>
        </w:rPr>
      </w:pPr>
    </w:p>
    <w:p>
      <w:pPr>
        <w:ind w:left="660" w:right="44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right of withdrawal may not be limited by any other provision of the deposit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or the rules and regulations promulgated thereunder.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COMPARISON OF ITALIAN LAW AND DELAWARE LAW</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comparison table summarizing the most significant differences in shareholder rights between the applicable provisions of the Delaware General Corporation Law and the corporate laws of Italy, also taking into account those main differences existing between the Private Companies and Open Companies.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It should be considered that this is only a general summary of certain provisions applicable to companies in Delaware and Italy. Certain Delaware and Italian companies may be permitted to exclude certain of the provisions summarized below in their charter documents.</w:t>
      </w:r>
    </w:p>
    <w:p>
      <w:pPr>
        <w:spacing w:after="0" w:line="165" w:lineRule="exact"/>
        <w:rPr>
          <w:sz w:val="20"/>
          <w:szCs w:val="20"/>
          <w:color w:val="auto"/>
        </w:rPr>
      </w:pPr>
    </w:p>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Mergers and similar arrangements</w:t>
      </w:r>
    </w:p>
    <w:p>
      <w:pPr>
        <w:sectPr>
          <w:pgSz w:w="11900" w:h="16838" w:orient="portrait"/>
          <w:cols w:equalWidth="0" w:num="1">
            <w:col w:w="11220"/>
          </w:cols>
          <w:pgMar w:left="320" w:top="715" w:right="359" w:bottom="1440" w:gutter="0" w:footer="0" w:header="0"/>
        </w:sectPr>
      </w:pP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Italian law, a merger requires the approval of more than half of the share capital at an extraordinary shareholders’ meeting of each company which is part to the merger. The merger may only be adopted after the expiry of a period of sixty (60) days from the filing of the merger resolution and the related documents with the companies’ register. This time limit, in particular, is intended to allow the company’s creditors, subject to limited exceptions, to file an opposition to the merger, provided however that if such an opposition is deemed groundless and the company has given adequate financial assurances, the competent court may nevertheless decide that the merger shall take place notwithstanding the opposition.</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Italian law also provides for simplified forms of merger (with less documentation needed) in cases where the merger is carried out by combining wholly-owned subsidiaries and subsidiaries which are at least 90% owned. In both cases the decision to merge is delegated to the board of directors, provided that the company’s bylaws (as in our case) so provide. The delegation of powers to the board of directors does not, in any event, release it from the obligation to file and/or publish, as the case may be, the merger plan in order to inform shareholders of the merger and to postpone consummation for 30 days from the filing/publication of the merger plan, unless the shareholders waive their right. Shareholders of the “acquiring” company representing at least 5% of the share capital may request the decision on the merger to be taken by the extraordinary shareholders’ meeting. In such a case the authority to approve the merger shifts to the extraordinary shareholders’ meeting, as provided for the non-simplified procedure.</w:t>
      </w:r>
    </w:p>
    <w:p>
      <w:pPr>
        <w:spacing w:after="0" w:line="200" w:lineRule="exact"/>
        <w:rPr>
          <w:sz w:val="20"/>
          <w:szCs w:val="20"/>
          <w:color w:val="auto"/>
        </w:rPr>
      </w:pPr>
    </w:p>
    <w:p>
      <w:pPr>
        <w:sectPr>
          <w:pgSz w:w="11900" w:h="16838" w:orient="portrait"/>
          <w:cols w:equalWidth="0" w:num="2">
            <w:col w:w="5460" w:space="280"/>
            <w:col w:w="5480"/>
          </w:cols>
          <w:pgMar w:left="320" w:top="715" w:right="359" w:bottom="1440" w:gutter="0" w:footer="0" w:header="0"/>
          <w:type w:val="continuous"/>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181" w:name="page182"/>
    <w:bookmarkEnd w:id="18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Shareholders’ suits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Shareholders may bring to the attention of the board of statutory auditors facts or acts which such shareholder deems wrongful. If such shareholders represent 5% of our share capital, or 2% should the company be classified as an Open Company, the board of statutory auditors must investigate without delay and report its findings and recommendations at a shareholders’ meeting.</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there is a well-founded suspicion that the directors, in breach of their duties, have committed serious irregularities in the management of the company’s business that may cause damage to the company, shareholders representing, in Private Companies, one-tenth of the share capital or, in Open Companies, one-twentieth of the share capital can report the facts to a competent court. The court, having heard the directors and the statutory auditors, may order an investigation of the matter. The court will not order an investigation and will delay legal proceedings for a fixed period if the shareholders replace the directors and the statutory auditors and the new directors and auditors take action without delay to ascertain whether wrongdoing has been committed and, if so, to remedy it, report to the court their findings and the actions undertaken by them. If the reported wrongdoing did occur or if the investigations fail to address the matters at issue, the court may order appropriate provisional measures and call a shareholders’ meeting to adopt appropriate resolutions. In the most serious cases, the court can replace directors and the statutory auditors and appoint a receiver, determining his or her powers and duration of office.</w:t>
      </w:r>
    </w:p>
    <w:p>
      <w:pPr>
        <w:spacing w:after="0" w:line="20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Liability claims against directors and general managers may be brought either by the shareholders through resolutions approved at a shareholders’ meeting, by the board of statutory auditors (following a resolution passed with the favorable vote of two thirds of its members) or directly by shareholders representing a specified percentage of the share capital.</w:t>
      </w:r>
    </w:p>
    <w:p>
      <w:pPr>
        <w:spacing w:after="0" w:line="18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With reference to resolutions to be adopted at a shareholders’ meeting, a resolution concerning the liability of directors may be approved at a meeting for that purpose or at the meeting called to approve the financial statements. Unless otherwise provided for in the bylaws, resolution shall require approval by standard majority. Claims against directors are subject to a five year statute of limitations from the date of termination of the director’s office and can be waived or settled upon resolution approved by the shareholder, unless shareholders representing at least one-fifth of the share capital, in Private Companies such as ours, or, in Open Companies, one-twentieth of the share capital, vote against the resolution. The legal costs of such action shall be borne by the company unless the court orders the directors, statutory auditors or general managers to pay them.</w:t>
      </w:r>
    </w:p>
    <w:p>
      <w:pPr>
        <w:spacing w:after="0" w:line="19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Shareholders representing a certain percentage of the share capital may bring claims against directors. In case of a Private Company such as ours, the percentage required is one-fifth of the share capital, while for an Open Company the percentage is one-fortieth of the share capital.</w:t>
      </w:r>
    </w:p>
    <w:p>
      <w:pPr>
        <w:spacing w:after="0" w:line="184" w:lineRule="exact"/>
        <w:rPr>
          <w:sz w:val="20"/>
          <w:szCs w:val="20"/>
          <w:color w:val="auto"/>
        </w:rPr>
      </w:pPr>
    </w:p>
    <w:p>
      <w:pPr>
        <w:sectPr>
          <w:pgSz w:w="11900" w:h="16838" w:orient="portrait"/>
          <w:cols w:equalWidth="0" w:num="2">
            <w:col w:w="5480" w:space="26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2" w:name="page183"/>
    <w:bookmarkEnd w:id="18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Dissenters’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shareholder of a Delaware corporation has the right to dissent from any plan of merger or consolidation to which the corporation is a party, except that, unless the certificate of incorporation provides otherwise, a shareholder shall not have the right to dissent from any plan of merger or consolidation, with respect to shares of a class or series that are listed on a national securities exchange or held of record, by not less than 2,000 holders on the record date fixed to determine the shareholders entitled to vote upon the plan of merger or consolidation. A dissenting shareholder has a right to appraisal of its shares.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shareholders’ resolutions which are not adopted in compliance with applicable law or the bylaws may be challenged (with certain limitations and exceptions) within 90 days of such resolution (or, if such resolution is subject to registration or filing with the Italian Company Register, within 90 days of its registration or filing) by shareholders who did not attend the meeting, dissented or abstained representing, individually or in the aggregate, at least 5% of the share capital in case of a Private Company such as ours, or for an Open Company, at least one per thousand of the share capital, as well as by the board of directors or the board of statutory auditors. Shareholders who do not meet the threshold or are not otherwise entitled to vote at our meetings may only claim damages arising from the resolution. Alongside the challenge to the resolution, an urgent application may also be filed to suspend the implementation of the resolution being challenged, in order to preserve the rights of challengers. Dissenting or absent shareholders may withdraw from the company as a result of shareholders’ resolutions approving, among other things, material modifications to the corporate purpose, the rights attached to ordinary shares (e.g., voting rights and/or economic rights related to ordinary shares), conversion from a share corporation into a different legal entity or a transfer of the registered office outside of Italy. Under any such circumstances, non-withdrawing shareholders would have pre-emptive rights to purchase the shares of the withdrawing shareholders. Should no shareholder exercise its pre-emptive rights, the shares must be offered to third parties. If no third-party desires to purchase the shares, the Company must purchase them out of available reserves. In the event that there are no reserves available, the company must reduce its capital accordingly. According to Italian law, the liquidation value of any such shares must be on terms determined by the board of directors, after consultation with the board of statutory auditors and the external auditor, after careful consideration of the company’s net asset value, prospective earnings and the market value of the ordinary shares. Under Italian law, a company may include provisions in its bylaws governing the criteria for determining the liquidation value of shares in the event of withdrawal. We have not done so as of the date of this offering.</w:t>
      </w:r>
    </w:p>
    <w:p>
      <w:pPr>
        <w:spacing w:after="0" w:line="200" w:lineRule="exact"/>
        <w:rPr>
          <w:sz w:val="20"/>
          <w:szCs w:val="20"/>
          <w:color w:val="auto"/>
        </w:rPr>
      </w:pPr>
    </w:p>
    <w:p>
      <w:pPr>
        <w:sectPr>
          <w:pgSz w:w="11900" w:h="16838" w:orient="portrait"/>
          <w:cols w:equalWidth="0" w:num="2">
            <w:col w:w="5500" w:space="240"/>
            <w:col w:w="5500"/>
          </w:cols>
          <w:pgMar w:left="320" w:top="711" w:right="339" w:bottom="1440"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3" w:name="page184"/>
    <w:bookmarkEnd w:id="18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Shareholder vote on board and management compensation</w:t>
      </w:r>
    </w:p>
    <w:p>
      <w:pPr>
        <w:sectPr>
          <w:pgSz w:w="11900" w:h="16838" w:orient="portrait"/>
          <w:cols w:equalWidth="0" w:num="1">
            <w:col w:w="11240"/>
          </w:cols>
          <w:pgMar w:left="320" w:top="711" w:right="339" w:bottom="264" w:gutter="0" w:footer="0" w:header="0"/>
        </w:sectPr>
      </w:pP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Italian Law, the compensation of directors is established at the time of appointment or by resolution adopted at as shareholders’ meeting. The compensation of the chief executive officers shall be established by the board of directors, with input from the board of statutory auditors. If the bylaws so provide, the shareholders’ meeting may determine a total amount for the compensation of all directors, including the chief executive officer.</w:t>
      </w:r>
    </w:p>
    <w:p>
      <w:pPr>
        <w:spacing w:after="0" w:line="160" w:lineRule="exact"/>
        <w:rPr>
          <w:sz w:val="20"/>
          <w:szCs w:val="20"/>
          <w:color w:val="auto"/>
        </w:rPr>
      </w:pPr>
    </w:p>
    <w:p>
      <w:pPr>
        <w:sectPr>
          <w:pgSz w:w="11900" w:h="16838" w:orient="portrait"/>
          <w:cols w:equalWidth="0" w:num="2">
            <w:col w:w="5260" w:space="480"/>
            <w:col w:w="5500"/>
          </w:cols>
          <w:pgMar w:left="320" w:top="711" w:right="339" w:bottom="264"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Annual vote on board renewal</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specified in the certificate of incorporation or bylaws of the corporation, directors shall be elected by a plurality of votes of the shareholders on a date and at a time designated by or in the manner provided in the bylaws. Re-election is possible.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is elected by resolution adopted at the annual shareholders’ meeting of the Company for the period established at the time of election but in no case for longer than three fiscal years. Directors may, but are not required to be, shareholders and may be reappointed for successive terms.</w:t>
      </w:r>
    </w:p>
    <w:p>
      <w:pPr>
        <w:spacing w:after="0" w:line="183" w:lineRule="exact"/>
        <w:rPr>
          <w:sz w:val="20"/>
          <w:szCs w:val="20"/>
          <w:color w:val="auto"/>
        </w:rPr>
      </w:pPr>
    </w:p>
    <w:p>
      <w:pPr>
        <w:sectPr>
          <w:pgSz w:w="11900" w:h="16838" w:orient="portrait"/>
          <w:cols w:equalWidth="0" w:num="2">
            <w:col w:w="5300" w:space="440"/>
            <w:col w:w="5500"/>
          </w:cols>
          <w:pgMar w:left="320" w:top="711" w:right="339" w:bottom="264"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Indemnification of directors and executive management and limitation of liability</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officers, employees or agents of the corporation for monetary damages for breach of a fiduciary duty as a director, except no provision in the certificate of incorporation may eliminate or limit the liability of a director for:</w:t>
      </w:r>
    </w:p>
    <w:p>
      <w:pPr>
        <w:spacing w:after="0" w:line="219" w:lineRule="exact"/>
        <w:rPr>
          <w:sz w:val="20"/>
          <w:szCs w:val="20"/>
          <w:color w:val="auto"/>
        </w:rPr>
      </w:pPr>
    </w:p>
    <w:p>
      <w:pPr>
        <w:ind w:left="400" w:right="420" w:hanging="248"/>
        <w:spacing w:after="0" w:line="277" w:lineRule="auto"/>
        <w:tabs>
          <w:tab w:leader="none" w:pos="40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400" w:right="520" w:hanging="248"/>
        <w:spacing w:after="0" w:line="277" w:lineRule="auto"/>
        <w:tabs>
          <w:tab w:leader="none" w:pos="40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400" w:hanging="248"/>
        <w:spacing w:after="0" w:line="277" w:lineRule="auto"/>
        <w:tabs>
          <w:tab w:leader="none" w:pos="40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share purchase or redemption; or</w:t>
      </w:r>
    </w:p>
    <w:p>
      <w:pPr>
        <w:spacing w:after="0" w:line="170" w:lineRule="exact"/>
        <w:rPr>
          <w:rFonts w:ascii="Arial" w:cs="Arial" w:eastAsia="Arial" w:hAnsi="Arial"/>
          <w:sz w:val="18"/>
          <w:szCs w:val="18"/>
          <w:color w:val="auto"/>
        </w:rPr>
      </w:pPr>
    </w:p>
    <w:p>
      <w:pPr>
        <w:ind w:left="400" w:right="80" w:hanging="248"/>
        <w:spacing w:after="0" w:line="277" w:lineRule="auto"/>
        <w:tabs>
          <w:tab w:leader="none" w:pos="40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11" w:lineRule="exact"/>
        <w:rPr>
          <w:sz w:val="20"/>
          <w:szCs w:val="20"/>
          <w:color w:val="auto"/>
        </w:rPr>
      </w:pPr>
    </w:p>
    <w:p>
      <w:pPr>
        <w:ind w:left="400" w:right="760" w:hanging="248"/>
        <w:spacing w:after="0" w:line="277" w:lineRule="auto"/>
        <w:tabs>
          <w:tab w:leader="none" w:pos="4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170" w:lineRule="exact"/>
        <w:rPr>
          <w:rFonts w:ascii="Arial" w:cs="Arial" w:eastAsia="Arial" w:hAnsi="Arial"/>
          <w:sz w:val="18"/>
          <w:szCs w:val="18"/>
          <w:color w:val="auto"/>
        </w:rPr>
      </w:pPr>
    </w:p>
    <w:p>
      <w:pPr>
        <w:ind w:left="400" w:right="480" w:hanging="248"/>
        <w:spacing w:after="0" w:line="277" w:lineRule="auto"/>
        <w:tabs>
          <w:tab w:leader="none" w:pos="4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170" w:lineRule="exact"/>
        <w:rPr>
          <w:rFonts w:ascii="Arial" w:cs="Arial" w:eastAsia="Arial" w:hAnsi="Arial"/>
          <w:sz w:val="18"/>
          <w:szCs w:val="18"/>
          <w:color w:val="auto"/>
        </w:rPr>
      </w:pPr>
    </w:p>
    <w:p>
      <w:pPr>
        <w:ind w:left="400" w:right="480" w:hanging="248"/>
        <w:spacing w:after="0" w:line="308" w:lineRule="auto"/>
        <w:tabs>
          <w:tab w:leader="none" w:pos="40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146" w:lineRule="exact"/>
        <w:rPr>
          <w:rFonts w:ascii="Arial" w:cs="Arial" w:eastAsia="Arial" w:hAnsi="Arial"/>
          <w:sz w:val="17"/>
          <w:szCs w:val="17"/>
          <w:color w:val="auto"/>
        </w:rPr>
      </w:pPr>
    </w:p>
    <w:p>
      <w:pPr>
        <w:ind w:left="400" w:hanging="248"/>
        <w:spacing w:after="0"/>
        <w:tabs>
          <w:tab w:leader="none" w:pos="4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Italian law requires directors and members of any committee designated by the board of directors to perform their duties with the degree of diligence required by the nature of their office and according to their specific level of competence. Liability should never arise from business judgments under the circumstances, even if the decisions made entail significant economic risks, but be attributable only to lack of diligence by the director in appreciating in advance the risk involved in the transaction to be undertaken, and therefore, the omission of possible precautions, assessments or the lack of information normally required for a decision of that type, taken under those circumstances and in that manner. Directors are liable to the company’s creditors when their improper management conduct impairs the company’s assets and prevents the company from satisfying creditors’ claims. If the company cannot repay its creditors, and a court determines that the directors did not adequately perform their duties relating to the preservation of assets, the court may find directors liable.</w:t>
      </w:r>
    </w:p>
    <w:p>
      <w:pPr>
        <w:spacing w:after="0" w:line="6055" w:lineRule="exact"/>
        <w:rPr>
          <w:sz w:val="20"/>
          <w:szCs w:val="20"/>
          <w:color w:val="auto"/>
        </w:rPr>
      </w:pPr>
    </w:p>
    <w:p>
      <w:pPr>
        <w:sectPr>
          <w:pgSz w:w="11900" w:h="16838" w:orient="portrait"/>
          <w:cols w:equalWidth="0" w:num="2">
            <w:col w:w="5480" w:space="260"/>
            <w:col w:w="5500"/>
          </w:cols>
          <w:pgMar w:left="320" w:top="711" w:right="339" w:bottom="264"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Moreover, a Delaware corporation may not indemnify a director or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proceeding in which the director or officer has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adjudged to be liable to the corporation unless and only to the extent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determines that, despite the adjudication of liability but in view of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circumstances of the case, the director or officer is fairly and reasonably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entitled to indemnity for those expenses which the court deems proper.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264" w:gutter="0" w:footer="0" w:header="0"/>
          <w:type w:val="continuous"/>
        </w:sectPr>
      </w:pPr>
    </w:p>
    <w:bookmarkStart w:id="184" w:name="page185"/>
    <w:bookmarkEnd w:id="18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Directors’ fiduciary duties</w:t>
      </w:r>
    </w:p>
    <w:p>
      <w:pPr>
        <w:sectPr>
          <w:pgSz w:w="11900" w:h="16838" w:orient="portrait"/>
          <w:cols w:equalWidth="0" w:num="1">
            <w:col w:w="11020"/>
          </w:cols>
          <w:pgMar w:left="320" w:top="711" w:right="55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 the duty of care and the duty of loyalty.</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Italian law, directors must perform their duties and responsibilities with the degree of diligence required by the nature of their tasks and according to their level of competence.</w:t>
      </w:r>
    </w:p>
    <w:p>
      <w:pPr>
        <w:spacing w:after="0" w:line="4584" w:lineRule="exact"/>
        <w:rPr>
          <w:sz w:val="20"/>
          <w:szCs w:val="20"/>
          <w:color w:val="auto"/>
        </w:rPr>
      </w:pPr>
    </w:p>
    <w:p>
      <w:pPr>
        <w:sectPr>
          <w:pgSz w:w="11900" w:h="16838" w:orient="portrait"/>
          <w:cols w:equalWidth="0" w:num="2">
            <w:col w:w="5520" w:space="220"/>
            <w:col w:w="5280"/>
          </w:cols>
          <w:pgMar w:left="320" w:top="711" w:right="559" w:bottom="1440" w:gutter="0" w:footer="0" w:header="0"/>
          <w:type w:val="continuous"/>
        </w:sectPr>
      </w:pPr>
    </w:p>
    <w:p>
      <w:pPr>
        <w:jc w:val="center"/>
        <w:ind w:right="-2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711" w:right="559" w:bottom="1440" w:gutter="0" w:footer="0" w:header="0"/>
          <w:type w:val="continuous"/>
        </w:sectPr>
      </w:pPr>
    </w:p>
    <w:bookmarkStart w:id="185" w:name="page186"/>
    <w:bookmarkEnd w:id="185"/>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 action by written consent</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Under Italian law, shareholders may not act without a meeting.</w:t>
      </w:r>
    </w:p>
    <w:p>
      <w:pPr>
        <w:spacing w:after="0" w:line="459" w:lineRule="exact"/>
        <w:rPr>
          <w:sz w:val="20"/>
          <w:szCs w:val="20"/>
          <w:color w:val="auto"/>
        </w:rPr>
      </w:pPr>
    </w:p>
    <w:p>
      <w:pPr>
        <w:sectPr>
          <w:pgSz w:w="11900" w:h="16838" w:orient="portrait"/>
          <w:cols w:equalWidth="0" w:num="2">
            <w:col w:w="5260" w:space="4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Special/extraordinary meetings of shareholders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Delaware law, special meetings of shareholders may be called by the board of directors or by such person or persons as may be authorized by the certificate of incorporation or the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Italian law, a shareholders’ meeting, both ordinary and extraordinary, may be called by the board of directors and must be called if requested by holders of at least 10% of the share capital in the case of a Private Company, as is our case, or for an Open Company, at least 5% of the share capital, unless in either case the bylaws establish a lower threshold. Shareholders are not entitled to request that a meeting of shareholders be convened to vote on issues which as a matter of law are within the authority of the board of directors. If a request by the shareholders for a meeting is rejected by the board of directors, and such refusal is unjustified, the meeting may be called by a competent court.</w:t>
      </w:r>
    </w:p>
    <w:p>
      <w:pPr>
        <w:spacing w:after="0" w:line="164" w:lineRule="exact"/>
        <w:rPr>
          <w:sz w:val="20"/>
          <w:szCs w:val="20"/>
          <w:color w:val="auto"/>
        </w:rPr>
      </w:pPr>
    </w:p>
    <w:p>
      <w:pPr>
        <w:sectPr>
          <w:pgSz w:w="11900" w:h="16838" w:orient="portrait"/>
          <w:cols w:equalWidth="0" w:num="2">
            <w:col w:w="5460" w:space="2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2"/>
          <w:szCs w:val="12"/>
          <w:i w:val="1"/>
          <w:iCs w:val="1"/>
          <w:color w:val="auto"/>
        </w:rPr>
        <w:t>Shareholder proposals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Registered holders of the Company’s ordinary shares are entitled to attend and vote at all ordinary and extraordinary shareholders’ meetings.</w:t>
      </w:r>
    </w:p>
    <w:p>
      <w:pPr>
        <w:spacing w:after="0" w:line="15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 shareholders representing at least 10% of the share capital in the case of a Private Company, as is our case, or for an Open Company, at least 5% of the share capital, unless in either case the bylaws establish lower threshold, request the board of directors to call a meeting of shareholders, they must set out in their request the proposals to be discussed.</w:t>
      </w:r>
    </w:p>
    <w:p>
      <w:pPr>
        <w:spacing w:after="0" w:line="157" w:lineRule="exact"/>
        <w:rPr>
          <w:sz w:val="20"/>
          <w:szCs w:val="20"/>
          <w:color w:val="auto"/>
        </w:rPr>
      </w:pPr>
    </w:p>
    <w:p>
      <w:pPr>
        <w:sectPr>
          <w:pgSz w:w="11900" w:h="16838" w:orient="portrait"/>
          <w:cols w:equalWidth="0" w:num="2">
            <w:col w:w="5360" w:space="3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Cumulative voting</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Under Italian law, shareholders are not entitled to elect directors through cumulative voting. Directors are elected by a majority of the votes cast by the shareholders entitled to vote in person or by proxy at an ordinary meeting of shareholders at which the relevant quorum is met.</w:t>
      </w:r>
    </w:p>
    <w:p>
      <w:pPr>
        <w:spacing w:after="0" w:line="153" w:lineRule="exact"/>
        <w:rPr>
          <w:sz w:val="20"/>
          <w:szCs w:val="20"/>
          <w:color w:val="auto"/>
        </w:rPr>
      </w:pPr>
    </w:p>
    <w:p>
      <w:pPr>
        <w:sectPr>
          <w:pgSz w:w="11900" w:h="16838" w:orient="portrait"/>
          <w:cols w:equalWidth="0" w:num="2">
            <w:col w:w="5400" w:space="34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Board action by written consent</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Delaware law, any action required or permitted to be taken at any meeting of the board of directors may be taken without a meeting if all members of the board consent to the action in writing or by electronic transmission, and the writing or electronic transmission is filed with the minutes of proceedings of the board,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 Italian law, directors of a corporation may not act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280"/>
            <w:col w:w="5740"/>
          </w:cols>
          <w:pgMar w:left="320" w:top="711" w:right="359" w:bottom="1440" w:gutter="0" w:footer="0" w:header="0"/>
          <w:type w:val="continuous"/>
        </w:sectPr>
      </w:pPr>
    </w:p>
    <w:bookmarkStart w:id="186" w:name="page187"/>
    <w:bookmarkEnd w:id="186"/>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Removal of directors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there is cumulative voting or there is a classified board, generally a director or the entire board of directors may be removed, with or without cause, by the holders of a majority of the shares then entitled to vote at an election of directors.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Italian law, a director may be removed from office at any time by the vote of shareholders at an ordinary shareholders’ meeting. The removal is immediately effective against third parties only upon entry of the relevant resolution in the Companies Register.</w:t>
      </w:r>
    </w:p>
    <w:p>
      <w:pPr>
        <w:spacing w:after="0" w:line="2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resolution approved at a shareholders’ meeting of claim for liability against a director or the occurrence of causes of ineligibility to serve under applicable law constitute just cause for removal.</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removal of a director is without just cause, the director may have a claim for damages against the company. These damages may include, but are not limited to, compensation that would otherwise have been paid to the director for the remainder of his or her term and damage to his or her reputation.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may resign at any time by written notice to the board of directors and to the chairman of the board of statutory auditors. The board of directors, subject to the approval of the board of statutory auditors, must appoint substitute directors to fill any vacancies caused by removal or resignation of directors, and the substitute will serve until the next ordinary shareholders’ meeting. If, at any time, more than half of the members of the board of directors elected by shareholders resign, such resignation is ineffective until a majority of the new board of directors has been elected. In such a case, the remaining members of the board of directors (or the board of statutory auditors if all the members of the board of directors have resigned or ceased to be directors) must promptly call an ordinary shareholders’ meeting to elect new directors.</w:t>
      </w:r>
    </w:p>
    <w:p>
      <w:pPr>
        <w:spacing w:after="0" w:line="163" w:lineRule="exact"/>
        <w:rPr>
          <w:sz w:val="20"/>
          <w:szCs w:val="20"/>
          <w:color w:val="auto"/>
        </w:rPr>
      </w:pPr>
    </w:p>
    <w:p>
      <w:pPr>
        <w:sectPr>
          <w:pgSz w:w="11900" w:h="16838" w:orient="portrait"/>
          <w:cols w:equalWidth="0" w:num="2">
            <w:col w:w="5360" w:space="38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Transactions with interested shareholders or directors</w:t>
      </w:r>
    </w:p>
    <w:p>
      <w:pPr>
        <w:sectPr>
          <w:pgSz w:w="11900" w:h="16838" w:orient="portrait"/>
          <w:cols w:equalWidth="0" w:num="1">
            <w:col w:w="11200"/>
          </w:cols>
          <w:pgMar w:left="320" w:top="711" w:right="379" w:bottom="1440" w:gutter="0" w:footer="0" w:header="0"/>
          <w:type w:val="continuous"/>
        </w:sectPr>
      </w:pP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Italian law provides that a resolution approved at a shareholders’ meeting with the vote of shareholders who have, directly or indirectly, a conflict of interest with the company may be challenged.</w:t>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Italian law, a director having a personal interest in a proposed transaction must disclose his or her interest to the board of directors and to the board of statutory auditors, even if such interest does not conflict with the company’s interest in the transaction. The interested director is not required to abstain from voting on the resolution approving the transaction, but the resolution must explicitly state the reasons for the approved transaction and the benefit of the transaction to the company. If these provisions are not complied with, or if the transaction would not have been approved without the vote of the interested director, the resolution may be challenged within 90 days by any director or by the board of statutory auditors on grounds that the approved transaction would be prejudicial to the company. An authorized representative of the company having any interest in a proposed transaction that he or she has authority to approve must solicit prior board approval before consenting to such transaction. An interested director may be held liable for damages to the company resulting from a resolution adopted in breach of the above requirements. Finally, a director may be held liable for illicitly profiting from insider information or a corporate opportunity.</w:t>
      </w:r>
    </w:p>
    <w:p>
      <w:pPr>
        <w:spacing w:after="0" w:line="200" w:lineRule="exact"/>
        <w:rPr>
          <w:sz w:val="20"/>
          <w:szCs w:val="20"/>
          <w:color w:val="auto"/>
        </w:rPr>
      </w:pPr>
    </w:p>
    <w:p>
      <w:pPr>
        <w:sectPr>
          <w:pgSz w:w="11900" w:h="16838" w:orient="portrait"/>
          <w:cols w:equalWidth="0" w:num="2">
            <w:col w:w="5420" w:space="320"/>
            <w:col w:w="5460"/>
          </w:cols>
          <w:pgMar w:left="320" w:top="711" w:right="379" w:bottom="1440" w:gutter="0" w:footer="0" w:header="0"/>
          <w:type w:val="continuous"/>
        </w:sect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7" w:name="page188"/>
    <w:bookmarkEnd w:id="187"/>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Dissolution; winding up</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Italian law, and subject to the satisfaction of the claims of all creditors, upon liquidation shareholders are entitled to a distribution that is equal to a per share amount equal to positive liquidation balance divided by the number of shares outstanding. Asset distribution to preferred shareholders and holders of “participating certificates” upon corporate dissolution is typically provided by established contractual preferences. Once the rights of preferred shareholders and holders of participating certificates have been fully satisfied, holders of ordinary shares are entitled to any remaining assets.</w:t>
      </w:r>
    </w:p>
    <w:p>
      <w:pPr>
        <w:spacing w:after="0" w:line="176"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Variation of rights of shares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Italian law allows the Company to issue preference shares with limited voting rights, other classes of equity securities with different economic and voting rights, shares with economic rights related to the results of the corporate activity in a specific sector, “participation instruments” (</w:t>
      </w:r>
      <w:r>
        <w:rPr>
          <w:rFonts w:ascii="Arial" w:cs="Arial" w:eastAsia="Arial" w:hAnsi="Arial"/>
          <w:sz w:val="17"/>
          <w:szCs w:val="17"/>
          <w:i w:val="1"/>
          <w:iCs w:val="1"/>
          <w:color w:val="auto"/>
        </w:rPr>
        <w:t>strumenti</w:t>
      </w:r>
      <w:r>
        <w:rPr>
          <w:rFonts w:ascii="Arial" w:cs="Arial" w:eastAsia="Arial" w:hAnsi="Arial"/>
          <w:sz w:val="17"/>
          <w:szCs w:val="17"/>
          <w:color w:val="auto"/>
        </w:rPr>
        <w:t xml:space="preserve"> </w:t>
      </w:r>
      <w:r>
        <w:rPr>
          <w:rFonts w:ascii="Arial" w:cs="Arial" w:eastAsia="Arial" w:hAnsi="Arial"/>
          <w:sz w:val="17"/>
          <w:szCs w:val="17"/>
          <w:i w:val="1"/>
          <w:iCs w:val="1"/>
          <w:color w:val="auto"/>
        </w:rPr>
        <w:t>finanziari partecipativi</w:t>
      </w:r>
      <w:r>
        <w:rPr>
          <w:rFonts w:ascii="Arial" w:cs="Arial" w:eastAsia="Arial" w:hAnsi="Arial"/>
          <w:sz w:val="17"/>
          <w:szCs w:val="17"/>
          <w:color w:val="auto"/>
        </w:rPr>
        <w:t>) with limited economic and voting rights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by shareholders or third parties, of work or services, as well as “participation instruments” in favor of employees.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8" w:name="page189"/>
    <w:bookmarkEnd w:id="18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Amendment of governing documents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Italian law, the charter documents consist of articles of association and bylaws. An amendment to these documents requires the approval of shareholders at an extraordinary shareholders’ meeting with the following majorities for a Private Company, such as ours: on the first call, more than half of the share capital, and on the second call, at least two-thirds of the shares present or represented at the meeting, provided that a quorum of more than one-third of the share capital is present or represented. Certain matters (such as a change in business purpose or corporate form, demergers, mergers, the transfer of the registered office outside Italy, liquidation prior to the term set forth in its bylaws, extension of the company’s term, the revocation of liquidation and the issuance of special categories of shares) must be approved by the extraordinary shareholders’ meeting pursuant to the same requirements.</w:t>
      </w:r>
    </w:p>
    <w:p>
      <w:pPr>
        <w:spacing w:after="0" w:line="2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an Open Company, according to Italian law, such resolutions are adopted, on the first call, by a majority of at least two-thirds of the shares present or represented at such meeting, provided that a quorum of at least half of the share capital is present or represented; on the second call, by a majority of at least two-thirds of the shares present or represented at such meeting, provided that a quorum of more than one-third of the share capital is present or represented; on the third and subsequent calls, by a majority of at least two-thirds of the shares present or represented at such meeting, provided that a quorum of at least one-fifth of the share capital is present or represented.</w:t>
      </w:r>
    </w:p>
    <w:p>
      <w:pPr>
        <w:spacing w:after="0" w:line="21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Under Italian law, a shareholder who has not participated in a resolution amending the bylaws that involves a change in the rights attached to its shares has the right to withdraw from the company.</w:t>
      </w:r>
    </w:p>
    <w:p>
      <w:pPr>
        <w:spacing w:after="0" w:line="192" w:lineRule="exact"/>
        <w:rPr>
          <w:sz w:val="20"/>
          <w:szCs w:val="20"/>
          <w:color w:val="auto"/>
        </w:rPr>
      </w:pPr>
    </w:p>
    <w:p>
      <w:pPr>
        <w:sectPr>
          <w:pgSz w:w="11900" w:h="16838" w:orient="portrait"/>
          <w:cols w:equalWidth="0" w:num="2">
            <w:col w:w="5380" w:space="36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9" w:name="page190"/>
    <w:bookmarkEnd w:id="18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Inspection of Books and Records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Italian law, our shareholders may review the report of the board of directors on the management of the company and the report of the statutory auditors and external auditor on the financial statements during the 15 days prior to the ordinary shareholders’ meeting called to approve those financial statements. The report remains on file at the company’s office and is also filed with the Companies’ Register of Milan and made publicly available. Moreover, any shareholder is entitled to examine the ledger of the minutes of the shareholders’ meeting at any time.</w:t>
      </w:r>
    </w:p>
    <w:p>
      <w:pPr>
        <w:spacing w:after="0" w:line="20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an Open Company, insofar as the ownership of the share capital may vary on a daily basis and transfers are electronically registered by intermediaries (banks and financial institutions), the record holder shall be determined according to certifications or communications to the company from intermediaries, based to their own accounting records.</w:t>
      </w:r>
    </w:p>
    <w:p>
      <w:pPr>
        <w:spacing w:after="0" w:line="172"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2"/>
          <w:szCs w:val="12"/>
          <w:i w:val="1"/>
          <w:iCs w:val="1"/>
          <w:color w:val="auto"/>
        </w:rPr>
        <w:t>Payment of dividends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214" w:lineRule="exact"/>
        <w:rPr>
          <w:sz w:val="20"/>
          <w:szCs w:val="20"/>
          <w:color w:val="auto"/>
        </w:rPr>
      </w:pPr>
    </w:p>
    <w:p>
      <w:pPr>
        <w:ind w:left="400" w:hanging="248"/>
        <w:spacing w:after="0"/>
        <w:tabs>
          <w:tab w:leader="none" w:pos="4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400" w:hanging="248"/>
        <w:spacing w:after="0" w:line="342" w:lineRule="auto"/>
        <w:tabs>
          <w:tab w:leader="none" w:pos="40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60"/>
        <w:spacing w:after="0" w:line="267" w:lineRule="auto"/>
        <w:rPr>
          <w:sz w:val="20"/>
          <w:szCs w:val="20"/>
          <w:color w:val="auto"/>
        </w:rPr>
      </w:pPr>
      <w:r>
        <w:rPr>
          <w:rFonts w:ascii="Arial" w:cs="Arial" w:eastAsia="Arial" w:hAnsi="Arial"/>
          <w:sz w:val="17"/>
          <w:szCs w:val="17"/>
          <w:color w:val="auto"/>
        </w:rPr>
        <w:t>Under Italian law, any payment of dividends must be proposed by the board of directors to the shareholders and is subject to shareholder approval at the annual ordinary shareholders’ meeting. Before dividends may be paid out of profits in any year, the company must allocate an amount equal to 5% of the net profit to a legal reserve until such reserve is at least equal to 20% of the corporate capital. If the corporate capital is reduced as a result of accumulated losses, the company may not pay dividends until the capital is reconstituted or reduced by the amount of such losses. The company may distribute reserves constituting earnings retained from prior years, provided that after such payment the company must have a legal reserve at least equal to the legally required minimum of 20% of corporate capital. If the minimum requirement of a reserve equal to 20% of corporate capital is met, the board of directors could propose the payment of a dividend and the shareholders approve it, the shareholders’ resolution must specify the manner and date of dividend payment. Any dividends which shareholders do not collect within five years of the payment date will be forfeited and the money returned to the company. The board of directors may not approve dividends during the period between annual ordinary shareholders’ meetings.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40" w:space="40"/>
            <w:col w:w="5740"/>
          </w:cols>
          <w:pgMar w:left="320" w:top="711" w:right="359" w:bottom="1440" w:gutter="0" w:footer="0" w:header="0"/>
          <w:type w:val="continuous"/>
        </w:sectPr>
      </w:pPr>
    </w:p>
    <w:bookmarkStart w:id="190" w:name="page191"/>
    <w:bookmarkEnd w:id="19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Return of Capital</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Delaware law provides that corporations may return capital by dividend, redemption or repurchase subject to certain solvency tests. Shareholder approval is not required for these transactions so long as the corporation meets the solvency tests.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Italian law, a company are permitted to purchase outstanding shares, subject to certain conditions and limitations (so-called “</w:t>
      </w:r>
      <w:r>
        <w:rPr>
          <w:rFonts w:ascii="Arial" w:cs="Arial" w:eastAsia="Arial" w:hAnsi="Arial"/>
          <w:sz w:val="16"/>
          <w:szCs w:val="16"/>
          <w:i w:val="1"/>
          <w:iCs w:val="1"/>
          <w:color w:val="auto"/>
        </w:rPr>
        <w:t>azioni proprie</w:t>
      </w:r>
      <w:r>
        <w:rPr>
          <w:rFonts w:ascii="Arial" w:cs="Arial" w:eastAsia="Arial" w:hAnsi="Arial"/>
          <w:sz w:val="16"/>
          <w:szCs w:val="16"/>
          <w:color w:val="auto"/>
        </w:rPr>
        <w:t>”). A company may only purchase shares out of profits available for dividends or out of distributable reserves, in each case as appearing on the latest financial statements approved by shareholders. Further, the company may only repurchase fully paid-in shares. Such purchases and the conditions thereto must be authorized by the shareholders at an ordinary shareholders’ meeting and the approval may not be for a period exceeding 18 months. Shares purchases in excess of the amount approved by shareholders must be sold within one year of the date of purchase and, if not sold, must be cancelled and the corporate capital must be reduced accordingly. Similar limitations apply with respect to purchases of shares by subsidiaries.</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reserve equal to the purchase price of such shares must be created on the balance sheet, and such reserve is not available for dividends, unless the shares are sold or cancelled. Shares purchased and held by the company may be resold only pursuant to a resolution adopted at an ordinary shareholders’ meeting. The voting rights attaching to the shares held by the company or its subsidiaries cannot be exercised, but the shares can be counted for quorum purposes. Dividends and other rights, including pre-emptive rights, attaching to such shares, will accrue to the benefit of other shareholders.</w:t>
      </w:r>
    </w:p>
    <w:p>
      <w:pPr>
        <w:spacing w:after="0" w:line="20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foregoing limitations do not apply in case the company purchases shares: (i) pursuant to a shareholder resolution approved at a shareholders’ meeting authorizing a capital reduction through repurchase or cancellation;</w:t>
      </w:r>
    </w:p>
    <w:p>
      <w:pPr>
        <w:spacing w:after="0" w:line="2" w:lineRule="exact"/>
        <w:rPr>
          <w:sz w:val="20"/>
          <w:szCs w:val="20"/>
          <w:color w:val="auto"/>
        </w:rPr>
      </w:pPr>
    </w:p>
    <w:p>
      <w:pPr>
        <w:ind w:right="20" w:firstLine="5"/>
        <w:spacing w:after="0" w:line="277" w:lineRule="auto"/>
        <w:tabs>
          <w:tab w:leader="none" w:pos="26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without consideration, to the extent the shares are fully paid-in; (iii) as a consequence of merger or demerger; (iv) by foreclosure to satisfy a debt owed to the company, to the extent the shares are fully paid-in.</w:t>
      </w:r>
    </w:p>
    <w:p>
      <w:pPr>
        <w:spacing w:after="0" w:line="200"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quora required for the constitution and for the resolutions of the shareholders’ meetings.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91" w:name="page192"/>
    <w:bookmarkEnd w:id="19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Creation and issuance of new shares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 approval is required to authorize capital stock in excess of that provided in the charter. The corporation must file a certificate of amendment to its certificate of incorporation before the creation of additional authorized shares may become effective.</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without shareholder consent, authorize capital stock to be issued for consideration consisting of cash, any tangible or intangible property or any benefit to the corporation, or any combination thereof.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Italian law, the issuance of any shares, ordinary or otherwise, requires an amendment to the bylaws to increase the share capital, which must be recommended to the shareholders by the board of directors and approved by the shareholders at an extraordinary shareholders’ meeting. The board of directors shall then be authorized to issue the securities according to the terms and conditions approved by shareholders. Alternatively, the shareholders can delegate the power to increase the share capital to the board of directors, but the board’s right to exercise such power for up to five years. If the board does not approve a capital increase within five years, the authority expires automatically. With respect to shareholders’ resolutions approving capital increases, Italian law provides that in the absence of meeting minutes or in the event of the impossibility or illegality of the resolution, any interested person may challenge such resolution for a period of 180 days following the filing of the shareholders’ resolution with the Register of Companies. If a shareholders’ meeting was not properly held to approve the capital increase, the relevant resolution should be considered invalid, and any interested person may challenge the capital increase for a period of 90 days following the approval of the financial statements for the year during which the capital increase was executed in whole or in part. Finally, once shareholders authorize a capital increase, all the new authorized shares that have been subscribed must be paid-up in full before a new capital increase may be executed.</w:t>
      </w:r>
    </w:p>
    <w:p>
      <w:pPr>
        <w:spacing w:after="0" w:line="2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By means of shareholders’ extraordinary resolution, the company can also increase its corporate capital (without requesting contributions from its shareholders) by allocating to capital its available reserves and other funds registered in its financial statements (so-called “</w:t>
      </w:r>
      <w:r>
        <w:rPr>
          <w:rFonts w:ascii="Arial" w:cs="Arial" w:eastAsia="Arial" w:hAnsi="Arial"/>
          <w:sz w:val="16"/>
          <w:szCs w:val="16"/>
          <w:i w:val="1"/>
          <w:iCs w:val="1"/>
          <w:color w:val="auto"/>
        </w:rPr>
        <w:t>aumento di capitale</w:t>
      </w:r>
      <w:r>
        <w:rPr>
          <w:rFonts w:ascii="Arial" w:cs="Arial" w:eastAsia="Arial" w:hAnsi="Arial"/>
          <w:sz w:val="16"/>
          <w:szCs w:val="16"/>
          <w:color w:val="auto"/>
        </w:rPr>
        <w:t xml:space="preserve"> </w:t>
      </w:r>
      <w:r>
        <w:rPr>
          <w:rFonts w:ascii="Arial" w:cs="Arial" w:eastAsia="Arial" w:hAnsi="Arial"/>
          <w:sz w:val="16"/>
          <w:szCs w:val="16"/>
          <w:i w:val="1"/>
          <w:iCs w:val="1"/>
          <w:color w:val="auto"/>
        </w:rPr>
        <w:t>gratuito</w:t>
      </w:r>
      <w:r>
        <w:rPr>
          <w:rFonts w:ascii="Arial" w:cs="Arial" w:eastAsia="Arial" w:hAnsi="Arial"/>
          <w:sz w:val="16"/>
          <w:szCs w:val="16"/>
          <w:color w:val="auto"/>
        </w:rPr>
        <w:t>”). In this case, the newly issued shares must have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as those previously issued, and they must be placed to the shareholders proportionally to their shareholdings in the company.</w:t>
      </w:r>
    </w:p>
    <w:p>
      <w:pPr>
        <w:spacing w:after="0" w:line="193"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2" w:name="page193"/>
    <w:bookmarkEnd w:id="19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Option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Delaware law, shareholders do not possess option rights with respect to the issuance of additional securities by the corporation,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Italian law, shareholders and holders of convertible debentures are entitled to subscribe for newly issued ordinary shares or convertible debentures in proportion to their holdings at the time of authorization of the issuance, except in the case of contributions in kind. Those who exercise such option right, provided they make such request at the same time, have a further pre-emption right with respect to shares and debentures convertible into shares that have not been subscribed. The option rights may be excluded or limited by a shareholders’ resolution approved at an extraordinary meeting of the shareholders, if such exclusion or limitation is in the interest of the company, or if the shares are to be paid for by means of a contribution in kind.</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Italian law proposals to increase the share capital with the exclusion or limitation of pre-emptive rights must be accompanied by a report of the board of directors setting forth the reasons for the exclusion or limitation, or, if the exclusion derives from a contribution in kind, the reasons for such contribution in kind, and in all cases the criteria adopted for determining the issue price. The report must be communicated by the directors to the board of statutory auditors and to the external auditor at least 30 days prior to the date of the shareholders’ meeting at which the capital increase is to be approved. Within 15 days, the board of statutory auditors must express its opinion on the fairness of the issue price of the new shares. The opinion of the board of statutory auditors and, only in the case of contribution in kind, the sworn report of the expert appointed by a competent court or the documentation provided by Italian law, must be available at the company’s registered office during the 15 days prior to the shareholders’ meeting. Such terms may be waived by unanimous consent of the shareholders. The shareholders’ resolution shall determine the issue price of the shares on the basis of shareholders’ equity, taking into account, in the case of shares listed on a regulated market, also the trend in prices over the last six months. The foregoing procedure shall apply also in case of capital increase delegated to the board of directors.</w:t>
      </w:r>
    </w:p>
    <w:p>
      <w:pPr>
        <w:spacing w:after="0" w:line="200" w:lineRule="exact"/>
        <w:rPr>
          <w:sz w:val="20"/>
          <w:szCs w:val="20"/>
          <w:color w:val="auto"/>
        </w:rPr>
      </w:pPr>
    </w:p>
    <w:p>
      <w:pPr>
        <w:sectPr>
          <w:pgSz w:w="11900" w:h="16838" w:orient="portrait"/>
          <w:cols w:equalWidth="0" w:num="2">
            <w:col w:w="5440" w:space="300"/>
            <w:col w:w="5500"/>
          </w:cols>
          <w:pgMar w:left="320" w:top="711" w:right="339" w:bottom="144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3" w:name="page194"/>
    <w:bookmarkEnd w:id="19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Debt-equity ratio</w:t>
      </w:r>
    </w:p>
    <w:p>
      <w:pPr>
        <w:sectPr>
          <w:pgSz w:w="11900" w:h="16838" w:orient="portrait"/>
          <w:cols w:equalWidth="0" w:num="1">
            <w:col w:w="11180"/>
          </w:cols>
          <w:pgMar w:left="320" w:top="711" w:right="39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there are no restrictions on the amount of debt securities that a corporation may issue.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60"/>
        <w:spacing w:after="0" w:line="287" w:lineRule="auto"/>
        <w:rPr>
          <w:sz w:val="20"/>
          <w:szCs w:val="20"/>
          <w:color w:val="auto"/>
        </w:rPr>
      </w:pPr>
      <w:r>
        <w:rPr>
          <w:rFonts w:ascii="Arial" w:cs="Arial" w:eastAsia="Arial" w:hAnsi="Arial"/>
          <w:sz w:val="16"/>
          <w:szCs w:val="16"/>
          <w:color w:val="auto"/>
        </w:rPr>
        <w:t>Under Italian law, a company may issue debt securities in an amount not to exceed twice the sum of its corporate capital, plus legal reserves and any other disposable reserves appearing on the latest balance sheet approved by the shareholders. The board of statutory auditors must certify compliance with such limitation. This limitation may be exceeded if the debt securities issued in excess are intended for subscription by professional investors subject to regulatory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w:t>
      </w:r>
    </w:p>
    <w:p>
      <w:pPr>
        <w:spacing w:after="0" w:line="195" w:lineRule="exact"/>
        <w:rPr>
          <w:sz w:val="20"/>
          <w:szCs w:val="20"/>
          <w:color w:val="auto"/>
        </w:rPr>
      </w:pPr>
    </w:p>
    <w:p>
      <w:pPr>
        <w:ind w:left="260"/>
        <w:spacing w:after="0" w:line="284" w:lineRule="auto"/>
        <w:rPr>
          <w:sz w:val="20"/>
          <w:szCs w:val="20"/>
          <w:color w:val="auto"/>
        </w:rPr>
      </w:pPr>
      <w:r>
        <w:rPr>
          <w:rFonts w:ascii="Arial" w:cs="Arial" w:eastAsia="Arial" w:hAnsi="Arial"/>
          <w:sz w:val="16"/>
          <w:szCs w:val="16"/>
          <w:color w:val="auto"/>
        </w:rPr>
        <w:t>The legal reserve is a reserve to which a company must allocate 5% of its net income each year until it equals at least 20% of the corporate capital. Another reserve is a “share premium reserve,” which reflects the amount paid for ordinary shares in excess of the amount allocated to corporate capital. Until its outstanding debt securities are repaid in full, a company may not voluntarily reduce its corporate capital or distribute reserves (such as by declaring dividends) if, by doing so, it fails to meet the limitation indicated above. In the event of mandatory capital reduction, or if reserves reduce as a consequence of losses, the company may not distribute dividends until the aggregate of corporate capital and reserves, following such reduction of capital and/or distribution of reserves, is equal or exceeding half of the outstanding principal amount of debt securities. If our equity is reduced by losses or otherwise, such that the principal amount of outstanding debt securities is more than twice the amount of the company’s equity, the company cannot pay dividends to shareholders until the minimum ratio between the amount of debt securities and our capital and reserves is restored. Some legal scholars are of the opinion that the ratio must be restored by a recapitalization of the company. If equity is reduced, a company could recapitalize by means of issuing new shares or having current shareholders contribute additional capital, although there can be no assurance that we would be able to find purchasers for new shares or that any of our current shareholders would be willing to contribute additional capital. These provisions regarding the ratio of debt securities to corporate capital and reserves do not apply to the issuance of debt securities to professional investors (as defined by Italian law). However, professional investors who transfer such debt securities issued by us to third parties not qualified as professional investors would remain liable to our third-party investors for the payment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580"/>
            <w:col w:w="5700"/>
          </w:cols>
          <w:pgMar w:left="320" w:top="711" w:right="399" w:bottom="1440" w:gutter="0" w:footer="0" w:header="0"/>
          <w:type w:val="continuous"/>
        </w:sectPr>
      </w:pPr>
    </w:p>
    <w:bookmarkStart w:id="194" w:name="page195"/>
    <w:bookmarkEnd w:id="19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Reduction of equity by losses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shareholder equity in a corporation is reduced by losses and may become negative.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Italian law requires a company to reduce its shareholders’ equity in certain situations. Shareholders’ equity has three main components: capital, legal reserves and other shareholders’ equity (such as any premium paid for the shares over the nominal value and any retained earnings). Losses from operations are first offset against shareholders’ equity other than legal reserves and corporate capital. If additional losses remain and, after setting aside legal reserves, corporate capital is reduced by more than one-third as a result of losses, the board of directors must call a shareholders’ meeting as soon as possible. The shareholders, having received an updated report on the company’s financial situation accompanied by a report of the board of statutory auditors, should take appropriate measures, which may include, among others</w:t>
      </w:r>
      <w:r>
        <w:rPr>
          <w:rFonts w:ascii="Arial" w:cs="Arial" w:eastAsia="Arial" w:hAnsi="Arial"/>
          <w:sz w:val="16"/>
          <w:szCs w:val="16"/>
          <w:i w:val="1"/>
          <w:iCs w:val="1"/>
          <w:color w:val="auto"/>
        </w:rPr>
        <w:t>,</w:t>
      </w:r>
      <w:r>
        <w:rPr>
          <w:rFonts w:ascii="Arial" w:cs="Arial" w:eastAsia="Arial" w:hAnsi="Arial"/>
          <w:sz w:val="16"/>
          <w:szCs w:val="16"/>
          <w:color w:val="auto"/>
        </w:rPr>
        <w:t xml:space="preserve"> reducing the legal reserves and corporate capital by the amount of the remaining losses, or carrying the losses forward up to one year. If the shareholders vote to carry the losses forward up to one year, and the losses are still more than one-third of the amount of corporate capital at the end of that year, then the company must reduce its corporate capital by the amount of the losses suffered. An S.p.A. like us must have a corporate capital of at least €50,000. If the amount of the losses would reduce our corporate capital to less than €50,000, then:</w:t>
      </w:r>
    </w:p>
    <w:p>
      <w:pPr>
        <w:spacing w:after="0" w:line="196" w:lineRule="exact"/>
        <w:rPr>
          <w:sz w:val="20"/>
          <w:szCs w:val="20"/>
          <w:color w:val="auto"/>
        </w:rPr>
      </w:pPr>
    </w:p>
    <w:p>
      <w:pPr>
        <w:ind w:left="400" w:right="80" w:hanging="242"/>
        <w:spacing w:after="0" w:line="296" w:lineRule="auto"/>
        <w:tabs>
          <w:tab w:leader="none" w:pos="40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we would need to increase our capital, which we could do by issuing new shares or having our shareholders contribute additional capital to our company, although there can be no assurance that we would be able to find purchasers for new shares or that any of our current shareholders would be willing to contribute additional capital;</w:t>
      </w:r>
    </w:p>
    <w:p>
      <w:pPr>
        <w:spacing w:after="0" w:line="188" w:lineRule="exact"/>
        <w:rPr>
          <w:rFonts w:ascii="Arial" w:cs="Arial" w:eastAsia="Arial" w:hAnsi="Arial"/>
          <w:sz w:val="16"/>
          <w:szCs w:val="16"/>
          <w:color w:val="auto"/>
        </w:rPr>
      </w:pPr>
    </w:p>
    <w:p>
      <w:pPr>
        <w:ind w:left="400" w:right="160" w:hanging="242"/>
        <w:spacing w:after="0" w:line="296" w:lineRule="auto"/>
        <w:tabs>
          <w:tab w:leader="none" w:pos="40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our shareholders would need to convert our company to an “S.r.l.”, a private limited liability company, which has a lower capital requirement of €10,000. Such arrangement would, however, prevent the Company to remain listed on Nasdaq since the S.r.l. form is not consistent with being listed pursuant to Italian law; or</w:t>
      </w:r>
    </w:p>
    <w:p>
      <w:pPr>
        <w:spacing w:after="0" w:line="188" w:lineRule="exact"/>
        <w:rPr>
          <w:rFonts w:ascii="Arial" w:cs="Arial" w:eastAsia="Arial" w:hAnsi="Arial"/>
          <w:sz w:val="16"/>
          <w:szCs w:val="16"/>
          <w:color w:val="auto"/>
        </w:rPr>
      </w:pPr>
    </w:p>
    <w:p>
      <w:pPr>
        <w:ind w:left="400" w:right="320" w:hanging="242"/>
        <w:spacing w:after="0" w:line="257" w:lineRule="auto"/>
        <w:tabs>
          <w:tab w:leader="none" w:pos="4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neither of these options are pursued, our shareholders or, if the directors do not convene a shareholders’ meeting, a court of competent jurisdiction, at the instance of individuals shareholders, could appoint a liquidator, who need not be an Italian citizen, to liquidate our company.</w:t>
      </w:r>
    </w:p>
    <w:p>
      <w:pPr>
        <w:spacing w:after="0" w:line="200" w:lineRule="exact"/>
        <w:rPr>
          <w:sz w:val="20"/>
          <w:szCs w:val="20"/>
          <w:color w:val="auto"/>
        </w:rPr>
      </w:pPr>
    </w:p>
    <w:p>
      <w:pPr>
        <w:sectPr>
          <w:pgSz w:w="11900" w:h="16838" w:orient="portrait"/>
          <w:cols w:equalWidth="0" w:num="2">
            <w:col w:w="5100" w:space="640"/>
            <w:col w:w="5500"/>
          </w:cols>
          <w:pgMar w:left="320" w:top="711"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 exchange control consent is required in Italy for the transfer of dividends or other distributions with respect to shares of an Italian company or proceeds from the sale thereof to persons outside of Italy.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Italian, or other taxing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 Tax Considerations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Under Italian law, financial instruments issued by an Italian company are subject to the same tax regime as are shares, provided that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21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b w:val="1"/>
          <w:bCs w:val="1"/>
          <w:i w:val="1"/>
          <w:iCs w:val="1"/>
          <w:color w:val="auto"/>
        </w:rPr>
        <w:t>Income Tax Withholding on Dividends</w:t>
      </w:r>
      <w:r>
        <w:rPr>
          <w:rFonts w:ascii="Arial" w:cs="Arial" w:eastAsia="Arial" w:hAnsi="Arial"/>
          <w:sz w:val="17"/>
          <w:szCs w:val="17"/>
          <w:color w:val="auto"/>
        </w:rPr>
        <w:t>. We do not anticipate making any distributions on our ordinary shares in the foreseeable future. However,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ADRs or holders of equity shares not residing in Italy will initially receive will be net of such Italian substitute tax.</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Italian law, US owners can claim, in accordance with Presidential Decree No. 600 of October 16, 1973, Article 27(3), a refund of up to eleven-twenty-sixths (</w:t>
      </w:r>
      <w:r>
        <w:rPr>
          <w:rFonts w:ascii="Arial" w:cs="Arial" w:eastAsia="Arial" w:hAnsi="Arial"/>
          <w:sz w:val="16"/>
          <w:szCs w:val="16"/>
          <w:i w:val="1"/>
          <w:iCs w:val="1"/>
          <w:color w:val="auto"/>
        </w:rPr>
        <w:t>i.e.</w:t>
      </w:r>
      <w:r>
        <w:rPr>
          <w:rFonts w:ascii="Arial" w:cs="Arial" w:eastAsia="Arial" w:hAnsi="Arial"/>
          <w:sz w:val="16"/>
          <w:szCs w:val="16"/>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double tax treaty in force between Italy and the United States of America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21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Companies or entities subject to corporation tax and resident in States that are European Union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on Capital Gains</w:t>
      </w:r>
      <w:r>
        <w:rPr>
          <w:rFonts w:ascii="Arial" w:cs="Arial" w:eastAsia="Arial" w:hAnsi="Arial"/>
          <w:sz w:val="18"/>
          <w:szCs w:val="18"/>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general rule, gains from shares in Italian companies, under custody in Italy, could give rise to a taxable income for the non-resident transferor.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6" w:name="page197"/>
    <w:bookmarkEnd w:id="196"/>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Capital Gains exempt from taxation in Italy </w:t>
      </w:r>
      <w:r>
        <w:rPr>
          <w:rFonts w:ascii="Arial" w:cs="Arial" w:eastAsia="Arial" w:hAnsi="Arial"/>
          <w:sz w:val="18"/>
          <w:szCs w:val="18"/>
          <w:color w:val="auto"/>
        </w:rPr>
        <w:t>- “Non-qualified shareholdings” are those which are below 2% of the voting rights and 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of an exchange-listed company. Gains from the disposal of non-qualified share investments in Italian listed companies by non-Italian residents are not subject to Italian income tax under domestic rule.</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i w:val="1"/>
          <w:iCs w:val="1"/>
          <w:color w:val="auto"/>
        </w:rPr>
        <w:t xml:space="preserve">Capital Gains subject to tax in Italy </w:t>
      </w:r>
      <w:r>
        <w:rPr>
          <w:rFonts w:ascii="Arial" w:cs="Arial" w:eastAsia="Arial" w:hAnsi="Arial"/>
          <w:sz w:val="18"/>
          <w:szCs w:val="18"/>
          <w:color w:val="auto"/>
        </w:rPr>
        <w:t>- “Qualified shareholdings” in a listed company are those representing more than the 2% of the 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than the 5% of the capital of an exchange-listed company. Capital gains from the disposal of a qualified shareholding in a listed company are subject to a withholding tax of 26% under the domestic rule.</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As a consequence,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U.S.A. anti-double treaty tax convention states a taxation criterion in line with the above. In the light of the above and upon conditions that all the requirements relevant for the application of the Italy – U.S.A. anti-double treaty tax convention are met, an US investor may benefit from the fully exemption of taxation in Italy.</w:t>
      </w:r>
    </w:p>
    <w:p>
      <w:pPr>
        <w:spacing w:after="0" w:line="21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spacing w:after="0" w:line="198"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i w:val="1"/>
          <w:iCs w:val="1"/>
          <w:color w:val="auto"/>
        </w:rPr>
        <w:t>Estate and Gift Tax</w:t>
      </w:r>
      <w:r>
        <w:rPr>
          <w:rFonts w:ascii="Arial" w:cs="Arial" w:eastAsia="Arial" w:hAnsi="Arial"/>
          <w:sz w:val="16"/>
          <w:szCs w:val="16"/>
          <w:color w:val="auto"/>
        </w:rPr>
        <w:t>. Inheritance and gift taxes, which were abolished in 2001, have been re-introduced in the Italian system by Law Decree No.</w:t>
      </w:r>
      <w:r>
        <w:rPr>
          <w:rFonts w:ascii="Arial" w:cs="Arial" w:eastAsia="Arial" w:hAnsi="Arial"/>
          <w:sz w:val="16"/>
          <w:szCs w:val="16"/>
          <w:i w:val="1"/>
          <w:iCs w:val="1"/>
          <w:color w:val="auto"/>
        </w:rPr>
        <w:t xml:space="preserve"> </w:t>
      </w:r>
      <w:r>
        <w:rPr>
          <w:rFonts w:ascii="Arial" w:cs="Arial" w:eastAsia="Arial" w:hAnsi="Arial"/>
          <w:sz w:val="16"/>
          <w:szCs w:val="16"/>
          <w:color w:val="auto"/>
        </w:rPr>
        <w:t>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w:t>
      </w:r>
    </w:p>
    <w:p>
      <w:pPr>
        <w:spacing w:after="0" w:line="2" w:lineRule="exact"/>
        <w:rPr>
          <w:sz w:val="20"/>
          <w:szCs w:val="20"/>
          <w:color w:val="auto"/>
        </w:rPr>
      </w:pPr>
    </w:p>
    <w:p>
      <w:pPr>
        <w:ind w:firstLine="8"/>
        <w:spacing w:after="0" w:line="292" w:lineRule="auto"/>
        <w:tabs>
          <w:tab w:leader="none" w:pos="24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4%, if the beneficiary (or donee) is the spouse or a direct ascendant or descendant (such rate only applying on the net asset value exceeding, for each person, €1.0 million); (b) 6%, if the beneficiary (or donee) is a brother or sister (such rate only applying on the net asset value exceeding, for each person, €0.1 million);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18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Transfer tax</w:t>
      </w:r>
      <w:r>
        <w:rPr>
          <w:rFonts w:ascii="Arial" w:cs="Arial" w:eastAsia="Arial" w:hAnsi="Arial"/>
          <w:sz w:val="17"/>
          <w:szCs w:val="17"/>
          <w:color w:val="auto"/>
        </w:rPr>
        <w:t>. In connection with the Italian stamp duty tax on the transfer of shares, according to article 37 of Law No. 248 of December 31, 2007,</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with amendments into Law No. 31 of February 28, 2008, the stamp duty has been abolished with regard to contracts having as their object the transfer of shares. In certain cases the relevant transfer acts would be subject to the registration tax at a flat amount equal to €200.</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Communications Stamp Duty</w:t>
      </w:r>
      <w:r>
        <w:rPr>
          <w:rFonts w:ascii="Arial" w:cs="Arial" w:eastAsia="Arial" w:hAnsi="Arial"/>
          <w:sz w:val="16"/>
          <w:szCs w:val="16"/>
          <w:color w:val="auto"/>
        </w:rPr>
        <w:t>. A stamp duty has been introduced under article 19 of Law Decree No. 201 of December 6, 2011, converted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Arial" w:cs="Arial" w:eastAsia="Arial" w:hAnsi="Arial"/>
          <w:sz w:val="16"/>
          <w:szCs w:val="16"/>
          <w:i w:val="1"/>
          <w:iCs w:val="1"/>
          <w:color w:val="auto"/>
        </w:rPr>
        <w:t>pro-rata temporis</w:t>
      </w:r>
      <w:r>
        <w:rPr>
          <w:rFonts w:ascii="Arial" w:cs="Arial" w:eastAsia="Arial" w:hAnsi="Arial"/>
          <w:sz w:val="16"/>
          <w:szCs w:val="16"/>
          <w:color w:val="auto"/>
        </w:rPr>
        <w:t xml:space="preserve"> basis (from January 1 up to December 31). The minimum amount is fixed of € 34,20 up to a maximum amount of €14,000. The communication is deemed to be sent to clients at least once a year, even where there is no obligation to issue any such communication.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7" w:name="page198"/>
    <w:bookmarkEnd w:id="197"/>
    <w:p>
      <w:pPr>
        <w:ind w:firstLine="648"/>
        <w:spacing w:after="0" w:line="296" w:lineRule="auto"/>
        <w:rPr>
          <w:sz w:val="20"/>
          <w:szCs w:val="20"/>
          <w:color w:val="auto"/>
        </w:rPr>
      </w:pPr>
      <w:r>
        <w:rPr>
          <w:rFonts w:ascii="Arial" w:cs="Arial" w:eastAsia="Arial" w:hAnsi="Arial"/>
          <w:sz w:val="16"/>
          <w:szCs w:val="16"/>
          <w:i w:val="1"/>
          <w:iCs w:val="1"/>
          <w:color w:val="auto"/>
        </w:rPr>
        <w:t>Financial Transaction Tax</w:t>
      </w:r>
      <w:r>
        <w:rPr>
          <w:rFonts w:ascii="Arial" w:cs="Arial" w:eastAsia="Arial" w:hAnsi="Arial"/>
          <w:sz w:val="16"/>
          <w:szCs w:val="16"/>
          <w:color w:val="auto"/>
        </w:rPr>
        <w:t>. Law 228 of December 24, 2012, Article 1(491 – 500) introduced the Italian Financial Transaction Tax applicable (i)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(v) to over-the-counter transactions with a full rate.</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American Depository Receipts (“ADRs”), Global Depository Receipts (“GDRs”) and any other certificate of deposit, where the underlying securities are Italian Equity.</w:t>
      </w:r>
    </w:p>
    <w:p>
      <w:pPr>
        <w:spacing w:after="0" w:line="21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value of the transaction is determined on the basis of the net balance of the transactions settled daily, calculated for each taxpayer with reference to the number of securities traded under the transactions settled in the same day and relating to the same financial instrument.</w:t>
      </w:r>
    </w:p>
    <w:p>
      <w:pPr>
        <w:spacing w:after="0" w:line="15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Italian Financial Transaction Tax is due by the person in whose favor the transfer of ownership of the Qualifying Equities occurs.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rate applicable is 0.20% while the reduced rate for transactions on “regulated markets and on multilateral trading facilities” is 0.10%.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shall be paid by the 16th day of the month following the one in which the relevant triggering event occurs.</w:t>
      </w:r>
    </w:p>
    <w:p>
      <w:pPr>
        <w:spacing w:after="0" w:line="25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21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8" w:name="page199"/>
    <w:bookmarkEnd w:id="198"/>
    <w:p>
      <w:pPr>
        <w:ind w:firstLine="648"/>
        <w:spacing w:after="0" w:line="290" w:lineRule="auto"/>
        <w:rPr>
          <w:sz w:val="20"/>
          <w:szCs w:val="20"/>
          <w:color w:val="auto"/>
        </w:rPr>
      </w:pPr>
      <w:r>
        <w:rPr>
          <w:rFonts w:ascii="Arial" w:cs="Arial" w:eastAsia="Arial" w:hAnsi="Arial"/>
          <w:sz w:val="16"/>
          <w:szCs w:val="16"/>
          <w:color w:val="auto"/>
        </w:rPr>
        <w:t>This summary is for general information purposes only and does not purport to be a comprehensive description of all of the U.S. federal income tax considerations that may be relevant to a decision to purchase the ADSs. This summary generally considers only U.S. Holders that will own the ADSs as capital assets.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w:t>
      </w:r>
    </w:p>
    <w:p>
      <w:pPr>
        <w:spacing w:after="0" w:line="1" w:lineRule="exact"/>
        <w:rPr>
          <w:sz w:val="20"/>
          <w:szCs w:val="20"/>
          <w:color w:val="auto"/>
        </w:rPr>
      </w:pPr>
    </w:p>
    <w:p>
      <w:pPr>
        <w:ind w:right="80" w:firstLine="8"/>
        <w:spacing w:after="0" w:line="269" w:lineRule="auto"/>
        <w:tabs>
          <w:tab w:leader="none" w:pos="25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 Additionally, the U.S. federal income tax treatment of partnerships (or other pass-through entities) or persons who hold securities through a partnership or other pass-through entity are not addressed.</w:t>
      </w:r>
    </w:p>
    <w:p>
      <w:pPr>
        <w:spacing w:after="0" w:line="20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Each prospective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Paid on Ordinary Shares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20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9" w:name="page200"/>
    <w:bookmarkEnd w:id="199"/>
    <w:p>
      <w:pPr>
        <w:ind w:right="80" w:firstLine="648"/>
        <w:spacing w:after="0" w:line="291" w:lineRule="auto"/>
        <w:rPr>
          <w:sz w:val="20"/>
          <w:szCs w:val="20"/>
          <w:color w:val="auto"/>
        </w:rPr>
      </w:pPr>
      <w:r>
        <w:rPr>
          <w:rFonts w:ascii="Arial" w:cs="Arial" w:eastAsia="Arial" w:hAnsi="Arial"/>
          <w:sz w:val="16"/>
          <w:szCs w:val="16"/>
          <w:color w:val="auto"/>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9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Disposition of Ordinary Shares</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Special U.S. federal income tax laws apply to U.S. taxpayers who own shares of a corporation that is a PFIC. We will be treated as a PFIC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for any taxable year that either:</w:t>
      </w:r>
    </w:p>
    <w:p>
      <w:pPr>
        <w:spacing w:after="0" w:line="238" w:lineRule="exact"/>
        <w:rPr>
          <w:sz w:val="20"/>
          <w:szCs w:val="20"/>
          <w:color w:val="auto"/>
        </w:rPr>
      </w:pPr>
    </w:p>
    <w:p>
      <w:pPr>
        <w:ind w:left="660" w:right="40" w:hanging="328"/>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in which we are considered to own 25% or more of the shares by value), in a taxable year is passive; or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21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4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Accordingly, there can be no assurance that we currently are not or will not become a PFIC.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0" w:name="page201"/>
    <w:bookmarkEnd w:id="200"/>
    <w:p>
      <w:pPr>
        <w:ind w:right="20" w:firstLine="648"/>
        <w:spacing w:after="0" w:line="270" w:lineRule="auto"/>
        <w:rPr>
          <w:sz w:val="20"/>
          <w:szCs w:val="20"/>
          <w:color w:val="auto"/>
        </w:rPr>
      </w:pPr>
      <w:r>
        <w:rPr>
          <w:rFonts w:ascii="Arial" w:cs="Arial" w:eastAsia="Arial" w:hAnsi="Arial"/>
          <w:sz w:val="17"/>
          <w:szCs w:val="17"/>
          <w:color w:val="auto"/>
        </w:rPr>
        <w:t>If we currently are or become a PFIC,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20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w:t>
      </w:r>
    </w:p>
    <w:p>
      <w:pPr>
        <w:spacing w:after="0" w:line="20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20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U.S. Holders who hold our ordinary shares during a period when we are a PFIC will be subject to the foregoing rules, even if we cease to be a PFIC. U.S. Holders are strongly urged to consult their tax advisors about the PFIC rules.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i w:val="1"/>
          <w:iCs w:val="1"/>
          <w:color w:val="auto"/>
        </w:rPr>
        <w:t>Information Reporting and Withholding</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U.S. Holder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and may be required to file a Report of Foreign Bank and Financial Accounts if the aggregate value of the foreign financial accounts exceeds $10,000 at any time during the calendar year. You should consult your own tax advisor as to the possible obligation to file such information report.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UNDERWRITING</w:t>
      </w:r>
    </w:p>
    <w:p>
      <w:pPr>
        <w:spacing w:after="0" w:line="25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Roth Capital Partners, LLC and Maxim Group LLC are acting as representatives of the underwriters named below. We have entered into an underwriting agreement dated , 2021 with the representatives. Subject to the terms and conditions of the underwriting agreement, we have agreed to sell to each underwriter named below, and each underwriter named below has severally agreed to purchase, at the public offering price less the underwriting discount set forth on the cover page of this prospectus supplement, the number of ADSs listed next to its name in the following table:</w:t>
      </w:r>
    </w:p>
    <w:p>
      <w:pPr>
        <w:spacing w:after="0" w:line="203" w:lineRule="exact"/>
        <w:rPr>
          <w:sz w:val="20"/>
          <w:szCs w:val="20"/>
          <w:color w:val="auto"/>
        </w:rPr>
      </w:pPr>
    </w:p>
    <w:p>
      <w:pPr>
        <w:ind w:left="4000"/>
        <w:spacing w:after="0"/>
        <w:tabs>
          <w:tab w:leader="none" w:pos="952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5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underwriters are committed to purchase all the ADSs offered by the Company, other than those covered by the over-allotment option to purchase additional ADSs as described below. The obligations of the underwriters may be terminated upon the occurrence of certain events specified in the underwriting agreement. Furthermore, the underwriting agreement provides that the obligations of the underwriters to pay for and accept delivery of the ADSs offered by us in this prospectus are subject to various representations and warranties and other customary conditions specified in the underwriting agreement, such as receipt by the underwriters of officers’ certificates and legal opinions.</w:t>
      </w:r>
    </w:p>
    <w:p>
      <w:pPr>
        <w:spacing w:after="0" w:line="20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underwriters are offering the ADSs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21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have granted the underwriters an over-allotment option. This option, which is exercisable for up to 30 days after the date of this prospectus, permits the underwriters to purchase up to an aggregate of 241,304 additional ADSs (equal to 15% of the total number of ADSs sold in this offering) at the public offering price per share, less underwriting discounts and commissions, solely to cover over-allotments, if any. If the underwriters exercise this option in whole or in part, then the underwriters will be severally committed, subject to the conditions described in the underwriting agreement, to purchase the additional ADSs in proportion to their respective commitments set forth in the prior table.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Commissions and Reimbursement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representatives have advised us that the underwriters propose to offer the ADSs to the public at the initial public offering price per share set forth on the cover page of this prospectus. The underwriters may offer ADSs to securities dealers at that price less a concession of not more than $ per ADS of which up to $ per ADS may be reallowed to other dealers. After the initial offering to the public, the public offering price and other selling terms may be changed by the representatives.</w:t>
      </w:r>
    </w:p>
    <w:p>
      <w:pPr>
        <w:spacing w:after="0" w:line="21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the underwriting discounts and commissions, advisory fees payable to the underwriters and proceeds, before expenses, to us assuming both no exercise and full exercise by the underwriters of their over-allotment option: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 ADS</w:t>
            </w:r>
          </w:p>
        </w:tc>
        <w:tc>
          <w:tcPr>
            <w:tcW w:w="2320" w:type="dxa"/>
            <w:vAlign w:val="bottom"/>
            <w:gridSpan w:val="4"/>
          </w:tcPr>
          <w:p>
            <w:pPr>
              <w:ind w:left="9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Without Option</w:t>
            </w:r>
          </w:p>
        </w:tc>
        <w:tc>
          <w:tcPr>
            <w:tcW w:w="1000" w:type="dxa"/>
            <w:vAlign w:val="bottom"/>
            <w:tcBorders>
              <w:top w:val="single" w:sz="8" w:color="auto"/>
            </w:tcBorders>
          </w:tcPr>
          <w:p>
            <w:pPr>
              <w:jc w:val="right"/>
              <w:ind w:right="47"/>
              <w:spacing w:after="0" w:line="149" w:lineRule="exact"/>
              <w:rPr>
                <w:sz w:val="20"/>
                <w:szCs w:val="20"/>
                <w:color w:val="auto"/>
              </w:rPr>
            </w:pPr>
            <w:r>
              <w:rPr>
                <w:rFonts w:ascii="Arial" w:cs="Arial" w:eastAsia="Arial" w:hAnsi="Arial"/>
                <w:sz w:val="14"/>
                <w:szCs w:val="14"/>
                <w:b w:val="1"/>
                <w:bCs w:val="1"/>
                <w:color w:val="auto"/>
              </w:rPr>
              <w:t>With Option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Underwriting discounts and commissions (public investors, 7%)</w:t>
            </w:r>
          </w:p>
        </w:tc>
        <w:tc>
          <w:tcPr>
            <w:tcW w:w="2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Advisory fee (Reserved Offering, 4.5%)</w:t>
            </w:r>
          </w:p>
        </w:tc>
        <w:tc>
          <w:tcPr>
            <w:tcW w:w="362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6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191</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203" w:name="page204"/>
    <w:bookmarkEnd w:id="203"/>
    <w:p>
      <w:pPr>
        <w:jc w:val="both"/>
        <w:ind w:right="380" w:firstLine="648"/>
        <w:spacing w:after="0" w:line="301" w:lineRule="auto"/>
        <w:rPr>
          <w:sz w:val="20"/>
          <w:szCs w:val="20"/>
          <w:color w:val="auto"/>
        </w:rPr>
      </w:pPr>
      <w:r>
        <w:rPr>
          <w:rFonts w:ascii="Arial" w:cs="Arial" w:eastAsia="Arial" w:hAnsi="Arial"/>
          <w:sz w:val="16"/>
          <w:szCs w:val="16"/>
          <w:color w:val="auto"/>
        </w:rPr>
        <w:t>The underwriters have agreed that the maximum aggregate underwriting discounts and commissions shall not exceed 6.5% of the total gross proceeds from the offering. In addition, we have also agreed to pay the reasonable and documents expenses of the underwriters relating to the offering (including the costs of document preparation, production and distribution (such as printing and binding, and photocopies), and third-party research and database services, and the reasonable fees and disbursements of independent counsel), up to an aggregate of $400,000.</w:t>
      </w:r>
    </w:p>
    <w:p>
      <w:pPr>
        <w:spacing w:after="0" w:line="184" w:lineRule="exact"/>
        <w:rPr>
          <w:sz w:val="20"/>
          <w:szCs w:val="20"/>
          <w:color w:val="auto"/>
        </w:rPr>
      </w:pPr>
    </w:p>
    <w:p>
      <w:pPr>
        <w:ind w:left="660"/>
        <w:spacing w:after="0"/>
        <w:tabs>
          <w:tab w:leader="none" w:pos="10820" w:val="left"/>
        </w:tabs>
        <w:rPr>
          <w:sz w:val="20"/>
          <w:szCs w:val="20"/>
          <w:color w:val="auto"/>
        </w:rPr>
      </w:pPr>
      <w:r>
        <w:rPr>
          <w:rFonts w:ascii="Arial" w:cs="Arial" w:eastAsia="Arial" w:hAnsi="Arial"/>
          <w:sz w:val="17"/>
          <w:szCs w:val="17"/>
          <w:color w:val="auto"/>
        </w:rPr>
        <w:t>We estimate the expenses of this offering payable by us, not including underwriting discounts and commissions, will be approximately $</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Warrants</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Upon the closing of this offering, we have agreed to issue to Roth Capital Partners LLC and Maxim Partners LLC warrants, or the Warrants, to purchase a number of ADSs equal to 4% of the total number of ADSs sold in this public offering to investors other than (i) non-US retail, family office or institutional investors identified by the Company and mutually agreed with Roth Capital Partners LLC and (ii) existing investors in the Company. The Warrants will be exercisable at a per share exercise price equal to 125% of the public offering price per ADS sold in this offering. The Warrants are exercisable at any time and from time to time, in whole or in part, during the four and one-half year period commencing six months from the deemed effective date of the registration statement related to this offering. The Warrants also provide for one demand registration right of the ADSs underlying the Warrants, and unlimited “piggyback” registration rights with respect to the registration of the ADSs underlying the Warrants and customary antidilution provisions. The demand registration right provided will not be greater than five years from the date of the underwriting agreement related to this offering in compliance with FINRA Rule 5110(g)(8)(D). The piggyback registration right provided will not be greater than seven years from the date of the underwriting agreement related to this offering in compliance with FINRA Rule 5110(g)(8)(D).</w:t>
      </w:r>
    </w:p>
    <w:p>
      <w:pPr>
        <w:spacing w:after="0" w:line="21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Warrants and the ADSs underlying the Warrants have been deemed compensation by the Financial Industry Regulatory Authority, or FINRA, and are therefore subject to a 180-day lock-up pursuant to Rule 5110(g)(1) of FINRA. The holder, or permitted assignees under such rule, may not sell, transfer, assign, pledge, or hypothecate the Warrants or the ADSs underlying the Warrants, nor will the holder engage in any hedging, short sale, derivative, put, or call transaction that would result in the effective economic disposition of the Warrants or the underlying ADSs for a period of 180 days from the deemed effective date of the registration statement. Additionally, the Warrants may not be sold transferred, assigned, pledged or hypothecated for a 180-day period following the deemed effective date of the registration statement except to any underwriter and selected dealer participating in the offering and their bona fide officers or partners. The Warrants will provide for adjustment in the number and price of the Warrants and the ADSs underlying such Warrants in the event of recapitalization, merger, stock split or other structural transaction, or a future financing undertaken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Offering/Directed Share Program</w:t>
      </w:r>
    </w:p>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At our request, 1,000,000 ordinary shares covered by the registration statement of which this prospectus is part have been reserved for sale, at the initial public offering price, by the Company, directly or through agents, in the Reserved Offering to existing shareholders of the Company, as a mitigant for the exclusion of pre-emptive rights as resolved by the general shareholders meeting of the Company in accordance with Italian corporate law and our by-laws. The Reserved Offering will be effected in compliance with the laws of Italy, at the same price to investors as the offering of ADSs. We will receive the proceeds from the Reserved Offering minus an advisory fee payable to the underwriters equal to 4.5% of the offering price of ordinary shares sold to existing shareholders. The offer and sale of ordinary shares in the Reserved Offering (i) is contingent upon the completion of the offering of ADSs and will commence and be consummated concurrently with such offering of ADSs, (ii) has been registered for purposes of the securities laws of the United States under the registration statement of which this prospectus is part, and (iii) is conducted in Italy under applicable exemptions from Italian and European regulations concerning prospectus.</w:t>
      </w:r>
    </w:p>
    <w:p>
      <w:pPr>
        <w:spacing w:after="0" w:line="208"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In addition, at our request, the underwriters have reserved up to ordinary shares, representing % of the ADSs offered by this prospectus, for sale to investors identified by our directors and management through a directed share program to be administered at our direction by Roth Capital Partners, LLC. If and to the extent that these persons purchase ADSs, those purchases will reduce the number of ADSs available for sale to the general public Ordinary shares committed to be purchased by such persons that are not so purchased will be reallocated for sale as ADSs to the general public in the offering. All such sales of reserved ordinary shares will be made at the initial public offering price per ADS set forth on the cover page of this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w w:val="97"/>
              </w:rPr>
              <w:t>prospectus, less an underwriting discount of</w:t>
            </w:r>
          </w:p>
        </w:tc>
        <w:tc>
          <w:tcPr>
            <w:tcW w:w="7820" w:type="dxa"/>
            <w:vAlign w:val="bottom"/>
          </w:tcPr>
          <w:p>
            <w:pPr>
              <w:jc w:val="right"/>
              <w:ind w:right="7290"/>
              <w:spacing w:after="0"/>
              <w:rPr>
                <w:sz w:val="20"/>
                <w:szCs w:val="20"/>
                <w:color w:val="auto"/>
              </w:rPr>
            </w:pPr>
            <w:r>
              <w:rPr>
                <w:rFonts w:ascii="Arial" w:cs="Arial" w:eastAsia="Arial" w:hAnsi="Arial"/>
                <w:sz w:val="18"/>
                <w:szCs w:val="18"/>
                <w:color w:val="auto"/>
              </w:rPr>
              <w:t>%.</w:t>
            </w:r>
          </w:p>
        </w:tc>
      </w:tr>
      <w:tr>
        <w:trPr>
          <w:trHeight w:val="452"/>
        </w:trPr>
        <w:tc>
          <w:tcPr>
            <w:tcW w:w="34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jc w:val="right"/>
              <w:ind w:right="5390"/>
              <w:spacing w:after="0"/>
              <w:rPr>
                <w:sz w:val="20"/>
                <w:szCs w:val="20"/>
                <w:color w:val="auto"/>
              </w:rPr>
            </w:pPr>
            <w:r>
              <w:rPr>
                <w:rFonts w:ascii="Arial" w:cs="Arial" w:eastAsia="Arial" w:hAnsi="Arial"/>
                <w:sz w:val="18"/>
                <w:szCs w:val="18"/>
                <w:color w:val="auto"/>
              </w:rPr>
              <w:t>192</w:t>
            </w:r>
          </w:p>
        </w:tc>
      </w:tr>
    </w:tbl>
    <w:p>
      <w:pPr>
        <w:sectPr>
          <w:pgSz w:w="11900" w:h="16838" w:orient="portrait"/>
          <w:cols w:equalWidth="0" w:num="1">
            <w:col w:w="11240"/>
          </w:cols>
          <w:pgMar w:left="320" w:top="719"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Lock-Up Agreements</w:t>
      </w:r>
    </w:p>
    <w:p>
      <w:pPr>
        <w:spacing w:after="0" w:line="256"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We have agreed with the underwriters that we will not, without the prior consent of the representatives, for a period of 180 days following the date of this prospectus, offer, sell, contract to sell, pledge, grant any option to purchase, purchase any option or contract to sell, right or warrant to purchase, make any short sale, file a registration statement with respect to any ordinary shares or ADSs or any securities that are convertible into or exercisable or exchangeable for ordinary shares or ADSs, or otherwise transfer or dispose of (including entering into any swap or other agreement that transfers to any other entity, in whole or in part, any of the economic consequences of ownership interest): (1) the ADSs and depositary shares representing our ordinary shares; (2) shares of our controlled affiliates and depositary shares representing those shares; and (3) securities that are substantially similar to such ADSs or depositary shares. We have also agreed to cause affiliates to abide by the restrictions of the lock-up agreement. In addition, each of our directors and executive officers and each beneficial owner of 10% or more of the ADSs or ordinary shares will abide by similar 180-day lock-up agreement with respect to their ordinary shares, ADSs, depositary shares representing the ADSs and securities that are substantially similar to the ADSs or depositary shares representing our ordinary shares, subject to customary exceptions for transfers among affiliates. The restrictions of our lock-up agreement do not apply to:</w:t>
      </w:r>
    </w:p>
    <w:p>
      <w:pPr>
        <w:spacing w:after="0" w:line="5" w:lineRule="exact"/>
        <w:rPr>
          <w:sz w:val="20"/>
          <w:szCs w:val="20"/>
          <w:color w:val="auto"/>
        </w:rPr>
      </w:pPr>
    </w:p>
    <w:p>
      <w:pPr>
        <w:ind w:firstLine="8"/>
        <w:spacing w:after="0" w:line="285" w:lineRule="auto"/>
        <w:tabs>
          <w:tab w:leader="none" w:pos="2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issuance of securities pursuant to our employee share incentive plan which is described in this prospectus, and (2) a transfer by us to our affiliate, provided that such transfer is not a disposition for value and that such affiliate agrees to be bound in writing by the restrictions set forth in the lock-up agreement to which we are subject. The exceptions also permit our executive officers and directors and other existing security holders, subject to certain restrictions, to transfer ADSs, depositary shares representing the ADSs and securities that are substantially similar to the ADSs or our ordinary shares: (i) as a bona fide gift or gifts, (ii) to the person’s immediate family or any trust, partnership or similar entity for the direct or indirect benefit of the person or their immediate family, (iii) by operation of law, such as pursuant to a qualified domestic order or as required by a divorce settlement, (iv) as a distribution to the person’s limited partners or stockholders, (v) to the person’s affiliates or any investment fund or other entity controlled or managed by the person, or (vi) by will, other testamentary document or intestate succession upon death, including to the transferee’s nominee or custodian. Furthermore, during the lock-up period, our executive officers, directors, and other existing security holders may sell ordinary shares purchased from us in the Reserved Offering and ADSs purchased from the underwriters or in the open market following this offering, provided that such sales are not required to be reported in any public report or filing with the SEC or otherwise, and the seller does not voluntarily effect any public filing or report regarding such sales during the lock-up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5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Public Market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Prior to this offering, there has not been a public market for our securities in the U.S. and the public offering price for the ADSs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21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ADSs will trade in the public market subsequent to this offering or that an active trading market for the ADSs will develop and continue after this offering.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Stock Exchange</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have applied to list the ADSs on the Nasdaq Capital Market under the symbol “GNTA.” There can be no assurance that we will be successful in listing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 prospectus in electronic format may be made available on websites or through other online services maintained by one or more of the underwriters of this offering, or by their affiliates. Other than the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syndicate-covering transactions, penalty bids and purchases to cover positions created by short sales.</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Stabilizing transactions permit bids to purchase ADSs so long as the stabilizing bids do not exceed a specified maximum, and are engaged in for the purpose of preventing or retarding a decline in the market price of the ADSs while the offering is in progress.</w:t>
      </w:r>
    </w:p>
    <w:p>
      <w:pPr>
        <w:spacing w:after="0" w:line="19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Over-allotment transactions involve sales by the underwriters of ADSs in excess of the number of ADSs the underwriters are obligated to purchase. This creates a syndicate short position 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0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shares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offering.</w:t>
      </w:r>
    </w:p>
    <w:p>
      <w:pPr>
        <w:spacing w:after="0" w:line="22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Penalty bids permit the representatives to reclaim a selling concession from a syndicate member when the ADSs originally sold by that syndicate member are purchased in stabilizing or syndicate covering transactions to cover syndicate short positions.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preventing or retarding a decline in the market price of the ADSs. As a result, the price of the ADSs in the open market may be higher than it would otherwise be in the absence of these transactions. Neither we nor the underwriters make any representation or prediction as to the effect that the transactions described above may have on the price of the ADSs. These transactions may be effected on Nasdaq in the over-the-counter market or otherwise and, if commenced, may be discontinued at any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6" w:name="page207"/>
    <w:bookmarkEnd w:id="206"/>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Certain of the underwriters and their affiliates may in the future provide various investment banking, commercial banking and other financial services for us and our affiliates for which they may in the future receive customary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5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relation to each member state of the European Economic Area (each, a relevant member state), no securities have been offered or will be offered pursuant to the offering described in this prospectus to the public in that relevant member state prior to the publication of a prospectus in relation to the securities that has been approved by the competent authority in that relevant member state, all in accordance with the Prospectus Regulation, except that offers of securities may be made to the public in that relevant member state at any time:</w:t>
      </w:r>
    </w:p>
    <w:p>
      <w:pPr>
        <w:spacing w:after="0" w:line="214" w:lineRule="exact"/>
        <w:rPr>
          <w:sz w:val="20"/>
          <w:szCs w:val="20"/>
          <w:color w:val="auto"/>
        </w:rPr>
      </w:pPr>
    </w:p>
    <w:p>
      <w:pPr>
        <w:ind w:left="760" w:hanging="104"/>
        <w:spacing w:after="0"/>
        <w:tabs>
          <w:tab w:leader="none" w:pos="7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qualified investors as defined under article 2(e) of the Prospectus Regulation;</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2(e) of the Prospectus Regulation); or</w:t>
      </w:r>
    </w:p>
    <w:p>
      <w:pPr>
        <w:spacing w:after="0" w:line="236" w:lineRule="exact"/>
        <w:rPr>
          <w:rFonts w:ascii="Arial" w:cs="Arial" w:eastAsia="Arial" w:hAnsi="Arial"/>
          <w:sz w:val="17"/>
          <w:szCs w:val="17"/>
          <w:color w:val="auto"/>
        </w:rPr>
      </w:pPr>
    </w:p>
    <w:p>
      <w:pPr>
        <w:ind w:left="760" w:hanging="104"/>
        <w:spacing w:after="0"/>
        <w:tabs>
          <w:tab w:leader="none" w:pos="7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For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securities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95" w:orient="portrait"/>
          <w:cols w:equalWidth="0" w:num="1">
            <w:col w:w="11240"/>
          </w:cols>
          <w:pgMar w:left="320" w:top="715" w:right="339" w:bottom="0"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Switzerland</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2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is personal to the recipient only and not for general circulation in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offer or invitation to subscribe for securities is valid or permitted in the Dubai International Financial Centre.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20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Set forth below is an itemization of the total expenses, excluding underwriting discounts, expected to be incurred in connection with the offer and sale of the ordinary shares by us. With the exception of the SEC registration fee and the FINRA filing fee, all amounts are estimates: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3,241</w:t>
            </w:r>
          </w:p>
        </w:tc>
        <w:tc>
          <w:tcPr>
            <w:tcW w:w="8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Nasdaq listing fee</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4,740</w:t>
            </w:r>
          </w:p>
        </w:tc>
        <w:tc>
          <w:tcPr>
            <w:tcW w:w="8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5,744</w:t>
            </w:r>
          </w:p>
        </w:tc>
        <w:tc>
          <w:tcPr>
            <w:tcW w:w="8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Printer fees and expenses</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875,000</w:t>
            </w:r>
          </w:p>
        </w:tc>
        <w:tc>
          <w:tcPr>
            <w:tcW w:w="8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280,000</w:t>
            </w:r>
          </w:p>
        </w:tc>
        <w:tc>
          <w:tcPr>
            <w:tcW w:w="80" w:type="dxa"/>
            <w:vAlign w:val="bottom"/>
          </w:tcPr>
          <w:p>
            <w:pPr>
              <w:spacing w:after="0"/>
              <w:rPr>
                <w:sz w:val="18"/>
                <w:szCs w:val="18"/>
                <w:color w:val="auto"/>
              </w:rPr>
            </w:pPr>
          </w:p>
        </w:tc>
      </w:tr>
      <w:tr>
        <w:trPr>
          <w:trHeight w:val="25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7"/>
        </w:trPr>
        <w:tc>
          <w:tcPr>
            <w:tcW w:w="9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1,208,725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Certain legal matters concerning this offering will be passed upon for us by Loeb &amp; Loeb LLP, New York, New York. Certain legal matters with respect to the legality of the issuance of the securities offered by this prospectus will be passed upon for us by Giovannelli e Associati, Studio Legale, Italy. Certain legal matters related to the offering will be passed upon for the underwriters by Goodwin Procter LLP, New York, New York. LCA Studio Legale, Italy is representing the underwriters with respect to certain matters of Italian law.</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financial statements of Genenta for its fiscal years ended December 31, 2020 and 2019 included herein have been audited by Mayer Hoffman McCann P.C., independent registered public accounting firm, as set forth in their report thereon. Such financial statements are included in this prospectus and registration statement in reliance upon such report given on the authority of such firm as experts in accounting and auditing. The address of Mayer Hoffman McCann P.C. is 13500 Evening Creek Drive North #450, San Diego, California, United States.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5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8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Arial" w:cs="Arial" w:eastAsia="Arial" w:hAnsi="Arial"/>
          <w:sz w:val="18"/>
          <w:szCs w:val="18"/>
          <w:i w:val="1"/>
          <w:iCs w:val="1"/>
          <w:color w:val="auto"/>
        </w:rPr>
        <w:t>without prejudice to the application of the international conventions binding on Italy</w:t>
      </w:r>
      <w:r>
        <w:rPr>
          <w:rFonts w:ascii="Arial" w:cs="Arial" w:eastAsia="Arial" w:hAnsi="Arial"/>
          <w:sz w:val="18"/>
          <w:szCs w:val="18"/>
          <w:color w:val="auto"/>
        </w:rPr>
        <w:t>”.</w:t>
      </w:r>
    </w:p>
    <w:p>
      <w:pPr>
        <w:spacing w:after="0" w:line="21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10" w:name="page211"/>
    <w:bookmarkEnd w:id="210"/>
    <w:p>
      <w:pPr>
        <w:ind w:right="860" w:firstLine="648"/>
        <w:spacing w:after="0" w:line="277" w:lineRule="auto"/>
        <w:rPr>
          <w:sz w:val="20"/>
          <w:szCs w:val="20"/>
          <w:color w:val="auto"/>
        </w:rPr>
      </w:pPr>
      <w:r>
        <w:rPr>
          <w:rFonts w:ascii="Arial" w:cs="Arial" w:eastAsia="Arial" w:hAnsi="Arial"/>
          <w:sz w:val="18"/>
          <w:szCs w:val="18"/>
          <w:color w:val="auto"/>
        </w:rPr>
        <w:t>Section 64 of the International Private Law Act provides that a judgment issued in a foreign country is recognized in Italy, without any proceedings (</w:t>
      </w:r>
      <w:r>
        <w:rPr>
          <w:rFonts w:ascii="Arial" w:cs="Arial" w:eastAsia="Arial" w:hAnsi="Arial"/>
          <w:sz w:val="18"/>
          <w:szCs w:val="18"/>
          <w:i w:val="1"/>
          <w:iCs w:val="1"/>
          <w:color w:val="auto"/>
        </w:rPr>
        <w:t>i.e.,</w:t>
      </w:r>
      <w:r>
        <w:rPr>
          <w:rFonts w:ascii="Arial" w:cs="Arial" w:eastAsia="Arial" w:hAnsi="Arial"/>
          <w:sz w:val="18"/>
          <w:szCs w:val="18"/>
          <w:color w:val="auto"/>
        </w:rPr>
        <w:t xml:space="preserve"> without a rehearing on the merits) being necessary, if all of the following conditions are met:</w:t>
      </w:r>
    </w:p>
    <w:p>
      <w:pPr>
        <w:spacing w:after="0" w:line="197" w:lineRule="exact"/>
        <w:rPr>
          <w:sz w:val="20"/>
          <w:szCs w:val="20"/>
          <w:color w:val="auto"/>
        </w:rPr>
      </w:pPr>
    </w:p>
    <w:p>
      <w:pPr>
        <w:ind w:left="840" w:hanging="184"/>
        <w:spacing w:after="0"/>
        <w:tabs>
          <w:tab w:leader="none" w:pos="8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judge who issued the judgment had the power to decide the case pursuant to the principles on jurisdiction provided by Italian law;</w:t>
      </w:r>
    </w:p>
    <w:p>
      <w:pPr>
        <w:spacing w:after="0" w:line="263" w:lineRule="exact"/>
        <w:rPr>
          <w:rFonts w:ascii="Arial" w:cs="Arial" w:eastAsia="Arial" w:hAnsi="Arial"/>
          <w:sz w:val="17"/>
          <w:szCs w:val="17"/>
          <w:color w:val="auto"/>
        </w:rPr>
      </w:pPr>
    </w:p>
    <w:p>
      <w:pPr>
        <w:ind w:right="200" w:firstLine="656"/>
        <w:spacing w:after="0" w:line="277" w:lineRule="auto"/>
        <w:tabs>
          <w:tab w:leader="none" w:pos="84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writ of summons (or equivalent pleading) was duly served upon the defendant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 xml:space="preserve"> (i.e., the application of the rules of the legal system to which the judge belongs);</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parties entered an appearance, or their default was duly declared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0" w:hanging="204"/>
        <w:spacing w:after="0"/>
        <w:tabs>
          <w:tab w:leader="none" w:pos="8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judgment to be recognized is a final judgment subject to no further appeal;</w:t>
      </w:r>
    </w:p>
    <w:p>
      <w:pPr>
        <w:spacing w:after="0" w:line="252" w:lineRule="exact"/>
        <w:rPr>
          <w:rFonts w:ascii="Arial" w:cs="Arial" w:eastAsia="Arial" w:hAnsi="Arial"/>
          <w:sz w:val="18"/>
          <w:szCs w:val="18"/>
          <w:color w:val="auto"/>
        </w:rPr>
      </w:pPr>
    </w:p>
    <w:p>
      <w:pPr>
        <w:ind w:left="840" w:hanging="184"/>
        <w:spacing w:after="0"/>
        <w:tabs>
          <w:tab w:leader="none" w:pos="8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judgment to be recognized does not contrast with a final judgment issued by an Italian Court;</w:t>
      </w:r>
    </w:p>
    <w:p>
      <w:pPr>
        <w:spacing w:after="0" w:line="252" w:lineRule="exact"/>
        <w:rPr>
          <w:rFonts w:ascii="Arial" w:cs="Arial" w:eastAsia="Arial" w:hAnsi="Arial"/>
          <w:sz w:val="18"/>
          <w:szCs w:val="18"/>
          <w:color w:val="auto"/>
        </w:rPr>
      </w:pPr>
    </w:p>
    <w:p>
      <w:pPr>
        <w:ind w:right="120" w:firstLine="656"/>
        <w:spacing w:after="0" w:line="277" w:lineRule="auto"/>
        <w:tabs>
          <w:tab w:leader="none" w:pos="81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are no pending proceedings between the same parties and in relation to the same matter, which proceedings were commenced prior to the commencement of the foreign proceedings; and</w:t>
      </w:r>
    </w:p>
    <w:p>
      <w:pPr>
        <w:spacing w:after="0" w:line="197" w:lineRule="exact"/>
        <w:rPr>
          <w:rFonts w:ascii="Arial" w:cs="Arial" w:eastAsia="Arial" w:hAnsi="Arial"/>
          <w:sz w:val="18"/>
          <w:szCs w:val="18"/>
          <w:color w:val="auto"/>
        </w:rPr>
      </w:pPr>
    </w:p>
    <w:p>
      <w:pPr>
        <w:ind w:left="860" w:hanging="204"/>
        <w:spacing w:after="0"/>
        <w:tabs>
          <w:tab w:leader="none" w:pos="8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judgment to be recognized does not conflict with Italian public order.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foregoing, investors may be able to enforce in Italy judgments in civil and commercial matters that have been obtained from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courts. Nevertheless, we cannot assure you that those judgments will be recognized or enforceable in Italy.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2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SEC maintains an Internet website that contains reports and other information regarding issuers that file electronically with the SEC. Our filings with the SEC are also available to the public through the SEC’s website at www.sec.gov.</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22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gridSpan w:val="2"/>
          </w:tcPr>
          <w:p>
            <w:pPr>
              <w:jc w:val="center"/>
              <w:ind w:right="1430"/>
              <w:spacing w:after="0"/>
              <w:rPr>
                <w:sz w:val="20"/>
                <w:szCs w:val="20"/>
                <w:color w:val="auto"/>
              </w:rPr>
            </w:pPr>
            <w:r>
              <w:rPr>
                <w:rFonts w:ascii="Arial" w:cs="Arial" w:eastAsia="Arial" w:hAnsi="Arial"/>
                <w:sz w:val="18"/>
                <w:szCs w:val="18"/>
                <w:color w:val="auto"/>
                <w:w w:val="98"/>
              </w:rPr>
              <w:t>INDEX TO FINANCIAL STATEMENTS</w:t>
            </w:r>
          </w:p>
        </w:tc>
        <w:tc>
          <w:tcPr>
            <w:tcW w:w="218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2"/>
          </w:tcPr>
          <w:p>
            <w:pPr>
              <w:jc w:val="center"/>
              <w:ind w:right="1410"/>
              <w:spacing w:after="0"/>
              <w:rPr>
                <w:sz w:val="20"/>
                <w:szCs w:val="20"/>
                <w:color w:val="auto"/>
              </w:rPr>
            </w:pPr>
            <w:r>
              <w:rPr>
                <w:rFonts w:ascii="Arial" w:cs="Arial" w:eastAsia="Arial" w:hAnsi="Arial"/>
                <w:sz w:val="18"/>
                <w:szCs w:val="18"/>
                <w:color w:val="auto"/>
                <w:w w:val="94"/>
              </w:rPr>
              <w:t>YEARS ENDED DECEMBER 31, 2020 AND 2019</w:t>
            </w:r>
          </w:p>
        </w:tc>
        <w:tc>
          <w:tcPr>
            <w:tcW w:w="2180" w:type="dxa"/>
            <w:vAlign w:val="bottom"/>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Report of Independent Registered Public Accounting Firm</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F-4</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6">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F-5</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7">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F-6</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8">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F-7</w:t>
            </w:r>
          </w:p>
        </w:tc>
      </w:tr>
      <w:tr>
        <w:trPr>
          <w:trHeight w:val="459"/>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360" w:type="dxa"/>
            <w:vAlign w:val="bottom"/>
            <w:tcBorders>
              <w:top w:val="single" w:sz="8" w:color="CCEEFF"/>
            </w:tcBorders>
            <w:gridSpan w:val="2"/>
          </w:tcPr>
          <w:p>
            <w:pPr>
              <w:jc w:val="center"/>
              <w:ind w:right="1430"/>
              <w:spacing w:after="0"/>
              <w:rPr>
                <w:sz w:val="20"/>
                <w:szCs w:val="20"/>
                <w:color w:val="auto"/>
              </w:rPr>
            </w:pPr>
            <w:r>
              <w:rPr>
                <w:rFonts w:ascii="Arial" w:cs="Arial" w:eastAsia="Arial" w:hAnsi="Arial"/>
                <w:sz w:val="18"/>
                <w:szCs w:val="18"/>
                <w:color w:val="auto"/>
                <w:w w:val="95"/>
              </w:rPr>
              <w:t>SIX MONTHS ENDED JUNE 30, 2021 AND 2020</w:t>
            </w:r>
          </w:p>
        </w:tc>
        <w:tc>
          <w:tcPr>
            <w:tcW w:w="2180" w:type="dxa"/>
            <w:vAlign w:val="bottom"/>
            <w:tcBorders>
              <w:top w:val="single" w:sz="8" w:color="CCEEFF"/>
            </w:tcBorders>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9">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F-28</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0">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F-29</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1">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F-30</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2">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F-31</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3">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F-32</w:t>
            </w:r>
          </w:p>
        </w:tc>
      </w:tr>
      <w:tr>
        <w:trPr>
          <w:trHeight w:val="466"/>
        </w:trPr>
        <w:tc>
          <w:tcPr>
            <w:tcW w:w="1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tcPr>
          <w:p>
            <w:pPr>
              <w:jc w:val="center"/>
              <w:ind w:right="1950"/>
              <w:spacing w:after="0"/>
              <w:rPr>
                <w:sz w:val="20"/>
                <w:szCs w:val="20"/>
                <w:color w:val="auto"/>
              </w:rPr>
            </w:pPr>
            <w:r>
              <w:rPr>
                <w:rFonts w:ascii="Arial" w:cs="Arial" w:eastAsia="Arial" w:hAnsi="Arial"/>
                <w:sz w:val="18"/>
                <w:szCs w:val="18"/>
                <w:color w:val="auto"/>
                <w:w w:val="88"/>
              </w:rPr>
              <w:t>F-1</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212" w:name="page213"/>
    <w:bookmarkEnd w:id="21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Board of Directors and Quotaholders of </w:t>
      </w: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 xml:space="preserve">We have audited the accompanying balance sheets of </w:t>
      </w:r>
      <w:r>
        <w:rPr>
          <w:rFonts w:ascii="Arial" w:cs="Arial" w:eastAsia="Arial" w:hAnsi="Arial"/>
          <w:sz w:val="16"/>
          <w:szCs w:val="16"/>
          <w:b w:val="1"/>
          <w:bCs w:val="1"/>
          <w:color w:val="auto"/>
        </w:rPr>
        <w:t>Genenta Science S.r.l.</w:t>
      </w:r>
      <w:r>
        <w:rPr>
          <w:rFonts w:ascii="Arial" w:cs="Arial" w:eastAsia="Arial" w:hAnsi="Arial"/>
          <w:sz w:val="16"/>
          <w:szCs w:val="16"/>
          <w:color w:val="auto"/>
        </w:rPr>
        <w:t xml:space="preserve"> (the “Company”) as of December 31, 2020 and 2019, and the related statements of operations and comprehensive loss, changes in quotaholders’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right="341"/>
              <w:spacing w:after="0"/>
              <w:rPr>
                <w:sz w:val="20"/>
                <w:szCs w:val="20"/>
                <w:color w:val="auto"/>
              </w:rPr>
            </w:pPr>
            <w:r>
              <w:rPr>
                <w:rFonts w:ascii="Arial" w:cs="Arial" w:eastAsia="Arial" w:hAnsi="Arial"/>
                <w:sz w:val="18"/>
                <w:szCs w:val="18"/>
                <w:color w:val="auto"/>
                <w:w w:val="89"/>
              </w:rPr>
              <w:t>Year Ended December 31,</w:t>
            </w:r>
          </w:p>
        </w:tc>
      </w:tr>
      <w:tr>
        <w:trPr>
          <w:trHeight w:val="236"/>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center"/>
              <w:ind w:left="67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4,688,461</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r>
      <w:tr>
        <w:trPr>
          <w:trHeight w:val="24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901,765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r>
      <w:tr>
        <w:trPr>
          <w:trHeight w:val="210"/>
        </w:trPr>
        <w:tc>
          <w:tcPr>
            <w:tcW w:w="5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7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(5,590,226)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5,966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(7,754)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(5,592,014)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1"/>
              </w:rPr>
              <w:t>At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r>
      <w:tr>
        <w:trPr>
          <w:trHeight w:val="216"/>
        </w:trPr>
        <w:tc>
          <w:tcPr>
            <w:tcW w:w="6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15,465,243</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20,141,379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947,501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458,118</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121,432</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20,599,497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Other asset-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3,350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945,618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748,681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equity</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544,988</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279,699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292,741</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365,969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213,973</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Accrued expenses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1,359,191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1,651,620</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53,243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2,486,033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Quotaholders’ equity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capital</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36,604,728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34,713,225</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(21,490,475)</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(15,898,461)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quotaholders’ equity</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15,151,309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quotaholders’ equity</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Quotaholders’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Corporate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1320" w:type="dxa"/>
            <w:vAlign w:val="bottom"/>
            <w:gridSpan w:val="2"/>
          </w:tcPr>
          <w:p>
            <w:pPr>
              <w:jc w:val="right"/>
              <w:ind w:right="261"/>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 Euros, except quotas)</w:t>
            </w:r>
          </w:p>
        </w:tc>
        <w:tc>
          <w:tcPr>
            <w:tcW w:w="18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capital</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32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49"/>
        </w:trPr>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19,202,381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(11,300,738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6,870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14,761,332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14,768,202</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749,512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749,512</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(4,597,723)</w:t>
            </w:r>
          </w:p>
        </w:tc>
      </w:tr>
      <w:tr>
        <w:trPr>
          <w:trHeight w:val="236"/>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34,713,225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(15,898,461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1,431,309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1,432,316</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460,194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460,194</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(5,592,014)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(5,592,014)</w:t>
            </w:r>
          </w:p>
        </w:tc>
      </w:tr>
      <w:tr>
        <w:trPr>
          <w:trHeight w:val="223"/>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36,604,728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(21,490,475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60" w:type="dxa"/>
            <w:vAlign w:val="bottom"/>
            <w:gridSpan w:val="6"/>
          </w:tcPr>
          <w:p>
            <w:pPr>
              <w:jc w:val="center"/>
              <w:ind w:right="521"/>
              <w:spacing w:after="0"/>
              <w:rPr>
                <w:sz w:val="20"/>
                <w:szCs w:val="20"/>
                <w:color w:val="auto"/>
              </w:rPr>
            </w:pPr>
            <w:r>
              <w:rPr>
                <w:rFonts w:ascii="Arial" w:cs="Arial" w:eastAsia="Arial" w:hAnsi="Arial"/>
                <w:sz w:val="18"/>
                <w:szCs w:val="18"/>
                <w:color w:val="auto"/>
                <w:w w:val="88"/>
              </w:rPr>
              <w:t>Year-Ended December 31,</w:t>
            </w:r>
          </w:p>
        </w:tc>
      </w:tr>
      <w:tr>
        <w:trPr>
          <w:trHeight w:val="237"/>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4,867</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460,194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749,512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(454,082)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151,091</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(200,287)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(588,681)</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265,289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190,088</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(282,714)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(217,670)</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38,263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133,797</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(292,429)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1,666,295</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5,243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18,237</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investing activities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(20,871)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50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Proceeds from the issuance of quotas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1,500,436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15,086,708</w:t>
            </w:r>
          </w:p>
        </w:tc>
      </w:tr>
      <w:tr>
        <w:trPr>
          <w:trHeight w:val="222"/>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2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(68,120)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(318,506)</w:t>
            </w:r>
          </w:p>
        </w:tc>
      </w:tr>
      <w:tr>
        <w:trPr>
          <w:trHeight w:val="236"/>
        </w:trPr>
        <w:tc>
          <w:tcPr>
            <w:tcW w:w="5380" w:type="dxa"/>
            <w:vAlign w:val="bottom"/>
          </w:tcPr>
          <w:p>
            <w:pPr>
              <w:ind w:left="180"/>
              <w:spacing w:after="0"/>
              <w:rPr>
                <w:sz w:val="20"/>
                <w:szCs w:val="20"/>
                <w:color w:val="auto"/>
              </w:rPr>
            </w:pPr>
            <w:r>
              <w:rPr>
                <w:rFonts w:ascii="Arial" w:cs="Arial" w:eastAsia="Arial" w:hAnsi="Arial"/>
                <w:sz w:val="18"/>
                <w:szCs w:val="18"/>
                <w:color w:val="auto"/>
              </w:rPr>
              <w:t>Prepaid offering costs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(43,000)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12,278,015</w:t>
            </w:r>
          </w:p>
        </w:tc>
        <w:tc>
          <w:tcPr>
            <w:tcW w:w="100" w:type="dxa"/>
            <w:vAlign w:val="bottom"/>
          </w:tcPr>
          <w:p>
            <w:pPr>
              <w:spacing w:after="0"/>
              <w:rPr>
                <w:sz w:val="17"/>
                <w:szCs w:val="17"/>
                <w:color w:val="auto"/>
              </w:rPr>
            </w:pPr>
          </w:p>
        </w:tc>
      </w:tr>
      <w:tr>
        <w:trPr>
          <w:trHeight w:val="25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20,141,379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7,863,364</w:t>
            </w:r>
          </w:p>
        </w:tc>
      </w:tr>
      <w:tr>
        <w:trPr>
          <w:trHeight w:val="256"/>
        </w:trPr>
        <w:tc>
          <w:tcPr>
            <w:tcW w:w="53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50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20,141,379</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w w:val="92"/>
              </w:rPr>
              <w:t>Non-cash financing activities: deferred offering costs accrued at year end</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113,733</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78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80" w:type="dxa"/>
            <w:vAlign w:val="bottom"/>
            <w:gridSpan w:val="3"/>
          </w:tcPr>
          <w:p>
            <w:pPr>
              <w:jc w:val="center"/>
              <w:ind w:left="279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center"/>
              <w:ind w:right="2430"/>
              <w:spacing w:after="0"/>
              <w:rPr>
                <w:sz w:val="20"/>
                <w:szCs w:val="20"/>
                <w:color w:val="auto"/>
              </w:rPr>
            </w:pPr>
            <w:r>
              <w:rPr>
                <w:rFonts w:ascii="Arial" w:cs="Arial" w:eastAsia="Arial" w:hAnsi="Arial"/>
                <w:sz w:val="18"/>
                <w:szCs w:val="18"/>
                <w:color w:val="auto"/>
                <w:w w:val="88"/>
              </w:rPr>
              <w:t>F-6</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b w:val="1"/>
          <w:bCs w:val="1"/>
          <w:i w:val="1"/>
          <w:iCs w:val="1"/>
          <w:color w:val="auto"/>
        </w:rPr>
        <w:t>G</w:t>
      </w:r>
      <w:r>
        <w:rPr>
          <w:rFonts w:ascii="Arial" w:cs="Arial" w:eastAsia="Arial" w:hAnsi="Arial"/>
          <w:sz w:val="12"/>
          <w:szCs w:val="12"/>
          <w:b w:val="1"/>
          <w:bCs w:val="1"/>
          <w:i w:val="1"/>
          <w:iCs w:val="1"/>
          <w:color w:val="auto"/>
        </w:rPr>
        <w:t>ENENTA</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CIENCE</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R</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L</w:t>
      </w:r>
      <w:r>
        <w:rPr>
          <w:rFonts w:ascii="Arial" w:cs="Arial" w:eastAsia="Arial" w:hAnsi="Arial"/>
          <w:sz w:val="18"/>
          <w:szCs w:val="18"/>
          <w:b w:val="1"/>
          <w:bCs w:val="1"/>
          <w:i w:val="1"/>
          <w:iCs w:val="1"/>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OTES TO THE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Genenta Science S.r.l. (the “Company”) is an early-stage company developing potential ground-breaking cell and gene cancer therapies. The Company is initially developing its clinical leading product, Temferon, to treat glioblastoma multiforme (“GBM”), a solid tumor affecting the brain. The Company intends to start a second clinical trial to study Temferon in liver cancers and is planning to expand its clinical trial on UMGMT-GBM indications in the United States.</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Genenta Science S.r.l. is an Italian limited liability company (società a responsabilità limitata, or S.r.l.), which is similar to a limited liability company in the United States. The Company was founded by San Raffaele Hospital (“OSR”), in Milan, Italy, Pierluigi Paracchi, Luigi Naldini and Bernhard Gentner and was incorporated in July 2014. The Company is organized under the laws of Italy, with registered office in Milan. The corporate capital of an S.r.l. is called a “quota.” A quota is a varying ownership or portion of subscribed capital in the S.r.l. Each quota has specific rights and value. (See Note 10. Quotaholders’ Equity.) The Company’s reporting currency is Euros.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incurred recurring losses since its inception, including a net loss of €5,592,014 and €4,597,723 for the years ended December 31, 2020 and 2019. In addition, as of December 31, 2020, the Company had an accumulated deficit of €21,490,475. The Company has primarily funded these losses through the proceeds from sales of convertible debt and quotas. Although the Company has incurred recurring losses and expects to continue to incur losses for the foreseeable future, the Company expects that its existing cash and cash equivalents on hand as of December 31, 2020 of €15,465,243 will be more than sufficient to fund current planned operations and capital expenditure requirements for at least the next twelve months from the filing date of these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8" w:name="page219"/>
    <w:bookmarkEnd w:id="218"/>
    <w:p>
      <w:pPr>
        <w:ind w:right="220" w:firstLine="648"/>
        <w:spacing w:after="0" w:line="279" w:lineRule="auto"/>
        <w:rPr>
          <w:sz w:val="20"/>
          <w:szCs w:val="20"/>
          <w:color w:val="auto"/>
        </w:rPr>
      </w:pPr>
      <w:r>
        <w:rPr>
          <w:rFonts w:ascii="Arial" w:cs="Arial" w:eastAsia="Arial" w:hAnsi="Arial"/>
          <w:sz w:val="17"/>
          <w:szCs w:val="17"/>
          <w:color w:val="auto"/>
        </w:rPr>
        <w:t>The Company has primarily funded its operations with proceeds from several capital increases and at March 31, 2021, had approximately €13.1 million of cash and cash equivalents. Therefore, management and the Board of Directors believe that the Company has adequate financial resources to support business operations in the foreseeable future and for at least 12 months from the date of this report. Accordingly, the accompanying financial statements have been prepared assuming that the Company will continue as a going concern.</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18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The Company has not experienced significant interruptions related to COVID-19, although one patient tested positive for COVID-19 and had to delay treatment with Temferon™. The Company may find it difficult to enroll patients in its clinical trials, which could delay or prevent the Company from proceeding with clinical trials of its product candidates. The Company continues to closely monitor this rapidly evolving situation and the potential impact on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unless otherwise stated.</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In the cash flow statement cash and cash equivalents includes cash on hand, deposits held with banks, and other short-term highly liquid investments. In the balance sheet, bank overdrafts, if any, are shown in current liabilities. Cash and cash equivalents are detailed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At December 31,</w:t>
            </w: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15,462,805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20,137,033</w:t>
            </w:r>
          </w:p>
        </w:tc>
        <w:tc>
          <w:tcPr>
            <w:tcW w:w="1680" w:type="dxa"/>
            <w:vAlign w:val="bottom"/>
          </w:tcPr>
          <w:p>
            <w:pPr>
              <w:spacing w:after="0"/>
              <w:rPr>
                <w:sz w:val="18"/>
                <w:szCs w:val="18"/>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Cash in hand &amp; prepaid cards</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4,346</w:t>
            </w: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0"/>
        </w:trPr>
        <w:tc>
          <w:tcPr>
            <w:tcW w:w="17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F-8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Historical EPS or QPS (quota per share) has not been included in these financial statements because the Company has determined it is not a meaningful or material disclosure due to the Company’s current capital structure. Net loss per share has not been presented at December 31, 2020 and 2019, since the Company was an S.r.l. at the time and maintained classes of quota (similar to membership interests in a limited liability company in the United States) rather than shares, which it now has post-conversion to an S.p.A.,(similar to a C-corporation in the United States). The quotas represented percentage ownership in the Company and not actual shares. The Company did not believe that representing loss per quota was a meaningful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reporting and functional currency of the Company is Euros. All amounts are presented in Euros unless otherwise stated. All amounts disclosed in the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year-end exchange rates of monetary assets and liabilities denominated in foreign currencies are recognized in the statement of operations. During the years ended December 31, 2020 and 2019, foreign exchange gains and losses were insignificant.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line with the legislation in force until December 31, 2020,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of social security contributions and withholding taxes. The tax credit calculation methodology changed in 2020, and the credit was determined as 12% of eligible expenses up to €3.0 million. Up until December 31, 2019, the tax credit was up to 50% of the increase of annual research and development expenses compared to the median expense for the years 2012-2014.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left="5460" w:right="4300" w:hanging="5452"/>
        <w:spacing w:after="0" w:line="555" w:lineRule="auto"/>
        <w:tabs>
          <w:tab w:leader="none" w:pos="20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1" w:name="page222"/>
    <w:bookmarkEnd w:id="221"/>
    <w:p>
      <w:pPr>
        <w:ind w:left="660"/>
        <w:spacing w:after="0"/>
        <w:rPr>
          <w:sz w:val="20"/>
          <w:szCs w:val="20"/>
          <w:color w:val="auto"/>
        </w:rPr>
      </w:pPr>
      <w:r>
        <w:rPr>
          <w:rFonts w:ascii="Arial" w:cs="Arial" w:eastAsia="Arial" w:hAnsi="Arial"/>
          <w:sz w:val="18"/>
          <w:szCs w:val="18"/>
          <w:color w:val="auto"/>
        </w:rPr>
        <w:t>To determine the cost basis of the benefit, the following expenses are eligible:</w:t>
      </w:r>
    </w:p>
    <w:p>
      <w:pPr>
        <w:spacing w:after="0" w:line="225"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Depreciation charges related to industrial privatives.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Expenses for consultancy services and equivalent services related to research and development eligible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the research and development projects.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Company accounts for this receivable in accordance with International Accounting Standards (IAS) 20, </w:t>
      </w:r>
      <w:r>
        <w:rPr>
          <w:rFonts w:ascii="Arial" w:cs="Arial" w:eastAsia="Arial" w:hAnsi="Arial"/>
          <w:sz w:val="18"/>
          <w:szCs w:val="18"/>
          <w:i w:val="1"/>
          <w:iCs w:val="1"/>
          <w:color w:val="auto"/>
        </w:rPr>
        <w:t>Accounting for Government Grants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 of Government Assistance</w:t>
      </w:r>
      <w:r>
        <w:rPr>
          <w:rFonts w:ascii="Arial" w:cs="Arial" w:eastAsia="Arial" w:hAnsi="Arial"/>
          <w:sz w:val="18"/>
          <w:szCs w:val="18"/>
          <w:color w:val="auto"/>
        </w:rPr>
        <w:t>. The receivable is recognized when there is reasonable assurance that: (1) the recipient will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conditions and (2) the grant will be received. The Company elected to present it net of the related expenditure on the statement of operations and comprehensive loss.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reward the efforts of employees, directors, and certain consultants to promote the growth of the Company, the Company’s Board of Directors has approved, during its existence, various share-based awards. All options have been awarded with an exercise price of €1 per quota and, when exercised, all options have been converted to Quota B. The options granted have the vesting condition that the individual must remain in his/her role at least one year or as otherwise specified for each person.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employees and directors based on the fair value on the date of the grant and recognizes compensation expense for those awards over the requisite service period, which is the vesting period of the respective award. Forfeitures are accounted for as they occur. The measurement date for option awards is the date of the grant. The Company classifies share-based compensation expense in its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Property and equipment are stated at cost, including any accessory and direct costs that are necessary to make the assets fit for use, and adjusted by the corresponding accumulated depreciation. The depreciation recorded in the financial statements of operations has been calculated on a straight line basis by taking into consideration the use, purpose and financial-technical duration of the assets, on the basis of their estimated useful economic lives. The Company believes the above criteria to be represented by the following estimated useful lives:</w:t>
      </w:r>
    </w:p>
    <w:p>
      <w:pPr>
        <w:spacing w:after="0" w:line="171" w:lineRule="exact"/>
        <w:rPr>
          <w:sz w:val="20"/>
          <w:szCs w:val="20"/>
          <w:color w:val="auto"/>
        </w:rPr>
      </w:pPr>
    </w:p>
    <w:p>
      <w:pPr>
        <w:ind w:left="760" w:hanging="104"/>
        <w:spacing w:after="0"/>
        <w:tabs>
          <w:tab w:leader="none" w:pos="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Electronic office equipment: 10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Leasehold improvements: based on the length of the lease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Ordinary maintenance costs are entirely attributed to the statements of operations in the year in which they are incurred. Extraordinary maintenance costs, the purpose of which is to extend the useful economic life of the asset, to technologically upgrade it and/or to increase its productivity or safety for the purposes of the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by management for the years ended December 31,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the initial public offering (IPO), are capitalized within prepaid expenses and other current assets. The deferred offering costs will be offset against IPO proceeds upon the consummation of the offering. In the event the offering is terminated, deferred offering costs will be expensed. The Company has incurred €156,000 in IPO offering costs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financial statements.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non-public entities, ASU 2017-11 is effective for annual reporting periods beginning after December 15, 2019, including interim periods within those fiscal years. The Company does not expect the adoption of ASU 2017-11 to have a significant impact on its financial position, results of operations, or cash flows.</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August 2018, the FASB issued No. ASU 2018-13, Fair Value Measurement (Topic 820)—Disclosure Framework (‘‘ASU 2018-13’’), which improves the disclosure requirements for fair value measurements. For non-public entities, ASU 2018-13 is effective for annual reporting periods beginning after December 15, 2019, including interim periods within those fiscal years. Early adoption is permitted for any removed or modified disclosures. The Company is currently evaluating the impact that the adoption of ASU 2018-13 will have on its financial statements. The FASB issued authoritative guidance that amends guidance on reporting credit losses for financial assets, including available-for-sale marketable securities and any other financial assets not excluded from the scope that result in a contractual right to receive cash. For available-for-sale marketable securities, credit losses should be measured in a manner similar to current generally accepted accounting standards; however, ASU 2016-13, Financial Instruments—Credit Losses (Topic 326): Measurement of Credit Losses on Financial Instruments, will require that credit losses be presented as an allowance rather than as a write-down. For non-public entities, the standard is effective for annual periods beginning after December 15, 2022, with early adoption permitted. The Company is currently evaluating the impact that the adoption of ASU 2016-13 will have on its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certain milestone payments,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as of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Due to the tax loss position reported, no income taxes were due for the years ending December 31, 2020 and 2019. The Company is taxed in various countries where it has permanent establishment, as applicable.</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4" w:name="page225"/>
    <w:bookmarkEnd w:id="224"/>
    <w:p>
      <w:pPr>
        <w:ind w:firstLine="648"/>
        <w:spacing w:after="0" w:line="275" w:lineRule="auto"/>
        <w:rPr>
          <w:sz w:val="20"/>
          <w:szCs w:val="20"/>
          <w:color w:val="auto"/>
        </w:rPr>
      </w:pPr>
      <w:r>
        <w:rPr>
          <w:rFonts w:ascii="Arial" w:cs="Arial" w:eastAsia="Arial" w:hAnsi="Arial"/>
          <w:sz w:val="17"/>
          <w:szCs w:val="17"/>
          <w:color w:val="auto"/>
        </w:rPr>
        <w:t>As of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management conclude that it is more likely than not that the deferred tax assets are partially or fully realizable, the valuation allowance will be reduced to the extent of such expected realization, and the corresponding amount will be recognized as income tax benefit in the Company’s statement of operations and comprehensive loss.</w:t>
      </w:r>
    </w:p>
    <w:p>
      <w:pPr>
        <w:spacing w:after="0" w:line="17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financial statements. The prior five (5) years’ tax returns are potentially subject to audit.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w w:val="97"/>
              </w:rPr>
              <w:t>A reconciliation of the Company’s effective tax rate is summarized as follows: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Italy statutory rate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(1,342,083)</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(1,103,454)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1,092,084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provision expense for income taxes</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4"/>
          </w:tcPr>
          <w:p>
            <w:pPr>
              <w:spacing w:after="0"/>
              <w:rPr>
                <w:sz w:val="20"/>
                <w:szCs w:val="20"/>
                <w:color w:val="auto"/>
              </w:rPr>
            </w:pPr>
            <w:r>
              <w:rPr>
                <w:rFonts w:ascii="Arial" w:cs="Arial" w:eastAsia="Arial" w:hAnsi="Arial"/>
                <w:sz w:val="18"/>
                <w:szCs w:val="18"/>
                <w:color w:val="auto"/>
                <w:w w:val="91"/>
              </w:rPr>
              <w:t>Significant components of the Company’s net deferred tax assets are summarized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4,692,844</w:t>
            </w:r>
          </w:p>
        </w:tc>
        <w:tc>
          <w:tcPr>
            <w:tcW w:w="14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temporary differences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Allowance for corporate equity</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(4,903,464)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(3,515,615)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Tax loss carryforwards expire as follows:</w:t>
            </w: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 expiration date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 expiration date - DL 98/2011</w:t>
            </w:r>
          </w:p>
        </w:tc>
        <w:tc>
          <w:tcPr>
            <w:tcW w:w="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14,066,434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7,815,593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19,553,519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13,302,678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carryforwards that refer to the start-up period, defined as the first three (3) years of operations starting from the inception of the Company.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2"/>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7"/>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480,000</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237,569</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280,631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192,020</w:t>
            </w: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156,261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Advances to suppliers – related party</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121,432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14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30,609</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28,529</w:t>
            </w:r>
          </w:p>
        </w:tc>
        <w:tc>
          <w:tcPr>
            <w:tcW w:w="60" w:type="dxa"/>
            <w:vAlign w:val="bottom"/>
            <w:shd w:val="clear" w:color="auto" w:fill="CCEEFF"/>
          </w:tcPr>
          <w:p>
            <w:pPr>
              <w:spacing w:after="0"/>
              <w:rPr>
                <w:sz w:val="21"/>
                <w:szCs w:val="21"/>
                <w:color w:val="auto"/>
              </w:rPr>
            </w:pPr>
          </w:p>
        </w:tc>
      </w:tr>
      <w:tr>
        <w:trPr>
          <w:trHeight w:val="217"/>
        </w:trPr>
        <w:tc>
          <w:tcPr>
            <w:tcW w:w="1420" w:type="dxa"/>
            <w:vAlign w:val="bottom"/>
          </w:tcPr>
          <w:p>
            <w:pPr>
              <w:spacing w:after="0"/>
              <w:rPr>
                <w:sz w:val="18"/>
                <w:szCs w:val="18"/>
                <w:color w:val="auto"/>
              </w:rPr>
            </w:pPr>
          </w:p>
        </w:tc>
        <w:tc>
          <w:tcPr>
            <w:tcW w:w="5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458,118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2020 and 2019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Tax credits on research and development represent a special tax relief offered to Italian companies operating in the research and development sector and can be used to offset most taxes payable. Tax credits on research and development available were €3.9 million at December 31, 2020 and €3.5 million at December 31, 2019, which can be carried forward indefinitely and does not expire. However, given the start-up status of the Company and the fact that it will not be profitable in the foreseeable future which limits the utilization of the credit, the Company recognized a receivable balance at December 31, 2020, that represents the Company’s best estimate of the amount of tax credit that can be used in offsetting taxes payable for 2021 and 2022, which represents the current projected available cash to support operations. In 2019, the limitation on the Company’s tax credit was based on three years of cash available to support operations. In 2020 and 2019, the Company utilized €280,631 and €192,020 to offset certain taxes payable. The benefit recorded in 2020 and 2019 to offset research and development expenses was €265,834 and €448,079, respectively. The Company reclassified to other non-current assets a portion of the receivable which is expected to be realized beyond 12 months.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balance is comprised of miscellaneous minor prepaid expenses and deferred offering costs.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16,196</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4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Property and equipment consist of computers and furniture and fixtures of our office space in Milan. No disposals, nor impairments occurred during the periods. Depreciation has been calculated by taking into consideration the use, purpose, and financial-technical duration of the assets, based on their estimated economic lives. Property and equipment were entirely purchased in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for the year ended December 31, 2020 was €1,900. There was no depreciation expense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664,987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364,641</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280,631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384,040</w:t>
            </w: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is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December 31, 2020 and 2019 was €17,388 and €11,332,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equity</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Company is an S.r.l., which is an Italian limited liability company similar to a limited liability company in the United States. The Articles of Incorporation, Shareholders’ Agreement and the By-laws of the Company provide for different quotas, which represent the Company’s corporate capital, rather than shares of stock as ownership.</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is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is divided between the five quotas as summarized below at December 31, 2020 and 2019:</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4"/>
          </w:tcPr>
          <w:p>
            <w:pPr>
              <w:jc w:val="center"/>
              <w:ind w:right="1610"/>
              <w:spacing w:after="0"/>
              <w:rPr>
                <w:sz w:val="20"/>
                <w:szCs w:val="20"/>
                <w:color w:val="auto"/>
              </w:rPr>
            </w:pPr>
            <w:r>
              <w:rPr>
                <w:rFonts w:ascii="Arial" w:cs="Arial" w:eastAsia="Arial" w:hAnsi="Arial"/>
                <w:sz w:val="18"/>
                <w:szCs w:val="18"/>
                <w:b w:val="1"/>
                <w:bCs w:val="1"/>
                <w:color w:val="auto"/>
                <w:w w:val="90"/>
              </w:rPr>
              <w:t>At December 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At December 31,</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Quota</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4"/>
              </w:rPr>
              <w:t>Ownership %</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c>
          <w:tcPr>
            <w:tcW w:w="200" w:type="dxa"/>
            <w:vAlign w:val="bottom"/>
            <w:tcBorders>
              <w:bottom w:val="single" w:sz="8" w:color="CCEEFF"/>
            </w:tcBorders>
            <w:gridSpan w:val="2"/>
          </w:tcPr>
          <w:p>
            <w:pPr>
              <w:spacing w:after="0"/>
              <w:rPr>
                <w:sz w:val="20"/>
                <w:szCs w:val="20"/>
                <w:color w:val="auto"/>
              </w:rPr>
            </w:pP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6,450</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6,886</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49"/>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6,462</w:t>
            </w:r>
          </w:p>
        </w:tc>
        <w:tc>
          <w:tcPr>
            <w:tcW w:w="1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7,033</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7"/>
        </w:trPr>
        <w:tc>
          <w:tcPr>
            <w:tcW w:w="2160" w:type="dxa"/>
            <w:vAlign w:val="bottom"/>
            <w:tcBorders>
              <w:top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36,049</w:t>
            </w:r>
          </w:p>
        </w:tc>
        <w:tc>
          <w:tcPr>
            <w:tcW w:w="28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w:t>
            </w:r>
          </w:p>
        </w:tc>
        <w:tc>
          <w:tcPr>
            <w:tcW w:w="2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Company’s corporate capital at January 1, 2019 was €29,179, consisting of quota A from founders, options converted to quota B, and quotas C &amp; D from investment capital. Additional capital was raised in 2019 by the sale of quota E, along with options converted to quota B, so corporate capital at December 31, 2019 was €36,049. Additional capital was raised in 2020 by the sale of quota E, so corporate capital at December 31, 2020 was €37,056.</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has five (5) quotas:</w:t>
      </w:r>
    </w:p>
    <w:p>
      <w:pPr>
        <w:spacing w:after="0" w:line="225" w:lineRule="exact"/>
        <w:rPr>
          <w:sz w:val="20"/>
          <w:szCs w:val="20"/>
          <w:color w:val="auto"/>
        </w:rPr>
      </w:pPr>
    </w:p>
    <w:p>
      <w:pPr>
        <w:ind w:left="660" w:right="40" w:hanging="328"/>
        <w:spacing w:after="0" w:line="259"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Quota A</w:t>
      </w:r>
      <w:r>
        <w:rPr>
          <w:rFonts w:ascii="Arial" w:cs="Arial" w:eastAsia="Arial" w:hAnsi="Arial"/>
          <w:sz w:val="18"/>
          <w:szCs w:val="18"/>
          <w:color w:val="auto"/>
        </w:rPr>
        <w:t>. Quota A was reserved for certain founders. One of the founders has the right to appoint three (3) board members out of five (5), appoint the Chair from these three (3) persons and appoint one (1) member of the Board of Statutory Auditors. One other founder has the right to appoint two (2) board members out of five (5), appoint two (2) statutory auditors and appoint the Chair of the statutory auditors from the two (2) appointees. Quota A has voting rights.</w:t>
      </w:r>
    </w:p>
    <w:p>
      <w:pPr>
        <w:spacing w:after="0" w:line="186"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Quota B</w:t>
      </w:r>
      <w:r>
        <w:rPr>
          <w:rFonts w:ascii="Arial" w:cs="Arial" w:eastAsia="Arial" w:hAnsi="Arial"/>
          <w:sz w:val="18"/>
          <w:szCs w:val="18"/>
          <w:color w:val="auto"/>
        </w:rPr>
        <w:t>. Quota B has no voting rights, the same profit-sharing rights as Quota A and is priced at a nominal amount of €1.00. The Company has historically utilized Quota B for its share-based compensation program offered to board members, employees, and consultants. Quota B is also held by certain co-founders. The Company’s stock options are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Quota C</w:t>
      </w:r>
      <w:r>
        <w:rPr>
          <w:rFonts w:ascii="Arial" w:cs="Arial" w:eastAsia="Arial" w:hAnsi="Arial"/>
          <w:sz w:val="17"/>
          <w:szCs w:val="17"/>
          <w:color w:val="auto"/>
        </w:rPr>
        <w:t>. Quota C has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Quota D</w:t>
      </w:r>
      <w:r>
        <w:rPr>
          <w:rFonts w:ascii="Arial" w:cs="Arial" w:eastAsia="Arial" w:hAnsi="Arial"/>
          <w:sz w:val="18"/>
          <w:szCs w:val="18"/>
          <w:color w:val="auto"/>
        </w:rPr>
        <w:t>.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Quota E</w:t>
      </w:r>
      <w:r>
        <w:rPr>
          <w:rFonts w:ascii="Arial" w:cs="Arial" w:eastAsia="Arial" w:hAnsi="Arial"/>
          <w:sz w:val="18"/>
          <w:szCs w:val="18"/>
          <w:color w:val="auto"/>
        </w:rPr>
        <w:t>.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28" w:name="page229"/>
    <w:bookmarkEnd w:id="228"/>
    <w:p>
      <w:pPr>
        <w:ind w:left="660" w:right="60" w:hanging="328"/>
        <w:spacing w:after="0" w:line="269" w:lineRule="auto"/>
        <w:tabs>
          <w:tab w:leader="none" w:pos="660"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Quotas A, C, D &amp; E</w:t>
      </w:r>
      <w:r>
        <w:rPr>
          <w:rFonts w:ascii="Arial" w:cs="Arial" w:eastAsia="Arial" w:hAnsi="Arial"/>
          <w:sz w:val="17"/>
          <w:szCs w:val="17"/>
          <w:color w:val="auto"/>
        </w:rPr>
        <w:t xml:space="preserve">. During a divestiture proceeding (meaning Quotas representing 100% of the corporate capital of the Company) or a dissolution of the Company, Quotas C, D &amp; E all have the same rights with respect to the proceeds of a divestiture, i.e., all three (3) quotas share the divestiture consideration equally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up to the amount of their investment. If there is any consideration remaining after payment to quotas C, D &amp; E, then quota A shall be entitled to the amount remaining up to the amount of their investment. If proceeds of a divestiture are less than or equal to €50 million, then any proceeds remaining after payment of quotas A, C, D &amp; E, shall be shared equally among quotas A, C, D &amp; E; however, if proceeds of a divestiture are greater than €50 million, then any proceeds remaining after payment of quotas A, C, D &amp; E, shall be distributed to each quota separately according to a detailed formula specified in the Company’s By-Laws, including quota B. Similar to a divestiture, net profits, if any, shall be distributed in the same manner to quotas A, B, C, D &amp; E, after deducting not less than five (5) percent for a legal reserve (up to where this reserve equals one-fifth of the quota capital). A, C, D, E have equal voting rights and the Company By-laws specify protective provisions for each class of quota for A, C, D &amp; E.</w:t>
      </w:r>
    </w:p>
    <w:p>
      <w:pPr>
        <w:spacing w:after="0" w:line="181" w:lineRule="exact"/>
        <w:rPr>
          <w:rFonts w:ascii="Arial" w:cs="Arial" w:eastAsia="Arial" w:hAnsi="Arial"/>
          <w:sz w:val="17"/>
          <w:szCs w:val="17"/>
          <w:color w:val="auto"/>
        </w:rPr>
      </w:pPr>
    </w:p>
    <w:p>
      <w:pPr>
        <w:ind w:left="260" w:hanging="252"/>
        <w:spacing w:after="0"/>
        <w:tabs>
          <w:tab w:leader="none" w:pos="2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Company has granted options on its corporate capital to certain directors, officers, employees, and consultants, as an incentive and as additional compensation. All options convert into Quota B when vested and exercised. All options have an exercise price of €1.00 per quota. Options generally vest over a one-to-three-year period and are exercised when vested. All options expire on December 31, 2021, if not exercised. The Board of Directors approves any options granted and has authorized and granted 4,835 options to date. At December 31, 2019, there were no options available for grant, as all remaining authorized options were granted in 2019; therefore, no options were granted in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quota option activity for the years ended December 31, 2020 and 2019 is represented by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Remaining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Contractual</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Options</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Term (Years)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2019</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1,056,316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472,184</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Exerciseable as of December 31, 2020</w:t>
            </w: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years ended December 31, 2020 and 2019 is represented by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right"/>
              <w:ind w:right="280"/>
              <w:spacing w:after="0"/>
              <w:rPr>
                <w:sz w:val="20"/>
                <w:szCs w:val="20"/>
                <w:color w:val="auto"/>
              </w:rPr>
            </w:pPr>
            <w:r>
              <w:rPr>
                <w:rFonts w:ascii="Arial" w:cs="Arial" w:eastAsia="Arial" w:hAnsi="Arial"/>
                <w:sz w:val="18"/>
                <w:szCs w:val="18"/>
                <w:color w:val="auto"/>
                <w:w w:val="89"/>
              </w:rPr>
              <w:t>Year ended December 31,</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2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2"/>
              </w:rPr>
              <w:t>Research &amp; development expense - related party</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326,400</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581,949</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133,794</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137,057</w:t>
            </w:r>
          </w:p>
        </w:tc>
        <w:tc>
          <w:tcPr>
            <w:tcW w:w="1680" w:type="dxa"/>
            <w:vAlign w:val="bottom"/>
          </w:tcPr>
          <w:p>
            <w:pPr>
              <w:spacing w:after="0"/>
              <w:rPr>
                <w:sz w:val="21"/>
                <w:szCs w:val="21"/>
                <w:color w:val="auto"/>
              </w:rPr>
            </w:pPr>
          </w:p>
        </w:tc>
      </w:tr>
      <w:tr>
        <w:trPr>
          <w:trHeight w:val="257"/>
        </w:trPr>
        <w:tc>
          <w:tcPr>
            <w:tcW w:w="1700" w:type="dxa"/>
            <w:vAlign w:val="bottom"/>
          </w:tcPr>
          <w:p>
            <w:pPr>
              <w:spacing w:after="0"/>
              <w:rPr>
                <w:sz w:val="22"/>
                <w:szCs w:val="22"/>
                <w:color w:val="auto"/>
              </w:rPr>
            </w:pPr>
          </w:p>
        </w:tc>
        <w:tc>
          <w:tcPr>
            <w:tcW w:w="36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460,194</w:t>
            </w:r>
          </w:p>
        </w:tc>
        <w:tc>
          <w:tcPr>
            <w:tcW w:w="2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740,810</w:t>
            </w:r>
          </w:p>
        </w:tc>
        <w:tc>
          <w:tcPr>
            <w:tcW w:w="80" w:type="dxa"/>
            <w:vAlign w:val="bottom"/>
            <w:tcBorders>
              <w:top w:val="single" w:sz="8" w:color="CCEEFF"/>
              <w:bottom w:val="single" w:sz="8" w:color="CCEEFF"/>
            </w:tcBorders>
          </w:tcPr>
          <w:p>
            <w:pPr>
              <w:spacing w:after="0"/>
              <w:rPr>
                <w:sz w:val="22"/>
                <w:szCs w:val="22"/>
                <w:color w:val="auto"/>
              </w:rPr>
            </w:pPr>
          </w:p>
        </w:tc>
        <w:tc>
          <w:tcPr>
            <w:tcW w:w="1680" w:type="dxa"/>
            <w:vAlign w:val="bottom"/>
          </w:tcPr>
          <w:p>
            <w:pPr>
              <w:spacing w:after="0"/>
              <w:rPr>
                <w:sz w:val="22"/>
                <w:szCs w:val="22"/>
                <w:color w:val="auto"/>
              </w:rPr>
            </w:pPr>
          </w:p>
        </w:tc>
      </w:tr>
      <w:tr>
        <w:trPr>
          <w:trHeight w:val="196"/>
        </w:trPr>
        <w:tc>
          <w:tcPr>
            <w:tcW w:w="170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expense at December 31,</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313,273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769,779</w:t>
            </w: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29" w:name="page230"/>
    <w:bookmarkEnd w:id="229"/>
    <w:p>
      <w:pPr>
        <w:ind w:firstLine="648"/>
        <w:spacing w:after="0" w:line="259" w:lineRule="auto"/>
        <w:rPr>
          <w:sz w:val="20"/>
          <w:szCs w:val="20"/>
          <w:color w:val="auto"/>
        </w:rPr>
      </w:pPr>
      <w:r>
        <w:rPr>
          <w:rFonts w:ascii="Arial" w:cs="Arial" w:eastAsia="Arial" w:hAnsi="Arial"/>
          <w:sz w:val="18"/>
          <w:szCs w:val="18"/>
          <w:color w:val="auto"/>
        </w:rPr>
        <w:t>The Company awarded eight options to a consultant on September 30, 2019 for assistance in raising additional Quota E capital for the Company in 2019. The Company recorded the €8,702, which was the fair value of the option as a charge to additional paid-in capital. The weighted average grant date fair value of the options granted during 2019 was €1,088. The Company’s unrecognized expense was €313,273 and €769,779 at December 31, 2020 and 2019, respectively, and will be expensed as the options vest.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 which was used in the OPM Backsolve Model;</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0" w:name="page231"/>
    <w:bookmarkEnd w:id="230"/>
    <w:p>
      <w:pPr>
        <w:ind w:right="20" w:firstLine="648"/>
        <w:spacing w:after="0" w:line="255" w:lineRule="auto"/>
        <w:rPr>
          <w:sz w:val="20"/>
          <w:szCs w:val="20"/>
          <w:color w:val="auto"/>
        </w:rPr>
      </w:pPr>
      <w:r>
        <w:rPr>
          <w:rFonts w:ascii="Arial" w:cs="Arial" w:eastAsia="Arial" w:hAnsi="Arial"/>
          <w:sz w:val="18"/>
          <w:szCs w:val="18"/>
          <w:color w:val="auto"/>
        </w:rPr>
        <w:t>The OPM treats each equity class as a call options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2020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1,454,576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2,009,884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709,183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3,124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712,307</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145,700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326,400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472,100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16,742</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17,724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34,466</w:t>
            </w: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5,128</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21"/>
                <w:szCs w:val="21"/>
                <w:color w:val="auto"/>
              </w:rPr>
            </w:pP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2,331,329</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2,357,132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2019</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2,111,388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171,289</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581,949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753,238</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649,574</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649,574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97,063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36,510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133,573</w:t>
            </w:r>
          </w:p>
        </w:tc>
        <w:tc>
          <w:tcPr>
            <w:tcW w:w="80" w:type="dxa"/>
            <w:vAlign w:val="bottom"/>
          </w:tcPr>
          <w:p>
            <w:pPr>
              <w:spacing w:after="0"/>
              <w:rPr>
                <w:sz w:val="18"/>
                <w:szCs w:val="18"/>
                <w:color w:val="auto"/>
              </w:rPr>
            </w:pP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55,209</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55,209</w:t>
            </w: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1,047,653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2,655,329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recorded a research and development tax credit in the amount of €265,834 and €448,079 for the years ended December 31, 2020 and 2019, respectively, to offset Consultants and other third parties related research and development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1" w:name="page232"/>
    <w:bookmarkEnd w:id="231"/>
    <w:p>
      <w:pPr>
        <w:ind w:left="328"/>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62" w:lineRule="exact"/>
        <w:rPr>
          <w:sz w:val="20"/>
          <w:szCs w:val="20"/>
          <w:color w:val="auto"/>
        </w:rPr>
      </w:pPr>
    </w:p>
    <w:tbl>
      <w:tblPr>
        <w:tblLayout w:type="fixed"/>
        <w:tblInd w:w="248"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2020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191,998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239,861</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239,861</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64,430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24,685</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14,402</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39,087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59,648</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61,143</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6,618</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6,618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2019</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171,698</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277,849</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449,547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40,745</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40,745</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14,759</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14,759</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13,630</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22,336</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5,302</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27,638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w w:val="99"/>
              </w:rPr>
              <w:t>The Company’s accounts payable to related parties are comprised as follows: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8"/>
              </w:rPr>
              <w:t>The Company’s accrued expenses to related parties are comprised as follows:</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Pierluigi Paracchi</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328" w:hanging="328"/>
        <w:spacing w:after="0"/>
        <w:tabs>
          <w:tab w:leader="none" w:pos="3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25" w:lineRule="exact"/>
        <w:rPr>
          <w:sz w:val="20"/>
          <w:szCs w:val="20"/>
          <w:color w:val="auto"/>
        </w:rPr>
      </w:pPr>
    </w:p>
    <w:p>
      <w:pPr>
        <w:jc w:val="center"/>
        <w:ind w:right="-227"/>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8"/>
          </w:cols>
          <w:pgMar w:left="652" w:top="692" w:right="899" w:bottom="1440" w:gutter="0" w:footer="0" w:header="0"/>
        </w:sectPr>
      </w:pPr>
    </w:p>
    <w:bookmarkStart w:id="232" w:name="page233"/>
    <w:bookmarkEnd w:id="232"/>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He is the Chief Executive Officer and the Company’s Vice-Chairman of the Board of Directors as well as co-founder. In addition to his annual remuneration of €250,000 for the year 2020 and €201,980 for the year 2019, Mr. Paracchi also obtained a funding fee of €185,510 in 2019 for the funding activity of the first financing as approved by the Board of Directors and by quotaholders at the Quotaholders’ Meeting. This was recorded in additional paid-in capital as a direct reduction of proceeds. Mr. Paracchi was awarded a bonus of €50,000 by the Board of Directors in July 2020. The bonus was accrued in the 2019 financial statements and paid in July 2020. At December 31, 2020, the Company also accrued a bonus of €25,000 for the period July to December 2020: as per his Directorship agreement, Mr. Paracchi is entitled to receive a bonus of up to €50,000 to be approved by the Board of Directors each year to cover the period August 1st to July 31st of each year. Such Directorship agreement will be terminated by the parties for mutual consent upon signature of the employment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They are co-founders of Genenta and part of the SAB – Scientific Advisory Board, with Dr. Naldini as Chairman, and Dr. Gentner as a member. Dr. Naldini has an advisory agreement approved by the Board of Directors and performs the pre-clinical studies for Genenta. In particular, the pre-clinical experiments are in solid tumor indications. The last agreement with Dr. Naldini is still in effect and was signed on December 12, 2019. In 2020 and 2019, Dr. Naldini’s compensation amounted to €56,250 and €55,500, respectively. Dr. Gentner, like Dr. Naldini, oversees pre-clinical research related to the platform technology. In addition, he analyzes clinical biological data. The last agreement with Dr. Gentner, which is still in force, was signed on October 26, 2017. In 2020 and 2019, Dr. Gentner’s compensation was €18,750 and €44,350,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effective from August 1, 2019, (€200,000 prior to that date) plus a variable compensation of €50,000 based on the results obtained and depending on the Company’s Board of Directors approval. In 2020, the Company incurred €342,872. The Company accrued €25,000 for a potential bonus relating to the period of July to December 2020. The amounts owed at December 31, 2020 and 2019 are €30,942 and €156,816, respectively. In 2019, the Company granted options on 1,000 class B quotas to Dr. Russo, of which 400 were exercised and converted to class B quotas in 2019 and 300 were exercised and converted to class B quotas in 2020; the remaining 300 are outstanding and will vest by the earlier of July 31, 2021 or the effectiveness of the Company’s registration statement. The fair value of the options based on the Company’s valuation was €1,084 per quota B. There were no options granted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Raffaele Hospital - OSR</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San Raffaele Hospital (“OSR”) is a co-founder of the Company and the Company is a corporate and research spin-off of OSR. OSR owns approximately 13% of the Company, as of December 31, 2020. The Hospital is one of the leading biomedical research institutions in Italy and Europe, with a 45-year history of developing innovative therapies and procedures. The Company has several contractual arrangements with OSR. The Company has agreements to license technology, to perform research, pre-clinical and clinical activities, as well as to lease facilities and obtain certain other support functions. The Company’s headquarters is currently in an OSR facility.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38"/>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firstLine="638"/>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165" w:lineRule="exact"/>
        <w:rPr>
          <w:sz w:val="20"/>
          <w:szCs w:val="20"/>
          <w:color w:val="auto"/>
        </w:rPr>
      </w:pPr>
    </w:p>
    <w:p>
      <w:pPr>
        <w:ind w:left="980" w:hanging="324"/>
        <w:spacing w:after="0"/>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Lympho-Hematopoietic Indication;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agreement provided for an upfront fee of €250,000 (which was paid by the Company in 2015), plus future option fees are as follows:</w:t>
      </w:r>
    </w:p>
    <w:p>
      <w:pPr>
        <w:spacing w:after="0" w:line="225" w:lineRule="exact"/>
        <w:rPr>
          <w:sz w:val="20"/>
          <w:szCs w:val="20"/>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 For information relating to the contingent milestones for these indications, please refer to Note 13 - Commitments and Contingencies.</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glioblastoma multiforme 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in the amount of €1,145,202 in 2019. In 2020, the comparable costs incurred and expensed for the glioblastoma program were €989,556.</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license fee for the first indication (i.e., GBM) would have become due when the tenth patient was dosed in the GBM trial; however, the license fee was reduced to €0.5 million, in exchange for the Company’s agreement to exercise a second option for an additional Solid Cancer indication (i.e., liver cancer) and an agreement to execute a Sponsored Research Agreement in February 2021. If the Company is not be able to obtain approval from the competent authorities to initiate a human clinical trial in liver cancer on or before the expiration of nine months (from December 2020), the Company has the right, at no additional costs, to convert the second solid cancer indication (i.e., liver cancer) to an “Alternate Indication,” as defined in the agreement (i.e., to an indication other than liver cancer.)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In summary, Amendment #3 to the license agreement amended the existing agreement as follows:</w:t>
      </w:r>
    </w:p>
    <w:p>
      <w:pPr>
        <w:spacing w:after="0" w:line="225" w:lineRule="exact"/>
        <w:rPr>
          <w:sz w:val="20"/>
          <w:szCs w:val="20"/>
          <w:color w:val="auto"/>
        </w:rPr>
      </w:pPr>
    </w:p>
    <w:p>
      <w:pPr>
        <w:ind w:left="980" w:right="20" w:hanging="324"/>
        <w:spacing w:after="0" w:line="258" w:lineRule="auto"/>
        <w:tabs>
          <w:tab w:leader="none" w:pos="9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reduction of option fee on the first solid cancer indication = €0.5 million (accrued at December 31,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which was executed in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to be paid by June 30, 2021.</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has paid €0.75 million to OSR, since inception under the license agreement. No events have occurred or have been achieved (and none are considered probable) to trigger any contingent payments under the license agreement as of December 31, 2020. For information relating to the contingency payments or future milestones for these indications, please refer to Note 13 - Commitments and Contingencies.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right="160" w:firstLine="638"/>
        <w:spacing w:after="0" w:line="272" w:lineRule="auto"/>
        <w:rPr>
          <w:sz w:val="20"/>
          <w:szCs w:val="20"/>
          <w:color w:val="auto"/>
        </w:rPr>
      </w:pPr>
      <w:r>
        <w:rPr>
          <w:rFonts w:ascii="Arial" w:cs="Arial" w:eastAsia="Arial" w:hAnsi="Arial"/>
          <w:sz w:val="17"/>
          <w:szCs w:val="17"/>
          <w:color w:val="auto"/>
        </w:rPr>
        <w:t>In March 2019, the Company and OSR entered into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The first TEM-MM-101 trial patient was enrolled in August 2019, after the approval received from national competent authorities.</w:t>
      </w:r>
    </w:p>
    <w:p>
      <w:pPr>
        <w:spacing w:after="0" w:line="177" w:lineRule="exact"/>
        <w:rPr>
          <w:sz w:val="20"/>
          <w:szCs w:val="20"/>
          <w:color w:val="auto"/>
        </w:rPr>
      </w:pPr>
    </w:p>
    <w:p>
      <w:pPr>
        <w:ind w:right="60" w:firstLine="638"/>
        <w:spacing w:after="0" w:line="293" w:lineRule="auto"/>
        <w:rPr>
          <w:sz w:val="20"/>
          <w:szCs w:val="20"/>
          <w:color w:val="auto"/>
        </w:rPr>
      </w:pPr>
      <w:r>
        <w:rPr>
          <w:rFonts w:ascii="Arial" w:cs="Arial" w:eastAsia="Arial" w:hAnsi="Arial"/>
          <w:sz w:val="16"/>
          <w:szCs w:val="16"/>
          <w:color w:val="auto"/>
        </w:rPr>
        <w:t>In 2019, the Company expensed €130,589 for the analysis performed by OSR for multiple myeloma and €364,042 for the clinical procedures performed by OSR’s Hematology and Bone Transplant Unit for multiple myeloma. For the multiple myeloma program, the Company recorded expenses in 2020 of €104,626; however, the discussion to discontinue the program began in late 2020. The final decision to discontinue the program was reached in early 2021, mainly due to the small number of eligible patients, the increasing competitive landscape, and the faster progress and promising result on the concurrent solid tumor glioblastoma trial (TEM-GBM_001). No product indication was exercised, and no milestones were achieved related to the multiple myeloma indication, and so no option fee or contingent payments were due to OSR for this indication.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stated above, in exchange for a reduction in the first solid cancer indication (i.e., GBM) option fee from €1.0 million to €0.5 million, the Company agreed to enter into a Sponsored Research Agreement (SRA) in December 2020. Under the SRA, which was executed in February 2021, two sponsored research activities will be conducted for between €0.5 million and €1.0 million. The first SRA payment was made in early 2021 in the amount of €250,000.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service agreement to provide certain services (accounting/bookkeeping and rent of spaces, the latter with an addendum effective from January 1, 2016) free of charge was in place between the Company and OSR from 2014 to 2019. Beginning in January 2020, a third-party provider was engaged by the Company to perform these services. The Company determined the value of these services that were provided in 2019 and in prior years were not material to its financial statements.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Beginning January 1, 2020, the Company entered into a six-year lease agreement for the use of office space in the OSR building. The Company paid OSR annual rent of €13,400 in 2020 with a security deposit of €3,350.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obligations by contractual maturity for years following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1"/>
              </w:rPr>
              <w:t>Payments by period</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8"/>
              </w:rPr>
              <w:t>Less than a</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3"/>
              </w:rPr>
              <w:t>More than</w:t>
            </w:r>
          </w:p>
        </w:tc>
        <w:tc>
          <w:tcPr>
            <w:tcW w:w="100" w:type="dxa"/>
            <w:vAlign w:val="bottom"/>
            <w:gridSpan w:val="2"/>
          </w:tcPr>
          <w:p>
            <w:pPr>
              <w:spacing w:after="0"/>
              <w:rPr>
                <w:sz w:val="17"/>
                <w:szCs w:val="17"/>
                <w:color w:val="auto"/>
              </w:rPr>
            </w:pPr>
          </w:p>
        </w:tc>
      </w:tr>
      <w:tr>
        <w:trPr>
          <w:trHeight w:val="237"/>
        </w:trPr>
        <w:tc>
          <w:tcPr>
            <w:tcW w:w="3940" w:type="dxa"/>
            <w:vAlign w:val="bottom"/>
          </w:tcPr>
          <w:p>
            <w:pPr>
              <w:ind w:left="1620"/>
              <w:spacing w:after="0"/>
              <w:rPr>
                <w:sz w:val="20"/>
                <w:szCs w:val="20"/>
                <w:color w:val="auto"/>
              </w:rPr>
            </w:pPr>
            <w:r>
              <w:rPr>
                <w:rFonts w:ascii="Arial" w:cs="Arial" w:eastAsia="Arial" w:hAnsi="Arial"/>
                <w:sz w:val="18"/>
                <w:szCs w:val="18"/>
                <w:color w:val="auto"/>
              </w:rPr>
              <w:t>(in Euros)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year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 to 3 years</w:t>
            </w:r>
          </w:p>
        </w:tc>
        <w:tc>
          <w:tcPr>
            <w:tcW w:w="1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 to 5 years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5 years</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Sponsored research agreement (SRA) with OSR</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License option fee for liver cancer (or second cancer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indication)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5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80,400</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13,400</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13,400</w:t>
            </w:r>
          </w:p>
        </w:tc>
        <w:tc>
          <w:tcPr>
            <w:tcW w:w="80" w:type="dxa"/>
            <w:vAlign w:val="bottom"/>
            <w:shd w:val="clear" w:color="auto" w:fill="CCEEFF"/>
          </w:tcPr>
          <w:p>
            <w:pPr>
              <w:spacing w:after="0"/>
              <w:rPr>
                <w:sz w:val="21"/>
                <w:szCs w:val="21"/>
                <w:color w:val="auto"/>
              </w:rPr>
            </w:pPr>
          </w:p>
        </w:tc>
      </w:tr>
      <w:tr>
        <w:trPr>
          <w:trHeight w:val="216"/>
        </w:trPr>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1,580,400</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1,013,400</w:t>
            </w: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526,800</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26,800</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above amounts include an option fee for the second cancer indication payable to OSR. Refer to the Related parties - Note 12 for further information.</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Company entered into certain license agreements under which it is obligated to pay option license fees and to make contingent milestone payments. 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OSR agreements are non-cancelable, except in the case of breach of contract, and include total potential milestone payments of up to €10 million related to the Lympho-Hematopoietic Indication of each Licensed Product, and up to €53 million related to each Solid Cancer indication;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glioblastoma multiforme. The Company’s contingent liability for this first solid cancer indication potentially payable to OSR was €53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has incurred €1.5 million of expense in 2020 compared to €2.6 million of cumulative expense for 2019 and prior years.</w:t>
      </w:r>
    </w:p>
    <w:p>
      <w:pPr>
        <w:spacing w:after="0" w:line="14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 The Company made no payments under the SRA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€3,000 and approximately €50,000 have been incurred as of December 31, 2020 and 2019,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Biogazelle NV agreement on exploratory analyses for trial endpoints is non-cancelable, except in the case of breach of contract, and carries a total cost for the entire trial of €106,000, of which €28 thousand and €6 thousand have been incurred as of December 31,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entered into a non-cancelable lease agreement for office space in January 2020. (See Footnote 12 – Related parties under OSR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is not currently party to any material legal proceedings. At each reporting date, the Company evaluates whether or not a potential loss amount or a potential range of loss is probable and reasonably estimable under the provisions of ASC 450, </w:t>
      </w:r>
      <w:r>
        <w:rPr>
          <w:rFonts w:ascii="Arial" w:cs="Arial" w:eastAsia="Arial" w:hAnsi="Arial"/>
          <w:sz w:val="16"/>
          <w:szCs w:val="16"/>
          <w:i w:val="1"/>
          <w:iCs w:val="1"/>
          <w:color w:val="auto"/>
        </w:rPr>
        <w:t>Contingencie</w:t>
      </w:r>
      <w:r>
        <w:rPr>
          <w:rFonts w:ascii="Arial" w:cs="Arial" w:eastAsia="Arial" w:hAnsi="Arial"/>
          <w:sz w:val="16"/>
          <w:szCs w:val="16"/>
          <w:color w:val="auto"/>
        </w:rPr>
        <w:t>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8" w:name="page239"/>
    <w:bookmarkEnd w:id="238"/>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center"/>
              <w:ind w:right="461"/>
              <w:spacing w:after="0"/>
              <w:rPr>
                <w:sz w:val="20"/>
                <w:szCs w:val="20"/>
                <w:color w:val="auto"/>
              </w:rPr>
            </w:pPr>
            <w:r>
              <w:rPr>
                <w:rFonts w:ascii="Arial" w:cs="Arial" w:eastAsia="Arial" w:hAnsi="Arial"/>
                <w:sz w:val="18"/>
                <w:szCs w:val="18"/>
                <w:b w:val="1"/>
                <w:bCs w:val="1"/>
                <w:color w:val="auto"/>
                <w:w w:val="90"/>
              </w:rPr>
              <w:t>Six-Months Ended June 30,</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4"/>
          </w:tcPr>
          <w:p>
            <w:pPr>
              <w:jc w:val="center"/>
              <w:ind w:left="870"/>
              <w:spacing w:after="0"/>
              <w:rPr>
                <w:sz w:val="20"/>
                <w:szCs w:val="20"/>
                <w:color w:val="auto"/>
              </w:rPr>
            </w:pPr>
            <w:r>
              <w:rPr>
                <w:rFonts w:ascii="Arial" w:cs="Arial" w:eastAsia="Arial" w:hAnsi="Arial"/>
                <w:sz w:val="18"/>
                <w:szCs w:val="18"/>
                <w:color w:val="auto"/>
                <w:w w:val="92"/>
              </w:rPr>
              <w:t>(unaudited)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3,199,234</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2,072,129</w:t>
            </w:r>
          </w:p>
        </w:tc>
        <w:tc>
          <w:tcPr>
            <w:tcW w:w="0" w:type="dxa"/>
            <w:vAlign w:val="bottom"/>
          </w:tcPr>
          <w:p>
            <w:pPr>
              <w:spacing w:after="0"/>
              <w:rPr>
                <w:sz w:val="1"/>
                <w:szCs w:val="1"/>
                <w:color w:val="auto"/>
              </w:rPr>
            </w:pPr>
          </w:p>
        </w:tc>
      </w:tr>
      <w:tr>
        <w:trPr>
          <w:trHeight w:val="25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842,236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404,885</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Income taxes (Note 5)</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Loss per share information (unaudited):</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 basic and diluted</w:t>
            </w:r>
          </w:p>
        </w:tc>
        <w:tc>
          <w:tcPr>
            <w:tcW w:w="10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2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basic and diluted</w:t>
            </w: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14,772,610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At June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10,553,906</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15,465,243</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(Note 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1,549,766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947,501</w:t>
            </w: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 (Note 12)</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121,432</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12,103,672</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 (Note 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18,971</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Other asset-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(Note 8)</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1,163,375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945,618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1,187,337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and stockholders’ equity</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270,941</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544,988</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Accounts payable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88,392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10,027</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418,571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365,969</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Accrued expenses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809,605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1,359,191</w:t>
            </w: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80,801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53,243</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1,668,310</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 (Note 9)</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21,645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21,645</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Quotaholders’ and stockholders’ equity</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Corporate capital</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37,056</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i w:val="1"/>
                <w:iCs w:val="1"/>
                <w:color w:val="auto"/>
              </w:rPr>
              <w:t>Additional paid-in capital</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36,604,728</w:t>
            </w:r>
          </w:p>
        </w:tc>
        <w:tc>
          <w:tcPr>
            <w:tcW w:w="80" w:type="dxa"/>
            <w:vAlign w:val="bottom"/>
          </w:tcPr>
          <w:p>
            <w:pPr>
              <w:spacing w:after="0"/>
              <w:rPr>
                <w:sz w:val="18"/>
                <w:szCs w:val="18"/>
                <w:color w:val="auto"/>
              </w:rPr>
            </w:pPr>
          </w:p>
        </w:tc>
      </w:tr>
      <w:tr>
        <w:trPr>
          <w:trHeight w:val="202"/>
        </w:trPr>
        <w:tc>
          <w:tcPr>
            <w:tcW w:w="6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no par value, 59,700,000 shares authorized and 15,000,000 shares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(unaudited) (Note 10)</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37,139,431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(25,538,377)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(21,490,475)</w:t>
            </w:r>
          </w:p>
        </w:tc>
      </w:tr>
      <w:tr>
        <w:trPr>
          <w:trHeight w:val="236"/>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quotaholders’ and stockholders’ equity</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11,601,054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320" w:type="dxa"/>
            <w:vAlign w:val="bottom"/>
          </w:tcPr>
          <w:p>
            <w:pPr>
              <w:spacing w:after="0"/>
              <w:rPr>
                <w:sz w:val="20"/>
                <w:szCs w:val="20"/>
                <w:color w:val="auto"/>
              </w:rPr>
            </w:pPr>
            <w:r>
              <w:rPr>
                <w:rFonts w:ascii="Arial" w:cs="Arial" w:eastAsia="Arial" w:hAnsi="Arial"/>
                <w:sz w:val="18"/>
                <w:szCs w:val="18"/>
                <w:b w:val="1"/>
                <w:bCs w:val="1"/>
                <w:color w:val="auto"/>
              </w:rPr>
              <w:t>Total liabilities and quotaholders’ and stockholders’ equity</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Quotaholders’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Additional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Common</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paid-in</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1"/>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stock, no</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w w:val="92"/>
              </w:rPr>
              <w:t>Accumulated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capital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4"/>
              </w:rPr>
              <w:t>par</w:t>
            </w: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36"/>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34,713,225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(15,898,461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5"/>
        </w:trPr>
        <w:tc>
          <w:tcPr>
            <w:tcW w:w="4080" w:type="dxa"/>
            <w:vAlign w:val="bottom"/>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230,097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230,097</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(2,479,304)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(2,479,304)</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34,943,322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(18,377,765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16,601,742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36,604,728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7"/>
              </w:rPr>
              <w:t>€ (21,490,475)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15,151,309</w:t>
            </w:r>
          </w:p>
        </w:tc>
      </w:tr>
      <w:tr>
        <w:trPr>
          <w:trHeight w:val="175"/>
        </w:trPr>
        <w:tc>
          <w:tcPr>
            <w:tcW w:w="40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497,104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497,104</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Quota B repurchased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capital adjustment from Srl to SpA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(37,599)</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11,279,700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37,599</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Capital increase related to SpA (Unaudited)</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(12,401)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3,720,300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12,401</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8"/>
              </w:rPr>
              <w:t>Conversion adjustment from Srl to SpA (Unaudited)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(37,089,431)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37,089,431</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Accumulated deficit (Unaudited)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(4,047,902)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(4,047,902)</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37,139,431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(25,538,377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€ 11,601,054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20" w:type="dxa"/>
            <w:vAlign w:val="bottom"/>
            <w:gridSpan w:val="7"/>
          </w:tcPr>
          <w:p>
            <w:pPr>
              <w:jc w:val="center"/>
              <w:ind w:right="540"/>
              <w:spacing w:after="0"/>
              <w:rPr>
                <w:sz w:val="20"/>
                <w:szCs w:val="20"/>
                <w:color w:val="auto"/>
              </w:rPr>
            </w:pPr>
            <w:r>
              <w:rPr>
                <w:rFonts w:ascii="Arial" w:cs="Arial" w:eastAsia="Arial" w:hAnsi="Arial"/>
                <w:sz w:val="20"/>
                <w:szCs w:val="20"/>
                <w:b w:val="1"/>
                <w:bCs w:val="1"/>
                <w:color w:val="auto"/>
                <w:w w:val="89"/>
              </w:rPr>
              <w:t>Six Months Ended June 30,</w:t>
            </w:r>
          </w:p>
        </w:tc>
      </w:tr>
      <w:tr>
        <w:trPr>
          <w:trHeight w:val="250"/>
        </w:trPr>
        <w:tc>
          <w:tcPr>
            <w:tcW w:w="6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6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4"/>
          </w:tcPr>
          <w:p>
            <w:pPr>
              <w:jc w:val="center"/>
              <w:ind w:left="881"/>
              <w:spacing w:after="0"/>
              <w:rPr>
                <w:sz w:val="20"/>
                <w:szCs w:val="20"/>
                <w:color w:val="auto"/>
              </w:rPr>
            </w:pPr>
            <w:r>
              <w:rPr>
                <w:rFonts w:ascii="Arial" w:cs="Arial" w:eastAsia="Arial" w:hAnsi="Arial"/>
                <w:sz w:val="20"/>
                <w:szCs w:val="20"/>
                <w:color w:val="auto"/>
                <w:w w:val="92"/>
              </w:rPr>
              <w:t>Unaudited</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20"/>
                <w:szCs w:val="20"/>
                <w:color w:val="auto"/>
              </w:rPr>
              <w:t>Net loss</w:t>
            </w:r>
          </w:p>
        </w:tc>
        <w:tc>
          <w:tcPr>
            <w:tcW w:w="1040" w:type="dxa"/>
            <w:vAlign w:val="bottom"/>
            <w:gridSpan w:val="2"/>
          </w:tcPr>
          <w:p>
            <w:pPr>
              <w:ind w:left="600"/>
              <w:spacing w:after="0"/>
              <w:rPr>
                <w:sz w:val="20"/>
                <w:szCs w:val="20"/>
                <w:color w:val="auto"/>
              </w:rPr>
            </w:pPr>
            <w:r>
              <w:rPr>
                <w:rFonts w:ascii="Arial" w:cs="Arial" w:eastAsia="Arial" w:hAnsi="Arial"/>
                <w:sz w:val="20"/>
                <w:szCs w:val="20"/>
                <w:color w:val="auto"/>
              </w:rPr>
              <w:t>€</w:t>
            </w: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(4,047,902)</w:t>
            </w:r>
          </w:p>
        </w:tc>
        <w:tc>
          <w:tcPr>
            <w:tcW w:w="500" w:type="dxa"/>
            <w:vAlign w:val="bottom"/>
            <w:gridSpan w:val="2"/>
          </w:tcPr>
          <w:p>
            <w:pPr>
              <w:spacing w:after="0"/>
              <w:rPr>
                <w:sz w:val="20"/>
                <w:szCs w:val="20"/>
                <w:color w:val="auto"/>
              </w:rPr>
            </w:pPr>
            <w:r>
              <w:rPr>
                <w:rFonts w:ascii="Arial" w:cs="Arial" w:eastAsia="Arial" w:hAnsi="Arial"/>
                <w:sz w:val="20"/>
                <w:szCs w:val="20"/>
                <w:color w:val="auto"/>
              </w:rPr>
              <w:t>€</w:t>
            </w: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(2,479,304)</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w w:val="98"/>
              </w:rPr>
              <w:t>Adjustments to reconcile net loss to net cash used in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Depreciation expense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2,086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566</w:t>
            </w:r>
          </w:p>
        </w:tc>
        <w:tc>
          <w:tcPr>
            <w:tcW w:w="80" w:type="dxa"/>
            <w:vAlign w:val="bottom"/>
          </w:tcPr>
          <w:p>
            <w:pPr>
              <w:spacing w:after="0"/>
              <w:rPr>
                <w:sz w:val="19"/>
                <w:szCs w:val="19"/>
                <w:color w:val="auto"/>
              </w:rPr>
            </w:pP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Retirement benefit obligation</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4,256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3,014</w:t>
            </w: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Share-based compensation</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497,104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230,097</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Changes in operating assets and liabilities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Prepaid expenses and other current assets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(263,548)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(61,337)</w:t>
            </w: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Other non-current assets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(217,757)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100,229</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Accounts payable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(274,047)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70,769</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Accounts payable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78,365</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796,753</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Accrued expenses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52,602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(30,647)</w:t>
            </w: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Accrued expenses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(549,586)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(579,138)</w:t>
            </w: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Other current liabilities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27,558</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5,532</w:t>
            </w:r>
          </w:p>
        </w:tc>
      </w:tr>
      <w:tr>
        <w:trPr>
          <w:trHeight w:val="25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used in operating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(4,690,869</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(1,943,466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Cash flows from investing activities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Purchases of property and equipment</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(3,727)</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(13,194)</w:t>
            </w:r>
          </w:p>
        </w:tc>
      </w:tr>
      <w:tr>
        <w:trPr>
          <w:trHeight w:val="224"/>
        </w:trPr>
        <w:tc>
          <w:tcPr>
            <w:tcW w:w="6380" w:type="dxa"/>
            <w:vAlign w:val="bottom"/>
            <w:tcBorders>
              <w:top w:val="single" w:sz="8" w:color="CCEEFF"/>
              <w:bottom w:val="single" w:sz="8" w:color="CCEEFF"/>
            </w:tcBorders>
          </w:tcPr>
          <w:p>
            <w:pPr>
              <w:spacing w:after="0" w:line="216" w:lineRule="exact"/>
              <w:rPr>
                <w:sz w:val="20"/>
                <w:szCs w:val="20"/>
                <w:color w:val="auto"/>
              </w:rPr>
            </w:pPr>
            <w:r>
              <w:rPr>
                <w:rFonts w:ascii="Arial" w:cs="Arial" w:eastAsia="Arial" w:hAnsi="Arial"/>
                <w:sz w:val="20"/>
                <w:szCs w:val="20"/>
                <w:color w:val="auto"/>
              </w:rPr>
              <w:t>Net cash used in investing activities</w:t>
            </w:r>
          </w:p>
        </w:tc>
        <w:tc>
          <w:tcPr>
            <w:tcW w:w="600" w:type="dxa"/>
            <w:vAlign w:val="bottom"/>
            <w:tcBorders>
              <w:top w:val="single" w:sz="8" w:color="CCEEFF"/>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(3,727</w:t>
            </w:r>
          </w:p>
        </w:tc>
        <w:tc>
          <w:tcPr>
            <w:tcW w:w="320" w:type="dxa"/>
            <w:vAlign w:val="bottom"/>
            <w:tcBorders>
              <w:top w:val="single" w:sz="8" w:color="CCEEFF"/>
              <w:bottom w:val="single" w:sz="8" w:color="CCEEFF"/>
            </w:tcBorders>
          </w:tcPr>
          <w:p>
            <w:pPr>
              <w:jc w:val="right"/>
              <w:ind w:right="141"/>
              <w:spacing w:after="0" w:line="216" w:lineRule="exact"/>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(13,194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Proceeds from the exercise of stock options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715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136</w:t>
            </w: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Quota B repurchased</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(172)</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Prepaid offering costs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(217,284)</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r>
      <w:tr>
        <w:trPr>
          <w:trHeight w:val="25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provided (used in) by financing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(216,741</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6"/>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Net decrease in cash and cash equivalents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20"/>
                <w:szCs w:val="20"/>
                <w:color w:val="auto"/>
              </w:rPr>
              <w:t>(4,911,337)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Arial" w:cs="Arial" w:eastAsia="Arial" w:hAnsi="Arial"/>
                <w:sz w:val="20"/>
                <w:szCs w:val="20"/>
                <w:color w:val="auto"/>
              </w:rPr>
              <w:t>(1,956,524)</w:t>
            </w:r>
          </w:p>
        </w:tc>
        <w:tc>
          <w:tcPr>
            <w:tcW w:w="100" w:type="dxa"/>
            <w:vAlign w:val="bottom"/>
            <w:gridSpan w:val="2"/>
          </w:tcPr>
          <w:p>
            <w:pPr>
              <w:spacing w:after="0"/>
              <w:rPr>
                <w:sz w:val="18"/>
                <w:szCs w:val="18"/>
                <w:color w:val="auto"/>
              </w:rPr>
            </w:pPr>
          </w:p>
        </w:tc>
      </w:tr>
      <w:tr>
        <w:trPr>
          <w:trHeight w:val="263"/>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at beginning of period</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15,465,243</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20,141,379</w:t>
            </w:r>
          </w:p>
        </w:tc>
        <w:tc>
          <w:tcPr>
            <w:tcW w:w="80" w:type="dxa"/>
            <w:vAlign w:val="bottom"/>
            <w:shd w:val="clear" w:color="auto" w:fill="CCEEFF"/>
          </w:tcPr>
          <w:p>
            <w:pPr>
              <w:spacing w:after="0"/>
              <w:rPr>
                <w:sz w:val="22"/>
                <w:szCs w:val="22"/>
                <w:color w:val="auto"/>
              </w:rPr>
            </w:pPr>
          </w:p>
        </w:tc>
      </w:tr>
      <w:tr>
        <w:trPr>
          <w:trHeight w:val="230"/>
        </w:trPr>
        <w:tc>
          <w:tcPr>
            <w:tcW w:w="6380" w:type="dxa"/>
            <w:vAlign w:val="bottom"/>
            <w:tcBorders>
              <w:top w:val="single" w:sz="8" w:color="CCEEFF"/>
            </w:tcBorders>
          </w:tcPr>
          <w:p>
            <w:pPr>
              <w:spacing w:after="0"/>
              <w:rPr>
                <w:sz w:val="20"/>
                <w:szCs w:val="20"/>
                <w:color w:val="auto"/>
              </w:rPr>
            </w:pPr>
            <w:r>
              <w:rPr>
                <w:rFonts w:ascii="Arial" w:cs="Arial" w:eastAsia="Arial" w:hAnsi="Arial"/>
                <w:sz w:val="20"/>
                <w:szCs w:val="20"/>
                <w:b w:val="1"/>
                <w:bCs w:val="1"/>
                <w:color w:val="auto"/>
              </w:rPr>
              <w:t>Cash and cash equivalents at end of period</w:t>
            </w:r>
          </w:p>
        </w:tc>
        <w:tc>
          <w:tcPr>
            <w:tcW w:w="600" w:type="dxa"/>
            <w:vAlign w:val="bottom"/>
            <w:tcBorders>
              <w:top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10,553,906</w:t>
            </w:r>
          </w:p>
        </w:tc>
        <w:tc>
          <w:tcPr>
            <w:tcW w:w="320" w:type="dxa"/>
            <w:vAlign w:val="bottom"/>
            <w:tcBorders>
              <w:top w:val="single" w:sz="8" w:color="CCEEFF"/>
            </w:tcBorders>
          </w:tcPr>
          <w:p>
            <w:pPr>
              <w:spacing w:after="0"/>
              <w:rPr>
                <w:sz w:val="20"/>
                <w:szCs w:val="20"/>
                <w:color w:val="auto"/>
              </w:rPr>
            </w:pPr>
          </w:p>
        </w:tc>
        <w:tc>
          <w:tcPr>
            <w:tcW w:w="20" w:type="dxa"/>
            <w:vAlign w:val="bottom"/>
            <w:tcBorders>
              <w:top w:val="single" w:sz="8" w:color="CCEEFF"/>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18,184,855</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Genenta Science S.p.A. (formerly Genenta Science S.r.l.) (the “Company”) is an early-stage company developing first-in-class cell and gene cancer therapies. The Company is initially developing its clinical leading product, Temferon™, to treat glioblastoma multiforme (“GBM”), a solid tumor affecting the brain. The Company intends to continue its clinical trials in Europe and eventually start a second clinical trial to study Temferon™ in liver cancers, possibly in the United States.</w:t>
      </w:r>
    </w:p>
    <w:p>
      <w:pPr>
        <w:spacing w:after="0" w:line="187" w:lineRule="exact"/>
        <w:rPr>
          <w:sz w:val="20"/>
          <w:szCs w:val="20"/>
          <w:color w:val="auto"/>
        </w:rPr>
      </w:pPr>
    </w:p>
    <w:p>
      <w:pPr>
        <w:ind w:right="80" w:firstLine="647"/>
        <w:spacing w:after="0" w:line="290" w:lineRule="auto"/>
        <w:rPr>
          <w:sz w:val="20"/>
          <w:szCs w:val="20"/>
          <w:color w:val="auto"/>
        </w:rPr>
      </w:pPr>
      <w:r>
        <w:rPr>
          <w:rFonts w:ascii="Arial" w:cs="Arial" w:eastAsia="Arial" w:hAnsi="Arial"/>
          <w:sz w:val="16"/>
          <w:szCs w:val="16"/>
          <w:color w:val="auto"/>
        </w:rPr>
        <w:t>Genenta Science S.p.A. (formerly Genenta Science S.r.l. “società a responsabilità limitata,” similar to a Limited Liability Company in the United States) converted to an Italian corporation (“società per azioni”, or “S.p.A.”) in June 2021, which is similar to a C corporation in the United States. The Company was founded by San Raffaele Hospital (“OSR”), in Milan, Italy, Pierluigi Paracchi, Luigi Naldini and Bernhard Gentner and was incorporated in July 2014. On May 20, 2021, the quotaholders resolved that the Company converted from an S.r.l. to an S.p.A. and determined that the outstanding quota be converted to 15 million common shares at no par value. (See Note 10. Quotaholder’s and stockholder’s equity.) New Bylaws have been adopted, two new Board members were appointed and the existing Board of Directors and Board of Statutory Advisors were re-appointed. The registered office remained located in Milan, Italy. The Company’s reporting currency is Euros. In May 2021, the Company formed a wholly owned, Delaware incorporated subsidiary, Genenta Science, Inc., intended for future operations in the United States. The Company’s subsidiary will operate in US Dollars.</w:t>
      </w:r>
    </w:p>
    <w:p>
      <w:pPr>
        <w:spacing w:after="0" w:line="165" w:lineRule="exact"/>
        <w:rPr>
          <w:sz w:val="20"/>
          <w:szCs w:val="20"/>
          <w:color w:val="auto"/>
        </w:rPr>
      </w:pPr>
    </w:p>
    <w:p>
      <w:pPr>
        <w:ind w:right="80" w:firstLine="647"/>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incurred losses since its inception, including a net loss of €4,047,902 and €2,479,304 for the six-month periods ended June 30, 2021 and 2020, respectively. In addition, at June 30, 2021, the Company had an accumulated deficit of €25,538,377. There is no certainty that the Company will become profitable in the future. The Company has primarily funded these losses through the proceeds from sales of convertible debt and equity quotas, prior to the Company’s conversion into an S.p.A.</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evaluated whether there are conditions and events considered in the aggregate that raise substantial doubt about the Company’s ability to continue as a going concern. Although the Company has incurred recurring losses and expects to continue to incur losses for the foreseeable future, the Company expects that its existing consolidated cash and cash equivalents on hand at September 27, 2021 of approximately €8.9 million will be sufficient to fund projected cash requirements through the fourth quarter of 2022. Therefore, the Company will require significant additional financing in the future to fund operations. Accordingly, the accompanying financial statements have been prepared assuming that the Company will continue as a going concern.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8"/>
        <w:spacing w:after="0" w:line="259" w:lineRule="auto"/>
        <w:rPr>
          <w:sz w:val="20"/>
          <w:szCs w:val="20"/>
          <w:color w:val="auto"/>
        </w:rPr>
      </w:pPr>
      <w:r>
        <w:rPr>
          <w:rFonts w:ascii="Arial" w:cs="Arial" w:eastAsia="Arial" w:hAnsi="Arial"/>
          <w:sz w:val="18"/>
          <w:szCs w:val="18"/>
          <w:color w:val="auto"/>
        </w:rPr>
        <w:t>The future viability of the Company is dependent on its ability to raise additional capital to finance its operations and the Company intends to pursue financings in the US public market.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U.S. generally accepted accounting principles for interim financial information and with the instructions to Form 20-F and Article 10 of Regulation S-X promulgated by the Securities and Exchange Commission (“SEC”). Accordingly, certain information and footnote disclosures normally included in annual financial statements have been condensed or omitted. In the opinion of management, the accompanying unaudited interim consolidated financial statements reflect all adjustments (including normal recurring adjustments and the elimination of intercompany accounts) considered necessary for a fair statement of all periods presented. The results of operations of the Company for any interim periods are not necessarily indicative of the results of operations for any other interim periods or for a full fiscal year. These unaudited interim condensed consolidated financial statements for the six months ended June 30, 2021 and 2020 should be read in conjunction with the audited consolidated financial statements and footnotes thereto for the years ended December 31, 2020 and 2019, included elsewhere herein.</w:t>
      </w:r>
    </w:p>
    <w:p>
      <w:pPr>
        <w:spacing w:after="0" w:line="181" w:lineRule="exact"/>
        <w:rPr>
          <w:sz w:val="20"/>
          <w:szCs w:val="20"/>
          <w:color w:val="auto"/>
        </w:rPr>
      </w:pPr>
    </w:p>
    <w:p>
      <w:pPr>
        <w:ind w:right="80" w:firstLine="647"/>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4" w:name="page245"/>
    <w:bookmarkEnd w:id="244"/>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7"/>
        <w:spacing w:after="0" w:line="311"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 In the consolidated cash flow statements, cash and cash equivalents include: cash on hand, deposits held with banks, and other short-term highly liquid investments. In the consolidated balance sheets, bank overdrafts, if any, are shown in current liabilities. Cash and cash equivalents are detailed as follows: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rPr>
              <w:t>At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10,552,591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15,462,805</w:t>
            </w:r>
          </w:p>
        </w:tc>
        <w:tc>
          <w:tcPr>
            <w:tcW w:w="8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in hand &amp; prepaid cards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80" w:type="dxa"/>
            <w:vAlign w:val="bottom"/>
            <w:tcBorders>
              <w:bottom w:val="single" w:sz="8" w:color="CCEEFF"/>
            </w:tcBorders>
          </w:tcPr>
          <w:p>
            <w:pPr>
              <w:spacing w:after="0"/>
              <w:rPr>
                <w:sz w:val="20"/>
                <w:szCs w:val="20"/>
                <w:color w:val="auto"/>
              </w:rPr>
            </w:pPr>
          </w:p>
        </w:tc>
      </w:tr>
      <w:tr>
        <w:trPr>
          <w:trHeight w:val="229"/>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10,553,906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40" w:firstLine="647"/>
        <w:spacing w:after="0" w:line="269" w:lineRule="auto"/>
        <w:rPr>
          <w:sz w:val="20"/>
          <w:szCs w:val="20"/>
          <w:color w:val="auto"/>
        </w:rPr>
      </w:pPr>
      <w:r>
        <w:rPr>
          <w:rFonts w:ascii="Arial" w:cs="Arial" w:eastAsia="Arial" w:hAnsi="Arial"/>
          <w:sz w:val="17"/>
          <w:szCs w:val="17"/>
          <w:color w:val="auto"/>
        </w:rPr>
        <w:t>Loss per share (“EPS”) is computed in accordance with US GAAP. Basic EPS is computed by dividing net loss by the weighted average number of common shares outstanding during the period. Diluted EPS reflects potential dilution and is computed by dividing loss by the weighted average number of common shares outstanding during the period increased by the number of additional common shares that would have been outstanding if all potential common shares had been issued and were dilutive. Since the Company was an S.r.l. in previous periods, QPS (quota per share) has not been included in the historical audited financial statements or the interim Statement of Operations and Comprehensive Loss at June 30, 2020 because the Company determined it was not a meaningful or material disclosure due to the Company’s capital structure. This calculation was applied, after the increase in capital to €50,000 required to be an S.p.A. by Italian law. The Company’s stockholders authorized 59.7 million ordinary common shares. The Company has 15.0 million common shares issued and outstanding at June 30, 2021 with no outstanding options or warrants and 2.7 million common shares reserved for the Company’s Equity Incentive Plan 2021–2025. Diluted EPS is not relevant at June 30, 2021, as there were no common share equivalents. (See Note 10. Quotaholders’ and stockholders’ equity and Note 11. Share-based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 w:firstLine="647"/>
        <w:spacing w:after="0" w:line="273" w:lineRule="auto"/>
        <w:rPr>
          <w:sz w:val="20"/>
          <w:szCs w:val="20"/>
          <w:color w:val="auto"/>
        </w:rPr>
      </w:pPr>
      <w:r>
        <w:rPr>
          <w:rFonts w:ascii="Arial" w:cs="Arial" w:eastAsia="Arial" w:hAnsi="Arial"/>
          <w:sz w:val="17"/>
          <w:szCs w:val="17"/>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consolidated statements of operations. During the periods ended June 30, 2021 and 2020, foreign exchange gains and losses were insignificant.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7"/>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7"/>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7"/>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40" w:firstLine="647"/>
        <w:spacing w:after="0" w:line="301" w:lineRule="auto"/>
        <w:rPr>
          <w:sz w:val="20"/>
          <w:szCs w:val="20"/>
          <w:color w:val="auto"/>
        </w:rPr>
      </w:pPr>
      <w:r>
        <w:rPr>
          <w:rFonts w:ascii="Arial" w:cs="Arial" w:eastAsia="Arial" w:hAnsi="Arial"/>
          <w:sz w:val="16"/>
          <w:szCs w:val="16"/>
          <w:color w:val="auto"/>
        </w:rPr>
        <w:t>In line with the legislation in force until June 30, 2021,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 For eligible R&amp;D activities, the tax credit is equal to 20% (12% in FY 2020) of the eligible costs incurred, with a maximum annual amount of €4.0 million (€3.0 million for FY 2020).</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6" w:name="page247"/>
    <w:bookmarkEnd w:id="246"/>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right="4300" w:firstLine="8"/>
        <w:spacing w:after="0" w:line="521" w:lineRule="auto"/>
        <w:tabs>
          <w:tab w:leader="none" w:pos="19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To determine the cost basis of the benefit, the following expenses are eligible:</w:t>
      </w:r>
    </w:p>
    <w:p>
      <w:pPr>
        <w:ind w:left="660" w:hanging="328"/>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Depreciation charges;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Expenses for consulting services and equivalent services related to eligible research and development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research and development projects.</w:t>
      </w:r>
    </w:p>
    <w:p>
      <w:pPr>
        <w:spacing w:after="0" w:line="225" w:lineRule="exact"/>
        <w:rPr>
          <w:sz w:val="20"/>
          <w:szCs w:val="20"/>
          <w:color w:val="auto"/>
        </w:rPr>
      </w:pPr>
    </w:p>
    <w:p>
      <w:pPr>
        <w:ind w:right="120" w:firstLine="647"/>
        <w:spacing w:after="0" w:line="259" w:lineRule="auto"/>
        <w:rPr>
          <w:sz w:val="20"/>
          <w:szCs w:val="20"/>
          <w:color w:val="auto"/>
        </w:rPr>
      </w:pPr>
      <w:r>
        <w:rPr>
          <w:rFonts w:ascii="Arial" w:cs="Arial" w:eastAsia="Arial" w:hAnsi="Arial"/>
          <w:sz w:val="18"/>
          <w:szCs w:val="18"/>
          <w:color w:val="auto"/>
        </w:rPr>
        <w:t xml:space="preserve">The Company, by analogy, accounts for this receivable in accordance with International Accounting Standards (IAS) 20,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Grants and Disclosure of Government Assistance</w:t>
      </w:r>
      <w:r>
        <w:rPr>
          <w:rFonts w:ascii="Arial" w:cs="Arial" w:eastAsia="Arial" w:hAnsi="Arial"/>
          <w:sz w:val="18"/>
          <w:szCs w:val="18"/>
          <w:color w:val="auto"/>
        </w:rPr>
        <w:t>. The receivable is recognized when there is reasonable assurance that: (1) the recipient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the relevant conditions; and, (2) the grant will be received. The Company has elected to present it net of the related expenditure on the consolidated statements of operations and comprehensive loss.</w:t>
      </w:r>
    </w:p>
    <w:p>
      <w:pPr>
        <w:spacing w:after="0" w:line="187" w:lineRule="exact"/>
        <w:rPr>
          <w:sz w:val="20"/>
          <w:szCs w:val="20"/>
          <w:color w:val="auto"/>
        </w:rPr>
      </w:pPr>
    </w:p>
    <w:p>
      <w:pPr>
        <w:ind w:right="80" w:firstLine="647"/>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7"/>
        <w:spacing w:after="0" w:line="275" w:lineRule="auto"/>
        <w:rPr>
          <w:sz w:val="20"/>
          <w:szCs w:val="20"/>
          <w:color w:val="auto"/>
        </w:rPr>
      </w:pPr>
      <w:r>
        <w:rPr>
          <w:rFonts w:ascii="Arial" w:cs="Arial" w:eastAsia="Arial" w:hAnsi="Arial"/>
          <w:sz w:val="17"/>
          <w:szCs w:val="17"/>
          <w:color w:val="auto"/>
        </w:rPr>
        <w:t>To reward the efforts of employees, directors, and certain consultants and to promote the growth of the Company, the Company’s Board of Directors has approved, prior to the Company’s conversion to an S.p.A., various share-based awards. All options have been awarded with an exercise price of €1 per quota and, when exercised, all options have been converted to Quota B. The options granted had the vesting condition that the individual must remain in his/her role at least one year or as otherwise specified for each person. At June 30, 2021, there were no outstanding options, as all options had been vested and/or accelerated and exercised prior to the Company’s conversion to an S.p.A.</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recipients based on the fair value on the date of the grant and recognizes compensation expense for those awards over the requisite service period(s), which is the vesting period of the respective award. Forfeitures were accounted for as they occurred. The measurement date for option awards was the date of the grant. 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7" w:name="page248"/>
    <w:bookmarkEnd w:id="247"/>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firstLine="647"/>
        <w:spacing w:after="0" w:line="259" w:lineRule="auto"/>
        <w:rPr>
          <w:sz w:val="20"/>
          <w:szCs w:val="20"/>
          <w:color w:val="auto"/>
        </w:rPr>
      </w:pPr>
      <w:r>
        <w:rPr>
          <w:rFonts w:ascii="Arial" w:cs="Arial" w:eastAsia="Arial" w:hAnsi="Arial"/>
          <w:sz w:val="18"/>
          <w:szCs w:val="18"/>
          <w:color w:val="auto"/>
        </w:rPr>
        <w:t>With the adoption of ASU No. 2018-07, Compensation— 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Property and equipment are stated at cost, including any accessory and direct costs that are necessary to make the assets fit for use, and adjusted by the corresponding accumulated depreciation. The depreciation rates recorded in the consolidated financial statements have been calculated by taking into consideration the use, purpose, and financial-technical duration of the assets, on the basis of their estimated useful economic lives. The Company believes the above criteria to be represented by the following depreciation rates:</w:t>
      </w:r>
    </w:p>
    <w:p>
      <w:pPr>
        <w:spacing w:after="0" w:line="187"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Electronic office equipment: 10 years;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Leasehold Improvements: based on the shorter of the life of the leasehold improvement or the remaining term of the lease.</w:t>
      </w:r>
    </w:p>
    <w:p>
      <w:pPr>
        <w:spacing w:after="0" w:line="225" w:lineRule="exact"/>
        <w:rPr>
          <w:sz w:val="20"/>
          <w:szCs w:val="20"/>
          <w:color w:val="auto"/>
        </w:rPr>
      </w:pPr>
    </w:p>
    <w:p>
      <w:pPr>
        <w:ind w:right="160" w:firstLine="647"/>
        <w:spacing w:after="0" w:line="275" w:lineRule="auto"/>
        <w:rPr>
          <w:sz w:val="20"/>
          <w:szCs w:val="20"/>
          <w:color w:val="auto"/>
        </w:rPr>
      </w:pPr>
      <w:r>
        <w:rPr>
          <w:rFonts w:ascii="Arial" w:cs="Arial" w:eastAsia="Arial" w:hAnsi="Arial"/>
          <w:sz w:val="17"/>
          <w:szCs w:val="17"/>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accordance with ASC Topic 360-10-20, ‘‘Property, Plant and Equipment,” the Company performs an impairment test whenever events or circumstances indicate that the carrying value of long- 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write-down the asset to its fair value based on the present value of estimated cash flows. To date, no impairments have been identified for the periods ended June 30, 2021 and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fundraising activities (e.g., an initial public offering (IPO)), are capitalized within prepaid expenses and other current assets. The deferred offering costs will be offset against proceeds from fundraising activities (e.g., an IPO) upon the consummation of an offering. In the event the fundraising activities are terminated without raising capital, any deferred offering costs will be expensed. The Company has incurred €373,545 in deferred offering costs for the six months ended June 30, 2021. (Also, see Note 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100" w:firstLine="647"/>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share- based compensation and benefits, facilities costs, third-party license fees,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78" w:lineRule="exact"/>
        <w:rPr>
          <w:sz w:val="20"/>
          <w:szCs w:val="20"/>
          <w:color w:val="auto"/>
        </w:rPr>
      </w:pPr>
    </w:p>
    <w:p>
      <w:pPr>
        <w:ind w:right="200" w:firstLine="647"/>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The Company is taxed in various countries where it has permanent establishment, as applicable. Due to the tax loss position reported, no income taxes were due for the periods ending June 30, 2021 and 2020.</w:t>
      </w:r>
    </w:p>
    <w:p>
      <w:pPr>
        <w:spacing w:after="0" w:line="171"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At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161" w:lineRule="exact"/>
        <w:rPr>
          <w:sz w:val="20"/>
          <w:szCs w:val="20"/>
          <w:color w:val="auto"/>
        </w:rPr>
      </w:pPr>
    </w:p>
    <w:p>
      <w:pPr>
        <w:ind w:right="140" w:firstLine="697"/>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The prior five years of tax returns (2016-2020) are potentially subject to audit.</w:t>
      </w:r>
    </w:p>
    <w:p>
      <w:pPr>
        <w:spacing w:after="0" w:line="165" w:lineRule="exact"/>
        <w:rPr>
          <w:sz w:val="20"/>
          <w:szCs w:val="20"/>
          <w:color w:val="auto"/>
        </w:rPr>
      </w:pPr>
    </w:p>
    <w:p>
      <w:pPr>
        <w:ind w:right="500" w:firstLine="697"/>
        <w:spacing w:after="0" w:line="277" w:lineRule="auto"/>
        <w:rPr>
          <w:sz w:val="20"/>
          <w:szCs w:val="20"/>
          <w:color w:val="auto"/>
        </w:rPr>
      </w:pPr>
      <w:r>
        <w:rPr>
          <w:rFonts w:ascii="Arial" w:cs="Arial" w:eastAsia="Arial" w:hAnsi="Arial"/>
          <w:sz w:val="18"/>
          <w:szCs w:val="18"/>
          <w:color w:val="auto"/>
        </w:rPr>
        <w:t>At June 30, 2021 and 2020, the Company believes there are no significant differences with regards to its deferred tax assets and its relevant components, compared to the computations of the preceding periods.</w:t>
      </w:r>
    </w:p>
    <w:p>
      <w:pPr>
        <w:spacing w:after="0" w:line="170" w:lineRule="exact"/>
        <w:rPr>
          <w:sz w:val="20"/>
          <w:szCs w:val="20"/>
          <w:color w:val="auto"/>
        </w:rPr>
      </w:pPr>
    </w:p>
    <w:p>
      <w:pPr>
        <w:ind w:right="140" w:firstLine="647"/>
        <w:spacing w:after="0" w:line="257"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 that refer to the start-up period, defined as the first three years of operations starting from the inception of the Company. The impact of the updated calculation of tax losses carryforward at June 30, 2021 and 2020 is deemed not significant with respect of the preceding periods.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30"/>
        </w:trPr>
        <w:tc>
          <w:tcPr>
            <w:tcW w:w="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4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480" w:type="dxa"/>
            <w:vAlign w:val="bottom"/>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374,667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156,261</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Advances to suppliers- related party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121,432</w:t>
            </w:r>
          </w:p>
        </w:tc>
        <w:tc>
          <w:tcPr>
            <w:tcW w:w="80" w:type="dxa"/>
            <w:vAlign w:val="bottom"/>
          </w:tcPr>
          <w:p>
            <w:pPr>
              <w:spacing w:after="0"/>
              <w:rPr>
                <w:sz w:val="18"/>
                <w:szCs w:val="18"/>
                <w:color w:val="auto"/>
              </w:rPr>
            </w:pPr>
          </w:p>
        </w:tc>
      </w:tr>
      <w:tr>
        <w:trPr>
          <w:trHeight w:val="250"/>
        </w:trPr>
        <w:tc>
          <w:tcPr>
            <w:tcW w:w="48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prepaids</w:t>
            </w: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77,397</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1,549,766</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2021 and 2020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€4.2 million at June 30, 2021, and approximately €3.9 million at December 31, 2020,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for 2022.</w:t>
      </w:r>
    </w:p>
    <w:p>
      <w:pPr>
        <w:spacing w:after="0" w:line="192" w:lineRule="exact"/>
        <w:rPr>
          <w:sz w:val="20"/>
          <w:szCs w:val="20"/>
          <w:color w:val="auto"/>
        </w:rPr>
      </w:pPr>
    </w:p>
    <w:p>
      <w:pPr>
        <w:ind w:firstLine="647"/>
        <w:spacing w:after="0" w:line="275" w:lineRule="auto"/>
        <w:rPr>
          <w:sz w:val="20"/>
          <w:szCs w:val="20"/>
          <w:color w:val="auto"/>
        </w:rPr>
      </w:pPr>
      <w:r>
        <w:rPr>
          <w:rFonts w:ascii="Arial" w:cs="Arial" w:eastAsia="Arial" w:hAnsi="Arial"/>
          <w:sz w:val="17"/>
          <w:szCs w:val="17"/>
          <w:color w:val="auto"/>
        </w:rPr>
        <w:t>During the six months ended June 30, 2021, the Company utilized approximately €204,000 to offset certain social contributions and taxes payable, while during the financial year 2020, the Company utilized approximately €281,000. The benefit recorded for the six months ended June, 2021 and 2020, to offset research and development expenses was approximately €204,000 and €136,000, respectively. The Company reclassified to other non-current assets as a portion of the receivable, which is expected to be realized beyond 12 months. The utilization rate of research and development credit, in the periods following June 30, 2021, is projected in a consistent manner to previous periods.</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amount of €373,545 in “deferred offering costs” in the chart above, mainly relate to legal fees incurred from fundraising activities</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(€263,368) and audit expenses (€110,177). Fundraising deferred offering costs will be offset against the funding proceeds and reclassified to common</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stock upon completion of the funding effort. If the funding is unsuccessful, the Company will expense all the related fundraising costs. (See Note 2.) The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amount of €77,397 in “other prepaids” in the chart above, mainly relates to insurance expenses (€30,824) and various advance payments and operational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prepaid expenses.</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remaining balance is comprised of miscellaneous minor prepaid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1" w:name="page252"/>
    <w:bookmarkEnd w:id="251"/>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8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rPr>
              <w:t>At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1140" w:type="dxa"/>
            <w:vAlign w:val="bottom"/>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2021</w:t>
            </w:r>
          </w:p>
        </w:tc>
        <w:tc>
          <w:tcPr>
            <w:tcW w:w="5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w:t>
            </w:r>
          </w:p>
        </w:tc>
        <w:tc>
          <w:tcPr>
            <w:tcW w:w="80" w:type="dxa"/>
            <w:vAlign w:val="bottom"/>
            <w:shd w:val="clear" w:color="auto" w:fill="CCEEFF"/>
          </w:tcPr>
          <w:p>
            <w:pPr>
              <w:spacing w:after="0"/>
              <w:rPr>
                <w:sz w:val="18"/>
                <w:szCs w:val="18"/>
                <w:color w:val="auto"/>
              </w:rPr>
            </w:pPr>
          </w:p>
        </w:tc>
      </w:tr>
      <w:tr>
        <w:trPr>
          <w:trHeight w:val="283"/>
        </w:trPr>
        <w:tc>
          <w:tcPr>
            <w:tcW w:w="1140" w:type="dxa"/>
            <w:vAlign w:val="bottom"/>
          </w:tcPr>
          <w:p>
            <w:pPr>
              <w:spacing w:after="0"/>
              <w:rPr>
                <w:sz w:val="24"/>
                <w:szCs w:val="24"/>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10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80" w:type="dxa"/>
            <w:vAlign w:val="bottom"/>
            <w:tcBorders>
              <w:bottom w:val="single" w:sz="8" w:color="CCEEFF"/>
            </w:tcBorders>
          </w:tcPr>
          <w:p>
            <w:pPr>
              <w:spacing w:after="0"/>
              <w:rPr>
                <w:sz w:val="24"/>
                <w:szCs w:val="24"/>
                <w:color w:val="auto"/>
              </w:rPr>
            </w:pPr>
          </w:p>
        </w:tc>
      </w:tr>
      <w:tr>
        <w:trPr>
          <w:trHeight w:val="197"/>
        </w:trPr>
        <w:tc>
          <w:tcPr>
            <w:tcW w:w="114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24,598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20,871</w:t>
            </w:r>
          </w:p>
        </w:tc>
        <w:tc>
          <w:tcPr>
            <w:tcW w:w="80" w:type="dxa"/>
            <w:vAlign w:val="bottom"/>
            <w:shd w:val="clear" w:color="auto" w:fill="CCEEFF"/>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229"/>
        </w:trPr>
        <w:tc>
          <w:tcPr>
            <w:tcW w:w="114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20,612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Property and equipment consist of computers and furniture and fixtures of our office space in Milan, Italy. There were no disposals, nor impairments during the periods. Depreciation has been calculated by taking into consideration the use, purpose and financial-technical duration of the assets, based on their estimated economic lives. No significant purchases occurred during the six months ended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Value Added Tax (VAT)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Research and development tax credit</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 related party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rPr>
              <w:t>At</w:t>
            </w: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r>
      <w:tr>
        <w:trPr>
          <w:trHeight w:val="202"/>
        </w:trPr>
        <w:tc>
          <w:tcPr>
            <w:tcW w:w="20" w:type="dxa"/>
            <w:vAlign w:val="bottom"/>
          </w:tcPr>
          <w:p>
            <w:pPr>
              <w:spacing w:after="0"/>
              <w:rPr>
                <w:sz w:val="17"/>
                <w:szCs w:val="17"/>
                <w:color w:val="auto"/>
              </w:rPr>
            </w:pPr>
          </w:p>
        </w:tc>
        <w:tc>
          <w:tcPr>
            <w:tcW w:w="3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975,215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664,987</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187,333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1,166,725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945,618</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-770890</wp:posOffset>
            </wp:positionV>
            <wp:extent cx="5700395" cy="146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-488315</wp:posOffset>
            </wp:positionV>
            <wp:extent cx="5700395"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-179070</wp:posOffset>
            </wp:positionV>
            <wp:extent cx="5700395" cy="162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60"/>
          </w:cols>
          <w:pgMar w:left="320" w:top="1440" w:right="359" w:bottom="1440" w:gutter="0" w:footer="0" w:header="0"/>
          <w:type w:val="continuous"/>
        </w:sectPr>
      </w:pPr>
    </w:p>
    <w:p>
      <w:pPr>
        <w:spacing w:after="0" w:line="2" w:lineRule="exact"/>
        <w:rPr>
          <w:sz w:val="20"/>
          <w:szCs w:val="20"/>
          <w:color w:val="auto"/>
        </w:rPr>
      </w:pPr>
    </w:p>
    <w:p>
      <w:pPr>
        <w:ind w:right="180" w:firstLine="647"/>
        <w:spacing w:after="0" w:line="277" w:lineRule="auto"/>
        <w:rPr>
          <w:sz w:val="20"/>
          <w:szCs w:val="20"/>
          <w:color w:val="auto"/>
        </w:rPr>
      </w:pPr>
      <w:r>
        <w:rPr>
          <w:rFonts w:ascii="Arial" w:cs="Arial" w:eastAsia="Arial" w:hAnsi="Arial"/>
          <w:sz w:val="18"/>
          <w:szCs w:val="18"/>
          <w:color w:val="auto"/>
        </w:rPr>
        <w:t>Other assets - related party include a security deposit of €3,350 paid to Ospedale San Raffaele (“OSR”) as security guarantee for the office lease contract. (See Note 13.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right="40" w:firstLine="647"/>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June 30, 2021, and December 31, 2020 was €21,645 and €17,388,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and stockholders’ equity</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was an S.r.l., which is an Italian limited liability company similar to a limited liability company in the United States. The Articles of Incorporation, Shareholders’ Agreement and the By-laws of the Company provided for different quotas, which represented the Company’s corporate capital, rather than shares of stock as ownership.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52" w:name="page253"/>
    <w:bookmarkEnd w:id="252"/>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was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was divided between the five quotas as summarized below at December 31, 2020:</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rPr>
              <w:t>At December 31,</w:t>
            </w:r>
          </w:p>
        </w:tc>
        <w:tc>
          <w:tcPr>
            <w:tcW w:w="15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Ownership</w:t>
            </w:r>
          </w:p>
        </w:tc>
      </w:tr>
      <w:tr>
        <w:trPr>
          <w:trHeight w:val="24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Quota</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6,886</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4,034</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7"/>
        </w:trPr>
        <w:tc>
          <w:tcPr>
            <w:tcW w:w="3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five (5) quotas:</w:t>
      </w:r>
    </w:p>
    <w:p>
      <w:pPr>
        <w:spacing w:after="0" w:line="225" w:lineRule="exact"/>
        <w:rPr>
          <w:sz w:val="20"/>
          <w:szCs w:val="20"/>
          <w:color w:val="auto"/>
        </w:rPr>
      </w:pPr>
    </w:p>
    <w:p>
      <w:pPr>
        <w:ind w:left="660" w:right="60" w:hanging="328"/>
        <w:spacing w:after="0" w:line="259"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Quota A. Quota A was reserved for certain founders. One of the founders had the right to appoint three (3) board members out of five (5), appoint the Chair from these three (3) persons and appoint one (1) member of the Board of Statutory Auditors. One other founder had the right to appoint two (2) board members out of five (5), appoint two (2) statutory auditors and appoint the Chair of the statutory auditors from the two (2) appointees. Quota A had voting rights.</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Quota B. Quota B had no voting rights, the same profit-sharing rights as Quota A and was priced at a nominal amount of €1.00. The Company had historically utilized Quota B for its share-based compensation program offered to board members, employees, and consultants. Quota B was also held by certain co-founders. The Company’s stock options were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Quota C. Quota C had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Quota D.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Quota E.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both"/>
        <w:ind w:left="660" w:hanging="328"/>
        <w:spacing w:after="0" w:line="269" w:lineRule="auto"/>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Quotas A, C, D &amp; E. During a divestiture proceeding (meaning Quotas representing 100% of the corporate capital of the Company) or a dissolution of the Company, Quotas C, D &amp; E all had the same rights with respect to the proceeds of a divestiture, i.e., all three (3) quotas shared the divestiture consideration equally (on a pari passu basis) up to the amount of their investment. If there was any consideration remaining after payment to quotas C, D &amp; E, then quota A was entitled to the amount remaining up to the amount of their investment. If proceeds of a divestiture were less than or equal to €50 million, then any proceeds remaining after payment of quotas A, C, D &amp; E, were to be shared equally among quotas A, C, D &amp; E; however, if proceeds of a divestiture were greater than €50 million, then any proceeds remaining after payment of quotas A, C, D &amp; E, were to be distributed to each quota separately according to a detailed formula specified in the Company’s By-Laws, including quota B. Similar to a divestiture, net profits, if any, were to be distributed in the same manner to quotas A, B, C, D &amp; E, after deducting not less than five (5) percent for a legal reserve (up to where this reserve equals one-fifth of the quota capital). A, C, D, E had equal voting rights and the Company By-laws specify protective provisions for each class of quota for A, C, D &amp; E.</w:t>
      </w:r>
    </w:p>
    <w:p>
      <w:pPr>
        <w:spacing w:after="0" w:line="18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During the six months ended June 30, 2021, two events occurred which together had a significant impact on the Company’s equity:</w:t>
      </w:r>
    </w:p>
    <w:p>
      <w:pPr>
        <w:spacing w:after="0" w:line="225"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On April 1, 2021, the Board of Directors resolved to grant to employees and non-employees stock options and accelerate the vesting of other stock options on €715 quota B and €172 quota B were repurchased at nominal value, cancelled, and allocated to the option plan as available for grant by Drs. Naldini and Gentner, leaving a net equity increase of €543 quota B. All quota B ownership has limited rights and carry a par value of €1 per quota. The Corporate Capital amount was € 37,771 (€37,056 corporate capital at December 31, 2020 + €715 exercise of Quota B options before the conversion).</w:t>
      </w:r>
    </w:p>
    <w:p>
      <w:pPr>
        <w:spacing w:after="0" w:line="187"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On May 20, 2021, at a special Quotaholders’ meeting in May 2021, the Quotaholders resolved to convert the Company from an S.r.l. to an S.p.A., which conversion became effective on June 18, 2021. As consequence of the conversion, the Corporate Capital has been converted to ordinary common stock with no par value and it was increased to €50,000 to satisfy the minimum capital requirement to qualify as an S.p.A. This increase was an adjustment from Additional Paid-in Capital to Common stock, no par value.</w:t>
      </w:r>
    </w:p>
    <w:p>
      <w:pPr>
        <w:spacing w:after="0" w:line="187" w:lineRule="exact"/>
        <w:rPr>
          <w:sz w:val="20"/>
          <w:szCs w:val="20"/>
          <w:color w:val="auto"/>
        </w:rPr>
      </w:pPr>
    </w:p>
    <w:p>
      <w:pPr>
        <w:ind w:right="100" w:firstLine="647"/>
        <w:spacing w:after="0" w:line="293" w:lineRule="auto"/>
        <w:rPr>
          <w:sz w:val="20"/>
          <w:szCs w:val="20"/>
          <w:color w:val="auto"/>
        </w:rPr>
      </w:pPr>
      <w:r>
        <w:rPr>
          <w:rFonts w:ascii="Arial" w:cs="Arial" w:eastAsia="Arial" w:hAnsi="Arial"/>
          <w:sz w:val="16"/>
          <w:szCs w:val="16"/>
          <w:color w:val="auto"/>
        </w:rPr>
        <w:t>As a result of the Company conversion, the Corporate Capital was reclassified as ordinary Common Stock no par value, combining the minimum capital amount of €50,000 with the Additional Paid-In Capital for a total of €37,139,431. The outstanding quota of €50,000 before the conversion were all converted into 15 million shares of ordinary common stock no par value after the conversion at the same conversion rate of approximately 300 quota percentage of ownership. All preferences related to the quota classes were terminated and all stockholders now hold ordinary common stock, no par value. All of shares outstanding after the conversion are held in ledger form. The Company adopted a new Article of Association, appointed two new directors (including Mr. Squinto as Chairman) and re-appointed the existing members of the Board of Directors and the existing Board of Statutory Auditors.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jc w:val="both"/>
        <w:ind w:right="120" w:firstLine="647"/>
        <w:spacing w:after="0" w:line="286" w:lineRule="auto"/>
        <w:rPr>
          <w:sz w:val="20"/>
          <w:szCs w:val="20"/>
          <w:color w:val="auto"/>
        </w:rPr>
      </w:pPr>
      <w:r>
        <w:rPr>
          <w:rFonts w:ascii="Arial" w:cs="Arial" w:eastAsia="Arial" w:hAnsi="Arial"/>
          <w:sz w:val="17"/>
          <w:szCs w:val="17"/>
          <w:color w:val="auto"/>
        </w:rPr>
        <w:t>The Company granted options on its Corporate Capital to certain directors, officers, employees, and consultants, as an incentive and as additional compensation prior to the Company’s conversion to an S.p.A. All options converted into Quota B when vested and exercised. All options had an exercise price of €1.00 per quota. Options generally vested over a one-to-three-year period and have been exercised when vested.</w:t>
      </w:r>
    </w:p>
    <w:p>
      <w:pPr>
        <w:spacing w:after="0" w:line="165" w:lineRule="exact"/>
        <w:rPr>
          <w:sz w:val="20"/>
          <w:szCs w:val="20"/>
          <w:color w:val="auto"/>
        </w:rPr>
      </w:pPr>
    </w:p>
    <w:p>
      <w:pPr>
        <w:ind w:right="160" w:firstLine="647"/>
        <w:spacing w:after="0" w:line="279" w:lineRule="auto"/>
        <w:rPr>
          <w:sz w:val="20"/>
          <w:szCs w:val="20"/>
          <w:color w:val="auto"/>
        </w:rPr>
      </w:pPr>
      <w:r>
        <w:rPr>
          <w:rFonts w:ascii="Arial" w:cs="Arial" w:eastAsia="Arial" w:hAnsi="Arial"/>
          <w:sz w:val="17"/>
          <w:szCs w:val="17"/>
          <w:color w:val="auto"/>
        </w:rPr>
        <w:t>At December 31, 2019, there were no options available for grant, as all remaining authorized options were granted in 2019; therefore, no options were granted in 2020. However, in April 2021, €172 of quota B shares were repurchased, cancelled and allocated to the option plan as available for grant. The Board approved new option grants on €169 of quota B and accelerated the vesting of options on €546 quota B and all options were exercised. This totals €715 quota B that were issued and exercised during the six months ended June 30,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00" w:firstLine="647"/>
        <w:spacing w:after="0" w:line="296" w:lineRule="auto"/>
        <w:rPr>
          <w:sz w:val="20"/>
          <w:szCs w:val="20"/>
          <w:color w:val="auto"/>
        </w:rPr>
      </w:pPr>
      <w:r>
        <w:rPr>
          <w:rFonts w:ascii="Arial" w:cs="Arial" w:eastAsia="Arial" w:hAnsi="Arial"/>
          <w:sz w:val="16"/>
          <w:szCs w:val="16"/>
          <w:color w:val="auto"/>
        </w:rPr>
        <w:t>Also, in May 2021 as part of the conversion to an S.p.A., the shareholders adopted a medium-to long-term incentive plan, “Equity Incentive Plan 2021–2025,” (the “Plan”) with the purpose of providing incentive and retention for key officers, directors, employees and consultants with a view to developing the Company’s business over the next few years. The Board of Directors and the Board of Statutory Auditors reviewed a draft of the Plan. The Plan is intended to last four years and will have a maximum of 2,700,000 new ordinary common shares, or 10% of the total outstanding common shares of the Company. No grants were made under the Plan and the Compensation Committee of the Board of Directors will administer the Plan.</w:t>
      </w:r>
    </w:p>
    <w:p>
      <w:pPr>
        <w:spacing w:after="0" w:line="16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June 18, 2021, the date of the Company’s conversion to an S.p.A., all stock options were granted, fully vested, exercised and converted into ordinary common stock with no par value. At June 30, 2021, there were no outstanding stock options.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 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Number of</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 Average</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Contractual 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Aggregate</w:t>
            </w:r>
          </w:p>
        </w:tc>
      </w:tr>
      <w:tr>
        <w:trPr>
          <w:trHeight w:val="237"/>
        </w:trPr>
        <w:tc>
          <w:tcPr>
            <w:tcW w:w="47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Options on Quota</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Intrinsic Value</w:t>
            </w: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Outstanding, vested and expected to vest as of January 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982</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1,056,316</w:t>
            </w:r>
          </w:p>
        </w:tc>
        <w:tc>
          <w:tcPr>
            <w:tcW w:w="80" w:type="dxa"/>
            <w:vAlign w:val="bottom"/>
            <w:shd w:val="clear" w:color="auto" w:fill="CCEEFF"/>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472,184</w:t>
            </w:r>
          </w:p>
        </w:tc>
        <w:tc>
          <w:tcPr>
            <w:tcW w:w="80" w:type="dxa"/>
            <w:vAlign w:val="bottom"/>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8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Outstanding, vested and expected to vest as of December 31,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4"/>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584,132</w:t>
            </w:r>
          </w:p>
        </w:tc>
        <w:tc>
          <w:tcPr>
            <w:tcW w:w="80" w:type="dxa"/>
            <w:vAlign w:val="bottom"/>
            <w:shd w:val="clear" w:color="auto" w:fill="CCEEFF"/>
          </w:tcPr>
          <w:p>
            <w:pPr>
              <w:spacing w:after="0"/>
              <w:rPr>
                <w:sz w:val="22"/>
                <w:szCs w:val="22"/>
                <w:color w:val="auto"/>
              </w:rPr>
            </w:pP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as of December 31, 2020</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183,831</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715</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777,920</w:t>
            </w: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5"/>
              </w:rPr>
              <w:t>Outstanding, vested and expected to vest as of June 30, 2021</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Exercisable as of June 30, 2021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six months ended June 30, 2021 and 2020, is represented by the following table:</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7"/>
          </w:tcPr>
          <w:p>
            <w:pPr>
              <w:ind w:left="24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45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Research &amp; development expense - related party</w:t>
            </w: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179,480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163,200</w:t>
            </w:r>
          </w:p>
        </w:tc>
        <w:tc>
          <w:tcPr>
            <w:tcW w:w="60" w:type="dxa"/>
            <w:vAlign w:val="bottom"/>
          </w:tcPr>
          <w:p>
            <w:pPr>
              <w:spacing w:after="0"/>
              <w:rPr>
                <w:sz w:val="18"/>
                <w:szCs w:val="18"/>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234,955</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66,897</w:t>
            </w:r>
          </w:p>
        </w:tc>
      </w:tr>
      <w:tr>
        <w:trPr>
          <w:trHeight w:val="217"/>
        </w:trPr>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497,104</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230,097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fair value of the options granted during 2021 was €1,088.</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For the periods ended June 30, 2021 and 2020, the Company recorded €497,104 and €230,097, respectively as the fair value of the stock options granted. There was no amount of unrecognized expense at June 30, 2021, since there were no outstanding stock options and approximately €540,000 of unrecognized expense at June 30,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had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OPM treats each equity class as a call option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6" w:name="page257"/>
    <w:bookmarkEnd w:id="256"/>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 average shares</w:t>
      </w:r>
    </w:p>
    <w:p>
      <w:pPr>
        <w:spacing w:after="0" w:line="218"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As a result of the Company’s conversion to an S.P.A., the Company was able to calculate both a weighted average and pro forma weighted average number of shares outstanding. The calculation was performed by taking the number of quota outstanding during a given period and weighting them for the number of days that number of quota were outstanding and then converting the quota to common stock using the same conversion that was used at June 18, 2021. The quota carried different rights and privileges, as indicated above, so the Company was not sure how all quota would be treated in a conversion; however, all classes of quota were treated the same. Therefore, the conversion was straight forward. For the six months ended June 30, 2021 and 2020, there was a weighted average of €37,029.65 and €35, 190.54 quota, respectively, which converted into 14,772,610 and 14,038.916 shares of the Company’s common stock, no par value, after the Corporate Capital adjustment.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525,978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1,541,526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717,905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717,905</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221,900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179,480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401,380</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10,445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10,445</w:t>
            </w:r>
          </w:p>
        </w:tc>
      </w:tr>
      <w:tr>
        <w:trPr>
          <w:trHeight w:val="25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1,478,228</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1,721,006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3,199,234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383,901</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727,458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1,111,359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608,831</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608,831</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155,633</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163,200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31,106</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5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6"/>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1,181,471</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890,658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Research and development (related party) expenses during the six months ended June 30, 2021, mainly relate to the clinical trial activity done as per the agreement with the San Raffaele Hospital. This trial activity increased significantly from the second half of 2020 both for number of patients enrolled in the trial and the number of patients subsequently dosed. (Also see </w:t>
      </w:r>
      <w:r>
        <w:rPr>
          <w:rFonts w:ascii="Arial" w:cs="Arial" w:eastAsia="Arial" w:hAnsi="Arial"/>
          <w:sz w:val="17"/>
          <w:szCs w:val="17"/>
          <w:b w:val="1"/>
          <w:bCs w:val="1"/>
          <w:i w:val="1"/>
          <w:iCs w:val="1"/>
          <w:color w:val="auto"/>
        </w:rPr>
        <w:t>OSR – San Raffaele Hospital</w:t>
      </w:r>
      <w:r>
        <w:rPr>
          <w:rFonts w:ascii="Arial" w:cs="Arial" w:eastAsia="Arial" w:hAnsi="Arial"/>
          <w:sz w:val="17"/>
          <w:szCs w:val="17"/>
          <w:color w:val="auto"/>
        </w:rPr>
        <w:t xml:space="preserve"> section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685,039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247,685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157,200</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6"/>
          </w:tcPr>
          <w:p>
            <w:pPr>
              <w:spacing w:after="0"/>
              <w:rPr>
                <w:sz w:val="20"/>
                <w:szCs w:val="20"/>
                <w:color w:val="auto"/>
              </w:rPr>
            </w:pPr>
            <w:r>
              <w:rPr>
                <w:rFonts w:ascii="Arial" w:cs="Arial" w:eastAsia="Arial" w:hAnsi="Arial"/>
                <w:sz w:val="18"/>
                <w:szCs w:val="18"/>
                <w:color w:val="auto"/>
                <w:w w:val="91"/>
              </w:rPr>
              <w:t>The Company’s accounts payable to related parties are comprised as follows: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20" w:type="dxa"/>
            <w:vAlign w:val="bottom"/>
            <w:gridSpan w:val="5"/>
          </w:tcPr>
          <w:p>
            <w:pPr>
              <w:ind w:left="980"/>
              <w:spacing w:after="0"/>
              <w:rPr>
                <w:sz w:val="20"/>
                <w:szCs w:val="20"/>
                <w:color w:val="auto"/>
              </w:rPr>
            </w:pPr>
            <w:r>
              <w:rPr>
                <w:rFonts w:ascii="Arial" w:cs="Arial" w:eastAsia="Arial" w:hAnsi="Arial"/>
                <w:sz w:val="18"/>
                <w:szCs w:val="18"/>
                <w:b w:val="1"/>
                <w:bCs w:val="1"/>
                <w:color w:val="auto"/>
              </w:rPr>
              <w:t>At June 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2"/>
              </w:rPr>
              <w:t>At 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XDG Biomed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5,942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Naldini</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Genter</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88,392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Drs. Naldini and Gentner outstanding balances represent the “quotas” reimbursement due to the Company as a result of the quota repurchase.</w:t>
      </w:r>
    </w:p>
    <w:p>
      <w:pPr>
        <w:spacing w:after="0" w:line="24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980" w:top="1440" w:right="759" w:bottom="1440" w:gutter="0" w:footer="0" w:header="0"/>
        </w:sectPr>
      </w:pPr>
    </w:p>
    <w:bookmarkStart w:id="258" w:name="page259"/>
    <w:bookmarkEnd w:id="258"/>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The Company’s accrued expenses to related parties are comprised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2480" w:type="dxa"/>
            <w:vAlign w:val="bottom"/>
            <w:gridSpan w:val="4"/>
          </w:tcPr>
          <w:p>
            <w:pPr>
              <w:ind w:left="920"/>
              <w:spacing w:after="0"/>
              <w:rPr>
                <w:sz w:val="20"/>
                <w:szCs w:val="20"/>
                <w:color w:val="auto"/>
              </w:rPr>
            </w:pPr>
            <w:r>
              <w:rPr>
                <w:rFonts w:ascii="Arial" w:cs="Arial" w:eastAsia="Arial" w:hAnsi="Arial"/>
                <w:sz w:val="18"/>
                <w:szCs w:val="18"/>
                <w:b w:val="1"/>
                <w:bCs w:val="1"/>
                <w:color w:val="auto"/>
              </w:rPr>
              <w:t>At June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24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19"/>
                <w:szCs w:val="19"/>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Pierluigi Paracchi</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r>
      <w:tr>
        <w:trPr>
          <w:trHeight w:val="249"/>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7"/>
        </w:trPr>
        <w:tc>
          <w:tcPr>
            <w:tcW w:w="24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6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No amounts were due and recorded at June 30, 2021 to Mr. Paracchi and XDG Biomed, since their performance bonuses were paid in June 2021.</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1300" w:hanging="320"/>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right="100" w:firstLine="647"/>
        <w:spacing w:after="0" w:line="296" w:lineRule="auto"/>
        <w:rPr>
          <w:sz w:val="20"/>
          <w:szCs w:val="20"/>
          <w:color w:val="auto"/>
        </w:rPr>
      </w:pPr>
      <w:r>
        <w:rPr>
          <w:rFonts w:ascii="Arial" w:cs="Arial" w:eastAsia="Arial" w:hAnsi="Arial"/>
          <w:sz w:val="16"/>
          <w:szCs w:val="16"/>
          <w:color w:val="auto"/>
        </w:rPr>
        <w:t>Pierluigi Parcchi, former President and Chairman of the Company prior to the conversion, is the Chief Executive Officer as well as co-founder. His annual compensation amounts to of €250,000 plus an annual performance bonus of €50,000, maturing in the period July-June of each year payable after Board of Directors approval. In 2020, the bonus was paid in July 2020. In 2021, the bonus was paid in June 2021. For the six months ended June 30, 2021 and 2020, the Company expensed €150,000 each period, respectively, related to compensation for Mr. Paracchi. At June 30, 2021 and the year ended December 31, 2020, the Company accrued €0 and €25,000, respectively, related to compensation for Mr. Paracchi.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Drs. Naldini and Gentner are co-founders of Genenta and part of the SAB – Scientific Advisory Board, with Dr. Naldini as Chairman, and Dr. Gentner as a member. Dr. Naldini has an advisory agreement approved by the Board of Directors and performs the pre-clinical studies for the Company. In particular, the pre- clinical experiments are in solid tumor indications. The last agreement with Dr. Naldini was signed in 2019 and it is still in force. The annual fee is €50,000. During the six months ended June 30, 2020, he billed additional fees for €6,250. For the six months ended June 30, 2021 and 2020, the Company expensed €25,000 and €31,250, respectively, related to Dr. Naldini. At June 30, 2021 and the year ended December 31, 2020, the Company did not accrue anything related to Dr. Naldini.</w:t>
      </w:r>
    </w:p>
    <w:p>
      <w:pPr>
        <w:spacing w:after="0" w:line="192" w:lineRule="exact"/>
        <w:rPr>
          <w:sz w:val="20"/>
          <w:szCs w:val="20"/>
          <w:color w:val="auto"/>
        </w:rPr>
      </w:pPr>
    </w:p>
    <w:p>
      <w:pPr>
        <w:ind w:right="300" w:firstLine="647"/>
        <w:spacing w:after="0" w:line="259" w:lineRule="auto"/>
        <w:rPr>
          <w:sz w:val="20"/>
          <w:szCs w:val="20"/>
          <w:color w:val="auto"/>
        </w:rPr>
      </w:pPr>
      <w:r>
        <w:rPr>
          <w:rFonts w:ascii="Arial" w:cs="Arial" w:eastAsia="Arial" w:hAnsi="Arial"/>
          <w:sz w:val="18"/>
          <w:szCs w:val="18"/>
          <w:color w:val="auto"/>
        </w:rPr>
        <w:t>Dr. Gentner, like Dr. Naldini, oversees pre-clinical research related to the platform technology. In addition, he analyzes clinical biological data. The last agreement with Dr. Gentner, which is still in force, was signed in 2017. His annual fee is €30,000. For the six months ended June 30, 2021 and 2020, the Company expensed €15,000 and €22,950, respectively, related to Dr. Gentner. At June 30, 2021 and the year ended December 31, 2020, the Company did not accrue anything related to Dr. Gentner.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120" w:firstLine="647"/>
        <w:spacing w:after="0" w:line="272"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plus a performance bonus of €50,000 maturing for the period July-June of each year and payable after Board of Directors approval. In 2020, the bonus was paid in July 2020. In 2021, the bonus was paid in June 2021. For the six months ended June 30, 2021 and 2020, the Company expensed €175,000 and €175,000, respectively, related to XDG Biomed. At June 30, 2021 and the year ended December 31, 2020, the Company accrued €0 and €25,000, respectively, related to XDG Biomed.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OSR – San Raffaele Hospital</w:t>
      </w:r>
    </w:p>
    <w:p>
      <w:pPr>
        <w:spacing w:after="0" w:line="229" w:lineRule="exact"/>
        <w:rPr>
          <w:sz w:val="20"/>
          <w:szCs w:val="20"/>
          <w:color w:val="auto"/>
        </w:rPr>
      </w:pPr>
    </w:p>
    <w:p>
      <w:pPr>
        <w:ind w:right="60" w:firstLine="647"/>
        <w:spacing w:after="0" w:line="301" w:lineRule="auto"/>
        <w:rPr>
          <w:sz w:val="20"/>
          <w:szCs w:val="20"/>
          <w:color w:val="auto"/>
        </w:rPr>
      </w:pPr>
      <w:r>
        <w:rPr>
          <w:rFonts w:ascii="Arial" w:cs="Arial" w:eastAsia="Arial" w:hAnsi="Arial"/>
          <w:sz w:val="16"/>
          <w:szCs w:val="16"/>
          <w:color w:val="auto"/>
        </w:rPr>
        <w:t>San Raffaele Hospital (“OSR”) is a co-founder of the Company, and the Company is a corporate and research spin-off of OSR. At June 30, 2021, OSR held 12.64% of the Company’s common shares.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24" w:lineRule="exact"/>
        <w:rPr>
          <w:sz w:val="20"/>
          <w:szCs w:val="20"/>
          <w:color w:val="auto"/>
        </w:rPr>
      </w:pPr>
    </w:p>
    <w:p>
      <w:pPr>
        <w:ind w:left="1300" w:hanging="320"/>
        <w:spacing w:after="0"/>
        <w:tabs>
          <w:tab w:leader="none" w:pos="1300" w:val="left"/>
        </w:tabs>
        <w:numPr>
          <w:ilvl w:val="0"/>
          <w:numId w:val="147"/>
        </w:numPr>
        <w:rPr>
          <w:rFonts w:ascii="Arial" w:cs="Arial" w:eastAsia="Arial" w:hAnsi="Arial"/>
          <w:sz w:val="36"/>
          <w:szCs w:val="36"/>
          <w:color w:val="auto"/>
          <w:vertAlign w:val="superscript"/>
        </w:rPr>
      </w:pPr>
      <w:r>
        <w:rPr>
          <w:rFonts w:ascii="Arial" w:cs="Arial" w:eastAsia="Arial" w:hAnsi="Arial"/>
          <w:sz w:val="18"/>
          <w:szCs w:val="18"/>
          <w:color w:val="auto"/>
        </w:rPr>
        <w:t>Lympho-Hematopoietic Indication</w:t>
      </w:r>
      <w:r>
        <w:rPr>
          <w:rFonts w:ascii="Arial" w:cs="Arial" w:eastAsia="Arial" w:hAnsi="Arial"/>
          <w:sz w:val="29"/>
          <w:szCs w:val="29"/>
          <w:color w:val="auto"/>
          <w:vertAlign w:val="superscript"/>
        </w:rPr>
        <w:t>1</w:t>
      </w:r>
      <w:r>
        <w:rPr>
          <w:rFonts w:ascii="Arial" w:cs="Arial" w:eastAsia="Arial" w:hAnsi="Arial"/>
          <w:sz w:val="18"/>
          <w:szCs w:val="18"/>
          <w:color w:val="auto"/>
        </w:rPr>
        <w:t>; and,</w:t>
      </w:r>
    </w:p>
    <w:p>
      <w:pPr>
        <w:ind w:left="1300" w:hanging="320"/>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provided for an upfront fee of €250,000 (which was paid in 2015), future option fees are as follows:</w:t>
      </w:r>
    </w:p>
    <w:p>
      <w:pPr>
        <w:spacing w:after="0" w:line="225" w:lineRule="exact"/>
        <w:rPr>
          <w:sz w:val="20"/>
          <w:szCs w:val="20"/>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9" w:lineRule="exact"/>
        <w:rPr>
          <w:sz w:val="20"/>
          <w:szCs w:val="20"/>
          <w:color w:val="auto"/>
        </w:rPr>
      </w:pPr>
    </w:p>
    <w:p>
      <w:pPr>
        <w:ind w:firstLine="8"/>
        <w:spacing w:after="0" w:line="194" w:lineRule="auto"/>
        <w:tabs>
          <w:tab w:leader="none" w:pos="120" w:val="left"/>
        </w:tabs>
        <w:numPr>
          <w:ilvl w:val="0"/>
          <w:numId w:val="149"/>
        </w:numPr>
        <w:rPr>
          <w:rFonts w:ascii="Arial" w:cs="Arial" w:eastAsia="Arial" w:hAnsi="Arial"/>
          <w:sz w:val="30"/>
          <w:szCs w:val="30"/>
          <w:color w:val="auto"/>
          <w:vertAlign w:val="superscript"/>
        </w:rPr>
      </w:pPr>
      <w:r>
        <w:rPr>
          <w:rFonts w:ascii="Arial" w:cs="Arial" w:eastAsia="Arial" w:hAnsi="Arial"/>
          <w:sz w:val="18"/>
          <w:szCs w:val="18"/>
          <w:color w:val="auto"/>
        </w:rPr>
        <w:t>The Company later amended the License agreement focusing on GBM options. The TEM-MM option fee has never been exercised and instead the related research was abandoned in early 2021.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7"/>
        <w:spacing w:after="0" w:line="277"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w:t>
      </w:r>
    </w:p>
    <w:p>
      <w:pPr>
        <w:spacing w:after="0" w:line="170" w:lineRule="exact"/>
        <w:rPr>
          <w:sz w:val="20"/>
          <w:szCs w:val="20"/>
          <w:color w:val="auto"/>
        </w:rPr>
      </w:pPr>
    </w:p>
    <w:p>
      <w:pPr>
        <w:ind w:right="60" w:firstLine="647"/>
        <w:spacing w:after="0" w:line="296" w:lineRule="auto"/>
        <w:rPr>
          <w:sz w:val="20"/>
          <w:szCs w:val="20"/>
          <w:color w:val="auto"/>
        </w:rPr>
      </w:pPr>
      <w:r>
        <w:rPr>
          <w:rFonts w:ascii="Arial" w:cs="Arial" w:eastAsia="Arial" w:hAnsi="Arial"/>
          <w:sz w:val="16"/>
          <w:szCs w:val="16"/>
          <w:color w:val="auto"/>
        </w:rPr>
        <w:t>In connection to the License Agreement, the Company engaged OSR to provide certain research activities regarding the Licensed Products in the Field of Use, based on a mutually agreed study plan and utilizing the extensive resources at OSR. (See Note 13. Commitments and contingencies.) In consideration of the research activities provided by OSR, the Company agreed to pay scientific collaboration research fees in advance. In December 2014, the Company and OSR signed a Scientific Collaboration Agreement and subsequently modified the Agreement with Research Addenda 1, 2 and 3 in 2016, 2017 and 2018, respectively. During the six months ended June 30, 2021 and 2020, there were no costs incurred for the above activities.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protocol TEM-GBM_001received approval by national Competent Authorities in September 2018 and recruited the first patient in April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#2</w:t>
      </w:r>
    </w:p>
    <w:p>
      <w:pPr>
        <w:spacing w:after="0" w:line="225" w:lineRule="exact"/>
        <w:rPr>
          <w:sz w:val="20"/>
          <w:szCs w:val="20"/>
          <w:color w:val="auto"/>
        </w:rPr>
      </w:pPr>
    </w:p>
    <w:p>
      <w:pPr>
        <w:ind w:right="100" w:firstLine="647"/>
        <w:spacing w:after="0" w:line="288"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GBMwho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During the six months ended June 30, 2021, the comparable costs incurred and expensed for the GBM program were approximately €0.8 million. During the six months ended June 30, 2020, the comparable costs incurred and expensed for the GBM program were approximately €0.5 million.</w:t>
      </w:r>
    </w:p>
    <w:p>
      <w:pPr>
        <w:spacing w:after="0" w:line="168" w:lineRule="exact"/>
        <w:rPr>
          <w:sz w:val="20"/>
          <w:szCs w:val="20"/>
          <w:color w:val="auto"/>
        </w:rPr>
      </w:pPr>
    </w:p>
    <w:p>
      <w:pPr>
        <w:ind w:right="340" w:firstLine="647"/>
        <w:spacing w:after="0" w:line="277" w:lineRule="auto"/>
        <w:rPr>
          <w:sz w:val="20"/>
          <w:szCs w:val="20"/>
          <w:color w:val="auto"/>
        </w:rPr>
      </w:pPr>
      <w:r>
        <w:rPr>
          <w:rFonts w:ascii="Arial" w:cs="Arial" w:eastAsia="Arial" w:hAnsi="Arial"/>
          <w:sz w:val="18"/>
          <w:szCs w:val="18"/>
          <w:color w:val="auto"/>
        </w:rPr>
        <w:t>Under this Amendment, the Company is obligated to cover the costs of the study-related procedures performed on the patients recruited in the Trial, according to periodic study reports delivered by OSR.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#3</w:t>
      </w:r>
    </w:p>
    <w:p>
      <w:pPr>
        <w:spacing w:after="0" w:line="225" w:lineRule="exact"/>
        <w:rPr>
          <w:sz w:val="20"/>
          <w:szCs w:val="20"/>
          <w:color w:val="auto"/>
        </w:rPr>
      </w:pPr>
    </w:p>
    <w:p>
      <w:pPr>
        <w:ind w:firstLine="647"/>
        <w:spacing w:after="0" w:line="255"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payment in the event of the tenth patient dosed in the GBM trial was reduced to €0.5 million, in exchange for the Company’s agreement to exercise a second option for an additional Solid Cancer indication (possibly Liver Cancer) and an agreement to execute a Sponsored Research Agreement in February 2021. Note: If the Company is not be able to obtain approval from the competent authorities to initiate a human clinical trial on or before the expiration of nine months (from December 2020), the Company has the right, at no additional costs, to convert this second solid cancer option to an “Alternate Indication,” i.e., an indication other than liver cancer.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summary, the Amendment #3 formalized the new arrangement as follows:</w:t>
      </w:r>
    </w:p>
    <w:p>
      <w:pPr>
        <w:spacing w:after="0" w:line="225" w:lineRule="exact"/>
        <w:rPr>
          <w:sz w:val="20"/>
          <w:szCs w:val="20"/>
          <w:color w:val="auto"/>
        </w:rPr>
      </w:pPr>
    </w:p>
    <w:p>
      <w:pPr>
        <w:ind w:left="980" w:right="540" w:hanging="324"/>
        <w:spacing w:after="0" w:line="258"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exercise of option fee on the first solid cancer indication = €0.5 million (accrued in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by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and was paid on June 30,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1" w:name="page262"/>
    <w:bookmarkEnd w:id="261"/>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7"/>
        <w:spacing w:after="0" w:line="301" w:lineRule="auto"/>
        <w:rPr>
          <w:sz w:val="20"/>
          <w:szCs w:val="20"/>
          <w:color w:val="auto"/>
        </w:rPr>
      </w:pPr>
      <w:r>
        <w:rPr>
          <w:rFonts w:ascii="Arial" w:cs="Arial" w:eastAsia="Arial" w:hAnsi="Arial"/>
          <w:sz w:val="16"/>
          <w:szCs w:val="16"/>
          <w:color w:val="auto"/>
        </w:rPr>
        <w:t>At June 30, 2021, no milestones were achieved related to any indication, as provided by License Agreement and subsequent amendments, therefore, no payments were due to OSR. The Company has paid €0.75 million to OSR, since inception under the license agreement. No events have occurred or have been achieved (and none are considered probable) to trigger any contingent payments under the license agreement at December 31, 2020. For information relating to the contingency payments or future milestones for these indications, please refer to Note 13 - Commitments and Contingencies.</w:t>
      </w:r>
    </w:p>
    <w:p>
      <w:pPr>
        <w:spacing w:after="0" w:line="157" w:lineRule="exact"/>
        <w:rPr>
          <w:sz w:val="20"/>
          <w:szCs w:val="20"/>
          <w:color w:val="auto"/>
        </w:rPr>
      </w:pPr>
    </w:p>
    <w:p>
      <w:pPr>
        <w:ind w:right="60" w:firstLine="647"/>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six months ended June 30, 2021, the Company recorded expenses for OSR for clinical trial in the amount of approximately €1.3 million, while during the six months ended June 30, 2020, the expenses for clinical trials was approximately €0.5 million. The difference between the two periods is due to the increase of the trial activity in the second half of 2020, since a greater number of patients were included in the trial and subsequently dosed.</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June 30, 2021, the total amount of expenses for the OSR clinical trial activity amounted to €8.1 million and it includes the cost for the exercise of the first and the second Solid Cancer indication Option fee.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In March 2019, the Company and OSR entered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TEM-MM-101 received approval by national Competent Authorities in November 2018 and the first TEM-MM-101 trial patient was enrolled in August 2019.</w:t>
      </w:r>
    </w:p>
    <w:p>
      <w:pPr>
        <w:spacing w:after="0" w:line="17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the six months ended June 30, 2021 and 2020, the Company expensed €0 and approximately €65,000, respectively, for the analysis performed by OSR for multiple myeloma and there were no clinical procedures performed by OSR’s Hematology and Bone Transplant Unit for multiple myeloma. The Company discontinued the multiple myeloma program in early 2021 due to the relatively small number of eligible patients, and the highly competitive MM landscape. (See Note 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As stated above, in exchange for a reduction in the first Solid Cancer indication option fee from €1.0 million to €0.5 million, the Company agreed to enter into a Sponsored Research Agreement (SRA). The Company and OSR executed the agreement in February 2021. Under the SRA, sponsored research activities will be conducted for between €0.5 million and €1.0 million (minimum commitment €0.5 million). The activities relate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1620" w:right="320" w:hanging="316"/>
        <w:spacing w:after="0" w:line="277" w:lineRule="auto"/>
        <w:tabs>
          <w:tab w:leader="none" w:pos="1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Research 1: Additional preclinical mouse model studies directed to identify Temferon effectors cells (transduced Tie2-expressing cells) and to test Temferon in combination with CAR-T in a GBM mouse model; and,</w:t>
      </w:r>
    </w:p>
    <w:p>
      <w:pPr>
        <w:spacing w:after="0" w:line="170" w:lineRule="exact"/>
        <w:rPr>
          <w:rFonts w:ascii="Arial" w:cs="Arial" w:eastAsia="Arial" w:hAnsi="Arial"/>
          <w:sz w:val="18"/>
          <w:szCs w:val="18"/>
          <w:color w:val="auto"/>
        </w:rPr>
      </w:pPr>
    </w:p>
    <w:p>
      <w:pPr>
        <w:ind w:left="1620" w:hanging="316"/>
        <w:spacing w:after="0" w:line="263" w:lineRule="auto"/>
        <w:tabs>
          <w:tab w:leader="none" w:pos="1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Research 2: Additional exploratory analyses, including single cell sequencing, to be conducted on samples collected from patients belonging to TEM-GBM_001 clinical trial aimed to deepen Temferon mechanism of action and get a broader insight on its biological activity in humans.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six months ended June 30, 2021, the Company paid and expensed €375,000 related to the SRA. At June 30, 2021, the Company accrued €125,000 related to the SRA.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a non-cancelable lease agreement for office space in January 2020.</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7"/>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 obligations by contractual maturity at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8"/>
              </w:rPr>
              <w:t>Payments by period</w:t>
            </w: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6"/>
              </w:rPr>
              <w:t>Less than a</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More than 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year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w w:val="88"/>
              </w:rPr>
              <w:t>4 to 5 years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OSR operating leases and office rent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26,800</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180" w:type="dxa"/>
            <w:vAlign w:val="bottom"/>
          </w:tcPr>
          <w:p>
            <w:pPr>
              <w:spacing w:after="0"/>
              <w:rPr>
                <w:sz w:val="20"/>
                <w:szCs w:val="20"/>
                <w:color w:val="auto"/>
              </w:rPr>
            </w:pPr>
            <w:r>
              <w:rPr>
                <w:rFonts w:ascii="Arial" w:cs="Arial" w:eastAsia="Arial" w:hAnsi="Arial"/>
                <w:sz w:val="18"/>
                <w:szCs w:val="18"/>
                <w:color w:val="auto"/>
              </w:rPr>
              <w:t>AGC</w:t>
            </w:r>
          </w:p>
        </w:tc>
        <w:tc>
          <w:tcPr>
            <w:tcW w:w="2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40,250</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8,050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32,200</w:t>
            </w:r>
          </w:p>
        </w:tc>
        <w:tc>
          <w:tcPr>
            <w:tcW w:w="1020" w:type="dxa"/>
            <w:vAlign w:val="bottom"/>
          </w:tcPr>
          <w:p>
            <w:pPr>
              <w:spacing w:after="0"/>
              <w:rPr>
                <w:sz w:val="20"/>
                <w:szCs w:val="20"/>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59,000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CMOs and CROs agreements</w:t>
      </w:r>
    </w:p>
    <w:p>
      <w:pPr>
        <w:spacing w:after="0" w:line="225"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 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The license agreement in place with OSR provides milestone payments and royalties. The OSR agreements are non-cancelable, except in the case of breach of contract, and include total potential milestone payments of up to €10 million related to the Lympho-Hematopoietic Indication of each Licensed Product, and up to €53 million related to each Solid Cancer indication (as defined in the agreement);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right="40" w:firstLine="647"/>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00" w:firstLine="647"/>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GBM. The Company’s contingent liability for this first solid cancer indication potentially payable to OSR was €53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200" w:firstLine="647"/>
        <w:spacing w:after="0" w:line="286"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had incurred €1.5 million of expense during the six months ended June 30, 2020 compared to €2.6 million of cumulative expense for 2019 and prior years. The Company has incurred approximately €682,000 during the six months ended June 30,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4" w:name="page265"/>
    <w:bookmarkEnd w:id="264"/>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60" w:firstLine="647"/>
        <w:spacing w:after="0" w:line="286" w:lineRule="auto"/>
        <w:rPr>
          <w:sz w:val="20"/>
          <w:szCs w:val="20"/>
          <w:color w:val="auto"/>
        </w:rPr>
      </w:pPr>
      <w:r>
        <w:rPr>
          <w:rFonts w:ascii="Arial" w:cs="Arial" w:eastAsia="Arial" w:hAnsi="Arial"/>
          <w:sz w:val="17"/>
          <w:szCs w:val="17"/>
          <w:color w:val="auto"/>
        </w:rPr>
        <w:t>In the early 2020, the Company and AGC amended the Master Service Agreement for the fourth time to regulate some new production activities for which the total estimated budget amounts to €0.3 million. For the six months ended June 30, 2021, the Company is committed to pay a total of €40,250 relating to various stability timepoints, which will be realized and come due at different times through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€20,000 and €20,000 have been incurred for the six months ended June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The Biogazelle agreement on exploratory analyses for trial endpoints is a five-year agreement that can be withdrawn by each party with a notice period of six months, or in case of breach. The Company shall compensate Biogazelle for any and all work (including but not limited to work-in-progress) performed or commenced prior to the effective date of termination or expiration and reimburse Biogazelle for any and all costs, expenses and consumables (including non-refundable) approved by the Company and incurred by Biogazelle prior to the effective date of termination or expiration of this agreement. For the six months ended June 30, 2021 and 2020, the Company had incurred and paid approximately €14,000 and €12,000, respectively. At June 30, 2021, there were no future commitment to Biogazelle identified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On January 1, 2020, the Company began a six-year non-cancelable lease agreement for office space with OSR. Withdrawal is allowed from the fourth year with a notice of 12 months. Since the annual rent amounts to €13,400, at June 30, 2021, outstanding minimum payments amount to €33,500 until January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firstLine="647"/>
        <w:spacing w:after="0" w:line="291" w:lineRule="auto"/>
        <w:rPr>
          <w:sz w:val="20"/>
          <w:szCs w:val="20"/>
          <w:color w:val="auto"/>
        </w:rPr>
      </w:pPr>
      <w:r>
        <w:rPr>
          <w:rFonts w:ascii="Arial" w:cs="Arial" w:eastAsia="Arial" w:hAnsi="Arial"/>
          <w:sz w:val="16"/>
          <w:szCs w:val="16"/>
          <w:color w:val="auto"/>
        </w:rPr>
        <w:t>The Company is not currently party to any material legal proceedings. At each reporting date, the Company evaluates whether or not a potential loss amount or a potential range of loss is probable and reasonably estimable under the provisions of ASC 450, Contingencies.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5" w:name="page266"/>
    <w:bookmarkEnd w:id="265"/>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March 11, 2020, the World health Organization declared the outbreak of a coronavirus (COVID-19) pandemic. Significant uncertainties may arise with respect to potential shutdowns of operations or government orders to cease activities due to emergency declarations, inability to operate, or employee shortages, claims for business interruption insurance, etc. Although the Company has experienced minimal disruption to date and still has staff working remotely from home, the Company may find it difficult to enroll patients in its clinical trials, which could delay or prevent the Company from proceeding with the clinical trials of its product candidates; therefore, the coronavirus pandemic may still have a significant impact on the future results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July 2021, the Company signed a financial advisory agreement with Roth Capital. The minimum commitment relates to some expenses to be reimbursed by the Company up to US$50,000, or €42,373, using the spot exchange rate at the time the agreement was signed. The agreement also calls for the Company to pay Roth variable commission, estimated to average six percent of funds raised, if and when determined.</w:t>
      </w:r>
    </w:p>
    <w:p>
      <w:pPr>
        <w:spacing w:after="0" w:line="165" w:lineRule="exact"/>
        <w:rPr>
          <w:sz w:val="20"/>
          <w:szCs w:val="20"/>
          <w:color w:val="auto"/>
        </w:rPr>
      </w:pPr>
    </w:p>
    <w:p>
      <w:pPr>
        <w:ind w:right="560" w:firstLine="647"/>
        <w:spacing w:after="0" w:line="342" w:lineRule="auto"/>
        <w:rPr>
          <w:sz w:val="20"/>
          <w:szCs w:val="20"/>
          <w:color w:val="auto"/>
        </w:rPr>
      </w:pPr>
      <w:r>
        <w:rPr>
          <w:rFonts w:ascii="Arial" w:cs="Arial" w:eastAsia="Arial" w:hAnsi="Arial"/>
          <w:sz w:val="16"/>
          <w:szCs w:val="16"/>
          <w:color w:val="auto"/>
        </w:rPr>
        <w:t>In September 2021, the Company entered a new service agreement for shipment services with Marken. The budget provided through 2024 amounts to approximately €106,000, but the agreement can be withdrawal at any time with a reasonable but non-specific notice period.</w:t>
      </w:r>
    </w:p>
    <w:p>
      <w:pPr>
        <w:spacing w:after="0" w:line="124" w:lineRule="exact"/>
        <w:rPr>
          <w:sz w:val="20"/>
          <w:szCs w:val="20"/>
          <w:color w:val="auto"/>
        </w:rPr>
      </w:pPr>
    </w:p>
    <w:p>
      <w:pPr>
        <w:jc w:val="both"/>
        <w:ind w:right="140" w:firstLine="647"/>
        <w:spacing w:after="0" w:line="263" w:lineRule="auto"/>
        <w:rPr>
          <w:sz w:val="20"/>
          <w:szCs w:val="20"/>
          <w:color w:val="auto"/>
        </w:rPr>
      </w:pPr>
      <w:r>
        <w:rPr>
          <w:rFonts w:ascii="Arial" w:cs="Arial" w:eastAsia="Arial" w:hAnsi="Arial"/>
          <w:sz w:val="18"/>
          <w:szCs w:val="18"/>
          <w:color w:val="auto"/>
        </w:rPr>
        <w:t>In August and September 2021, the Company entered into two new purchase orders with AGC for a total amount of €155,200 to be delivered by the end of the year. The purchase orders with AGC are non-cancelable, except in the case of breach of contract, consistent with the disclosure in Note 13 above.</w:t>
      </w:r>
    </w:p>
    <w:p>
      <w:pPr>
        <w:spacing w:after="0" w:line="184" w:lineRule="exact"/>
        <w:rPr>
          <w:sz w:val="20"/>
          <w:szCs w:val="20"/>
          <w:color w:val="auto"/>
        </w:rPr>
      </w:pPr>
    </w:p>
    <w:p>
      <w:pPr>
        <w:jc w:val="both"/>
        <w:ind w:firstLine="647"/>
        <w:spacing w:after="0" w:line="342" w:lineRule="auto"/>
        <w:rPr>
          <w:sz w:val="20"/>
          <w:szCs w:val="20"/>
          <w:color w:val="auto"/>
        </w:rPr>
      </w:pPr>
      <w:r>
        <w:rPr>
          <w:rFonts w:ascii="Arial" w:cs="Arial" w:eastAsia="Arial" w:hAnsi="Arial"/>
          <w:sz w:val="16"/>
          <w:szCs w:val="16"/>
          <w:color w:val="auto"/>
        </w:rPr>
        <w:t>In September 2021, the Company signed two purchase order with Cross NT amounting to €141,006 to be executed in three years through January 2024. Based on the Master Service Agreement in place with Cross NT, the Company can withdraw any task order with a notice period of 60 business days.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6" w:name="page267"/>
    <w:bookmarkEnd w:id="266"/>
    <w:p>
      <w:pPr>
        <w:jc w:val="center"/>
        <w:spacing w:after="0"/>
        <w:rPr>
          <w:sz w:val="20"/>
          <w:szCs w:val="20"/>
          <w:color w:val="auto"/>
        </w:rPr>
      </w:pPr>
      <w:r>
        <w:rPr>
          <w:rFonts w:ascii="Arial" w:cs="Arial" w:eastAsia="Arial" w:hAnsi="Arial"/>
          <w:sz w:val="25"/>
          <w:szCs w:val="25"/>
          <w:b w:val="1"/>
          <w:bCs w:val="1"/>
          <w:color w:val="auto"/>
        </w:rPr>
        <w:t>American Depositary Shares</w:t>
      </w:r>
    </w:p>
    <w:p>
      <w:pPr>
        <w:spacing w:after="0" w:line="200" w:lineRule="exact"/>
        <w:rPr>
          <w:sz w:val="20"/>
          <w:szCs w:val="20"/>
          <w:color w:val="auto"/>
        </w:rPr>
      </w:pPr>
    </w:p>
    <w:p>
      <w:pPr>
        <w:spacing w:after="0" w:line="296" w:lineRule="exact"/>
        <w:rPr>
          <w:sz w:val="20"/>
          <w:szCs w:val="20"/>
          <w:color w:val="auto"/>
        </w:rPr>
      </w:pPr>
    </w:p>
    <w:p>
      <w:pPr>
        <w:ind w:left="3500"/>
        <w:spacing w:after="0"/>
        <w:tabs>
          <w:tab w:leader="none" w:pos="592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328930</wp:posOffset>
            </wp:positionV>
            <wp:extent cx="4286250" cy="9683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28625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481965</wp:posOffset>
            </wp:positionV>
            <wp:extent cx="21431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54610</wp:posOffset>
            </wp:positionV>
            <wp:extent cx="21431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840"/>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Roth Capital Partners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Lead Manager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Maxim Group LLC</w:t>
      </w:r>
    </w:p>
    <w:p>
      <w:pPr>
        <w:spacing w:after="0" w:line="26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2021</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Through and including , 2021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an underwriter and with respect to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67" w:name="page268"/>
    <w:bookmarkEnd w:id="267"/>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256"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Under Italian law, a corporation is not required to indemnify its directors or officers against losses and expenses, including attorney’s fees, judgments, fines and settlement amounts actually and reasonably incurred in a civil or criminal action, suit or proceeding arising from being the representative of, or serving at the request of, the corporation.</w:t>
      </w:r>
    </w:p>
    <w:p>
      <w:pPr>
        <w:spacing w:after="0" w:line="21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Italian law requires directors and members of any committee designated by the board of directors to perform their duties in good faith and with that degree of diligence that is required by the nature of their office and under their specific level of competence. If directors fail to comply with such obligations, they may be liable towards the company, its creditors, individual shareholders and third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responsibility action may be brought by:</w:t>
      </w:r>
    </w:p>
    <w:p>
      <w:pPr>
        <w:spacing w:after="0" w:line="252"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shareholders’ meeting of the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shareholders representing at least 20% of the share capital.</w:t>
      </w:r>
    </w:p>
    <w:p>
      <w:pPr>
        <w:spacing w:after="0" w:line="25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company may waive the liability action and may settle, provided that the waiver and settlement are approved by express resolution of the shareholders’ meeting, and provided that there is no vote against by a minority of shareholders representing at least 20% of the share capital.</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Liability action against directors for the non-fulfilment of their duties may also be brought by creditors when the company’s assets are insufficient to satisfy their claims.</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responsibility of directors is imperative and the articles of association cannot, as general rule, exempt directors from the liability provided for by law nor limit it to malicious conduct alone.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intend to enter into directors’ and officers’ liability insurance to cover certain actions undertaken by our board of directors and executive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3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and controlling persons of the Company, the Company has been advised that, in the opinion of the Securities and Exchange Commission, such indemnification is against public policy as expressed in the Securities Act, and is, therefore,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56"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Set forth below are the sales of all securities by the Company since November 9, 2021, which were not registered under the Securities Act. The Company believes that each of such issuances was exempt from registration under the Securities Act in reliance on Section 4(a)(2) of the Securities Act, Rule 701 and/or Regulation S under the Securities Act.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2014, the Company was organized with a total corporate capital equal to €11,650, comprised of €10,458.21 class A Quotas and €1,191.79 class B Quotas.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through 2017, the Company issued 8,644.40 class C Quotas from convertible notes and 2,958.50 class B Quotas.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Company issued an aggregate maximum amount of 4,033.85 of class D Quotas.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and 2019 the Company issued 2,300 of class B Quotas and an additional 6,462.12 class E Quotas.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68" w:name="page269"/>
    <w:bookmarkEnd w:id="268"/>
    <w:p>
      <w:pPr>
        <w:ind w:right="320" w:firstLine="648"/>
        <w:spacing w:after="0" w:line="277" w:lineRule="auto"/>
        <w:rPr>
          <w:sz w:val="20"/>
          <w:szCs w:val="20"/>
          <w:color w:val="auto"/>
        </w:rPr>
      </w:pPr>
      <w:r>
        <w:rPr>
          <w:rFonts w:ascii="Arial" w:cs="Arial" w:eastAsia="Arial" w:hAnsi="Arial"/>
          <w:sz w:val="18"/>
          <w:szCs w:val="18"/>
          <w:color w:val="auto"/>
        </w:rPr>
        <w:t>In 2020, the Company issued 571.34 class E Quotas, from the 2019 offering which was extended in 2020 to provide an additional €1.5 million plus 436.00 class B Quotas from options.</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were acquiring the securities for investment and not distribution. Such purchasers were advised the securities had not been registered under the Securities Act and that any resale in the United States must be made pursuant to a registration or an available exemption from such registration. All of the foregoing securities are deemed restricted securities for the purposes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40" w:type="dxa"/>
            <w:vAlign w:val="bottom"/>
            <w:gridSpan w:val="13"/>
            <w:vMerge w:val="restart"/>
          </w:tcPr>
          <w:p>
            <w:pPr>
              <w:ind w:left="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4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0140" w:type="dxa"/>
            <w:vAlign w:val="bottom"/>
            <w:gridSpan w:val="22"/>
          </w:tcPr>
          <w:p>
            <w:pPr>
              <w:spacing w:after="0"/>
              <w:rPr>
                <w:rFonts w:ascii="Arial" w:cs="Arial" w:eastAsia="Arial" w:hAnsi="Arial"/>
                <w:sz w:val="18"/>
                <w:szCs w:val="18"/>
                <w:color w:val="0000EE"/>
              </w:rPr>
            </w:pPr>
            <w:hyperlink w:anchor="page272">
              <w:r>
                <w:rPr>
                  <w:rFonts w:ascii="Arial" w:cs="Arial" w:eastAsia="Arial" w:hAnsi="Arial"/>
                  <w:sz w:val="18"/>
                  <w:szCs w:val="18"/>
                  <w:color w:val="0000EE"/>
                </w:rPr>
                <w:t>Underwriting Agreement*</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350">
              <w:r>
                <w:rPr>
                  <w:rFonts w:ascii="Arial" w:cs="Arial" w:eastAsia="Arial" w:hAnsi="Arial"/>
                  <w:sz w:val="18"/>
                  <w:szCs w:val="18"/>
                  <w:color w:val="0000EE"/>
                </w:rPr>
                <w:t>Deed of Incorporation of Genenta Science S.p.A.**</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3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351">
              <w:r>
                <w:rPr>
                  <w:rFonts w:ascii="Arial" w:cs="Arial" w:eastAsia="Arial" w:hAnsi="Arial"/>
                  <w:sz w:val="18"/>
                  <w:szCs w:val="18"/>
                  <w:color w:val="0000EE"/>
                </w:rPr>
                <w:t>By-laws of Genenta Science S.p.A.**</w:t>
              </w:r>
            </w:hyperlink>
          </w:p>
        </w:tc>
        <w:tc>
          <w:tcPr>
            <w:tcW w:w="6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352">
              <w:r>
                <w:rPr>
                  <w:rFonts w:ascii="Arial" w:cs="Arial" w:eastAsia="Arial" w:hAnsi="Arial"/>
                  <w:sz w:val="18"/>
                  <w:szCs w:val="18"/>
                  <w:color w:val="0000EE"/>
                  <w:w w:val="93"/>
                </w:rPr>
                <w:t>Form of Deposit Agreement**</w:t>
              </w:r>
            </w:hyperlink>
          </w:p>
        </w:tc>
        <w:tc>
          <w:tcPr>
            <w:tcW w:w="500" w:type="dxa"/>
            <w:vAlign w:val="bottom"/>
            <w:tcBorders>
              <w:top w:val="single" w:sz="8" w:color="0000EE"/>
            </w:tcBorders>
            <w:gridSpan w:val="2"/>
          </w:tcPr>
          <w:p>
            <w:pPr>
              <w:spacing w:after="0"/>
              <w:rPr>
                <w:sz w:val="17"/>
                <w:szCs w:val="17"/>
                <w:color w:val="auto"/>
              </w:rPr>
            </w:pPr>
          </w:p>
        </w:tc>
        <w:tc>
          <w:tcPr>
            <w:tcW w:w="74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47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352">
              <w:r>
                <w:rPr>
                  <w:rFonts w:ascii="Arial" w:cs="Arial" w:eastAsia="Arial" w:hAnsi="Arial"/>
                  <w:sz w:val="18"/>
                  <w:szCs w:val="18"/>
                  <w:color w:val="0000EE"/>
                  <w:w w:val="93"/>
                </w:rPr>
                <w:t>Form of American Depositary Receipt (included in exhibit 4.1)**</w:t>
              </w:r>
            </w:hyperlink>
          </w:p>
        </w:tc>
        <w:tc>
          <w:tcPr>
            <w:tcW w:w="5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353">
              <w:r>
                <w:rPr>
                  <w:rFonts w:ascii="Arial" w:cs="Arial" w:eastAsia="Arial" w:hAnsi="Arial"/>
                  <w:sz w:val="18"/>
                  <w:szCs w:val="18"/>
                  <w:color w:val="0000EE"/>
                  <w:w w:val="94"/>
                </w:rPr>
                <w:t>Form of Underwriter’s Warrant**</w:t>
              </w:r>
            </w:hyperlink>
          </w:p>
        </w:tc>
        <w:tc>
          <w:tcPr>
            <w:tcW w:w="77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w:anchor="page312">
              <w:r>
                <w:rPr>
                  <w:rFonts w:ascii="Arial" w:cs="Arial" w:eastAsia="Arial" w:hAnsi="Arial"/>
                  <w:sz w:val="18"/>
                  <w:szCs w:val="18"/>
                  <w:color w:val="0000EE"/>
                </w:rPr>
                <w:t>Form of Subscription Agreement for Reserved Offering*</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354">
              <w:r>
                <w:rPr>
                  <w:rFonts w:ascii="Arial" w:cs="Arial" w:eastAsia="Arial" w:hAnsi="Arial"/>
                  <w:sz w:val="18"/>
                  <w:szCs w:val="18"/>
                  <w:color w:val="0000EE"/>
                </w:rPr>
                <w:t>Opinion of Giovanelli and Associates, Italian counsel to Genenta**</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0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314">
              <w:r>
                <w:rPr>
                  <w:rFonts w:ascii="Arial" w:cs="Arial" w:eastAsia="Arial" w:hAnsi="Arial"/>
                  <w:sz w:val="18"/>
                  <w:szCs w:val="18"/>
                  <w:color w:val="0000EE"/>
                  <w:w w:val="89"/>
                </w:rPr>
                <w:t>License Agreement between Ospedale San Raffaele S.r.l. and Genenta Science S.r.l. dated December 15, 2014 (OSR License Agreement)*</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52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56">
              <w:r>
                <w:rPr>
                  <w:rFonts w:ascii="Arial" w:cs="Arial" w:eastAsia="Arial" w:hAnsi="Arial"/>
                  <w:sz w:val="18"/>
                  <w:szCs w:val="18"/>
                  <w:color w:val="0000EE"/>
                  <w:w w:val="90"/>
                </w:rPr>
                <w:t>First Amendment to the OSR License Agreement dated March 16, 2017*</w:t>
              </w:r>
            </w:hyperlink>
          </w:p>
        </w:tc>
        <w:tc>
          <w:tcPr>
            <w:tcW w:w="48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w:anchor="page362">
              <w:r>
                <w:rPr>
                  <w:rFonts w:ascii="Arial" w:cs="Arial" w:eastAsia="Arial" w:hAnsi="Arial"/>
                  <w:sz w:val="18"/>
                  <w:szCs w:val="18"/>
                  <w:color w:val="0000EE"/>
                </w:rPr>
                <w:t>Second Amendment to the OSR License Agreement dated February 1, 2019*</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56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369">
              <w:r>
                <w:rPr>
                  <w:rFonts w:ascii="Arial" w:cs="Arial" w:eastAsia="Arial" w:hAnsi="Arial"/>
                  <w:sz w:val="18"/>
                  <w:szCs w:val="18"/>
                  <w:color w:val="0000EE"/>
                  <w:w w:val="90"/>
                </w:rPr>
                <w:t>Third Amendment to the OSR License Agreement dated December 23, 2020*</w:t>
              </w:r>
            </w:hyperlink>
          </w:p>
        </w:tc>
        <w:tc>
          <w:tcPr>
            <w:tcW w:w="4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w:anchor="page375">
              <w:r>
                <w:rPr>
                  <w:rFonts w:ascii="Arial" w:cs="Arial" w:eastAsia="Arial" w:hAnsi="Arial"/>
                  <w:sz w:val="18"/>
                  <w:szCs w:val="18"/>
                  <w:color w:val="0000EE"/>
                </w:rPr>
                <w:t>Sponsored Research Agreement with OSR dated February 12, 2021*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61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355">
              <w:r>
                <w:rPr>
                  <w:rFonts w:ascii="Arial" w:cs="Arial" w:eastAsia="Arial" w:hAnsi="Arial"/>
                  <w:sz w:val="18"/>
                  <w:szCs w:val="18"/>
                  <w:color w:val="0000EE"/>
                  <w:w w:val="91"/>
                </w:rPr>
                <w:t>Know-How License Agreement with Fondazione Telethon dated February 2, 2016**</w:t>
              </w:r>
            </w:hyperlink>
          </w:p>
        </w:tc>
        <w:tc>
          <w:tcPr>
            <w:tcW w:w="40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82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356">
              <w:r>
                <w:rPr>
                  <w:rFonts w:ascii="Arial" w:cs="Arial" w:eastAsia="Arial" w:hAnsi="Arial"/>
                  <w:sz w:val="18"/>
                  <w:szCs w:val="18"/>
                  <w:color w:val="0000EE"/>
                  <w:w w:val="90"/>
                </w:rPr>
                <w:t>Master Service Agreement dated March 6, 2019 between Molecular Medicine S.p.A. and Genenta Science S.r.l.**</w:t>
              </w:r>
            </w:hyperlink>
          </w:p>
        </w:tc>
        <w:tc>
          <w:tcPr>
            <w:tcW w:w="1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357">
              <w:r>
                <w:rPr>
                  <w:rFonts w:ascii="Arial" w:cs="Arial" w:eastAsia="Arial" w:hAnsi="Arial"/>
                  <w:sz w:val="18"/>
                  <w:szCs w:val="18"/>
                  <w:color w:val="0000EE"/>
                </w:rPr>
                <w:t>Form of 2021-2025 Genenta Science Employee Share Option Plan with Chairman Sub-Plan**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6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358">
              <w:r>
                <w:rPr>
                  <w:rFonts w:ascii="Arial" w:cs="Arial" w:eastAsia="Arial" w:hAnsi="Arial"/>
                  <w:sz w:val="18"/>
                  <w:szCs w:val="18"/>
                  <w:color w:val="0000EE"/>
                </w:rPr>
                <w:t>Form of Employment Agreement of Pierluigi Paracchi**</w:t>
              </w:r>
            </w:hyperlink>
          </w:p>
        </w:tc>
        <w:tc>
          <w:tcPr>
            <w:tcW w:w="3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4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59">
              <w:r>
                <w:rPr>
                  <w:rFonts w:ascii="Arial" w:cs="Arial" w:eastAsia="Arial" w:hAnsi="Arial"/>
                  <w:sz w:val="18"/>
                  <w:szCs w:val="18"/>
                  <w:color w:val="0000EE"/>
                </w:rPr>
                <w:t>Form of Employment Agreement of Carlo Russo**</w:t>
              </w:r>
            </w:hyperlink>
          </w:p>
        </w:tc>
        <w:tc>
          <w:tcPr>
            <w:tcW w:w="60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360">
              <w:r>
                <w:rPr>
                  <w:rFonts w:ascii="Arial" w:cs="Arial" w:eastAsia="Arial" w:hAnsi="Arial"/>
                  <w:sz w:val="18"/>
                  <w:szCs w:val="18"/>
                  <w:color w:val="0000EE"/>
                </w:rPr>
                <w:t>Form of Employment Agreement of Richard Slansky**</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58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361">
              <w:r>
                <w:rPr>
                  <w:rFonts w:ascii="Arial" w:cs="Arial" w:eastAsia="Arial" w:hAnsi="Arial"/>
                  <w:sz w:val="18"/>
                  <w:szCs w:val="18"/>
                  <w:color w:val="0000EE"/>
                  <w:w w:val="90"/>
                </w:rPr>
                <w:t>Fourth Amendment to the OSR License Agreement dated September 28, 2021**</w:t>
              </w:r>
            </w:hyperlink>
          </w:p>
        </w:tc>
        <w:tc>
          <w:tcPr>
            <w:tcW w:w="4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w:anchor="page392">
              <w:r>
                <w:rPr>
                  <w:rFonts w:ascii="Arial" w:cs="Arial" w:eastAsia="Arial" w:hAnsi="Arial"/>
                  <w:sz w:val="18"/>
                  <w:szCs w:val="18"/>
                  <w:color w:val="0000EE"/>
                </w:rPr>
                <w:t>Consent of Mayer Hoffman McCann, P.C.*</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30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7"/>
                <w:szCs w:val="17"/>
                <w:color w:val="auto"/>
              </w:rPr>
            </w:pPr>
          </w:p>
        </w:tc>
        <w:tc>
          <w:tcPr>
            <w:tcW w:w="10140" w:type="dxa"/>
            <w:vAlign w:val="bottom"/>
            <w:gridSpan w:val="22"/>
          </w:tcPr>
          <w:p>
            <w:pPr>
              <w:spacing w:after="0" w:line="196" w:lineRule="exact"/>
              <w:rPr>
                <w:rFonts w:ascii="Arial" w:cs="Arial" w:eastAsia="Arial" w:hAnsi="Arial"/>
                <w:sz w:val="18"/>
                <w:szCs w:val="18"/>
                <w:color w:val="0000EE"/>
              </w:rPr>
            </w:pPr>
            <w:hyperlink r:id="rId354">
              <w:r>
                <w:rPr>
                  <w:rFonts w:ascii="Arial" w:cs="Arial" w:eastAsia="Arial" w:hAnsi="Arial"/>
                  <w:sz w:val="18"/>
                  <w:szCs w:val="18"/>
                  <w:color w:val="0000EE"/>
                </w:rPr>
                <w:t>Consent of Giovanelli and Associates, Italian counsel to Genenta (included in Exhibit 5.1).**</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362">
              <w:r>
                <w:rPr>
                  <w:rFonts w:ascii="Arial" w:cs="Arial" w:eastAsia="Arial" w:hAnsi="Arial"/>
                  <w:sz w:val="18"/>
                  <w:szCs w:val="18"/>
                  <w:color w:val="0000EE"/>
                  <w:w w:val="91"/>
                </w:rPr>
                <w:t>Power of Attorney (included on the signature page of this Registration Statement).**</w:t>
              </w:r>
            </w:hyperlink>
          </w:p>
        </w:tc>
        <w:tc>
          <w:tcPr>
            <w:tcW w:w="600" w:type="dxa"/>
            <w:vAlign w:val="bottom"/>
            <w:tcBorders>
              <w:top w:val="single" w:sz="8" w:color="0000EE"/>
            </w:tcBorders>
          </w:tcPr>
          <w:p>
            <w:pPr>
              <w:spacing w:after="0"/>
              <w:rPr>
                <w:sz w:val="17"/>
                <w:szCs w:val="17"/>
                <w:color w:val="auto"/>
              </w:rPr>
            </w:pPr>
          </w:p>
        </w:tc>
        <w:tc>
          <w:tcPr>
            <w:tcW w:w="3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right="9200" w:firstLine="8"/>
        <w:spacing w:after="0" w:line="239" w:lineRule="auto"/>
        <w:tabs>
          <w:tab w:leader="none" w:pos="64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Filed herewith ** Previously filed</w:t>
      </w:r>
    </w:p>
    <w:p>
      <w:pPr>
        <w:ind w:left="660" w:right="220" w:hanging="648"/>
        <w:spacing w:after="0" w:line="236" w:lineRule="auto"/>
        <w:rPr>
          <w:rFonts w:ascii="Arial" w:cs="Arial" w:eastAsia="Arial" w:hAnsi="Arial"/>
          <w:sz w:val="22"/>
          <w:szCs w:val="22"/>
          <w:color w:val="auto"/>
        </w:rPr>
      </w:pPr>
      <w:r>
        <w:rPr>
          <w:rFonts w:ascii="Arial" w:cs="Arial" w:eastAsia="Arial" w:hAnsi="Arial"/>
          <w:sz w:val="22"/>
          <w:szCs w:val="22"/>
          <w:color w:val="auto"/>
        </w:rPr>
        <w:t>#Portions of this exhibit (indicated by markouts) have been redacted in compliance with Regulation S-K Item 601(b)(10) (iv).</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right="20" w:firstLine="656"/>
        <w:spacing w:after="0" w:line="291" w:lineRule="auto"/>
        <w:tabs>
          <w:tab w:leader="none" w:pos="89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3" w:lineRule="exact"/>
        <w:rPr>
          <w:rFonts w:ascii="Arial" w:cs="Arial" w:eastAsia="Arial" w:hAnsi="Arial"/>
          <w:sz w:val="16"/>
          <w:szCs w:val="16"/>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ind w:left="1620" w:right="20" w:hanging="316"/>
        <w:spacing w:after="0" w:line="259"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right="280" w:hanging="316"/>
        <w:spacing w:after="0" w:line="263" w:lineRule="auto"/>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 duly authorized, in Milan, Italy on November 24, 2021.</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Pierluigi Paracchi</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5"/>
                <w:szCs w:val="15"/>
                <w:color w:val="auto"/>
              </w:rPr>
            </w:pPr>
          </w:p>
        </w:tc>
        <w:tc>
          <w:tcPr>
            <w:tcW w:w="450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22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Date</w:t>
            </w:r>
          </w:p>
        </w:tc>
      </w:tr>
      <w:tr>
        <w:trPr>
          <w:trHeight w:val="466"/>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Pierluigi Paracchi</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Vice Chairman</w:t>
            </w:r>
          </w:p>
        </w:tc>
        <w:tc>
          <w:tcPr>
            <w:tcW w:w="2240" w:type="dxa"/>
            <w:vAlign w:val="bottom"/>
          </w:tcPr>
          <w:p>
            <w:pPr>
              <w:spacing w:after="0"/>
              <w:rPr>
                <w:sz w:val="20"/>
                <w:szCs w:val="20"/>
                <w:color w:val="auto"/>
              </w:rPr>
            </w:pPr>
            <w:r>
              <w:rPr>
                <w:rFonts w:ascii="Arial" w:cs="Arial" w:eastAsia="Arial" w:hAnsi="Arial"/>
                <w:sz w:val="18"/>
                <w:szCs w:val="18"/>
                <w:color w:val="auto"/>
              </w:rPr>
              <w:t>November 24,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Pierluigi Paracchi</w:t>
            </w:r>
          </w:p>
        </w:tc>
        <w:tc>
          <w:tcPr>
            <w:tcW w:w="49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17"/>
                <w:szCs w:val="17"/>
                <w:color w:val="auto"/>
              </w:rPr>
            </w:pPr>
          </w:p>
        </w:tc>
      </w:tr>
      <w:tr>
        <w:trPr>
          <w:trHeight w:val="237"/>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Richard Slansky</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spacing w:after="0"/>
              <w:rPr>
                <w:sz w:val="20"/>
                <w:szCs w:val="20"/>
                <w:color w:val="auto"/>
              </w:rPr>
            </w:pPr>
            <w:r>
              <w:rPr>
                <w:rFonts w:ascii="Arial" w:cs="Arial" w:eastAsia="Arial" w:hAnsi="Arial"/>
                <w:sz w:val="18"/>
                <w:szCs w:val="18"/>
                <w:color w:val="auto"/>
              </w:rPr>
              <w:t>November 24,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Richard Slansky</w:t>
            </w:r>
          </w:p>
        </w:tc>
        <w:tc>
          <w:tcPr>
            <w:tcW w:w="49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24,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Roger Abravanel</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24,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Daniela Bellomo</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24,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Guido Guidi</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24,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Luca Guidotti</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Chairman of the Board and Director</w:t>
            </w:r>
          </w:p>
        </w:tc>
        <w:tc>
          <w:tcPr>
            <w:tcW w:w="2240" w:type="dxa"/>
            <w:vAlign w:val="bottom"/>
          </w:tcPr>
          <w:p>
            <w:pPr>
              <w:spacing w:after="0"/>
              <w:rPr>
                <w:sz w:val="20"/>
                <w:szCs w:val="20"/>
                <w:color w:val="auto"/>
              </w:rPr>
            </w:pPr>
            <w:r>
              <w:rPr>
                <w:rFonts w:ascii="Arial" w:cs="Arial" w:eastAsia="Arial" w:hAnsi="Arial"/>
                <w:sz w:val="18"/>
                <w:szCs w:val="18"/>
                <w:color w:val="auto"/>
              </w:rPr>
              <w:t>November 24,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Stephen Squinto</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24, 2021</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Anthony Marucci</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65"/>
        </w:trPr>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Pierluigi Paracchi</w:t>
            </w: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95"/>
        </w:trPr>
        <w:tc>
          <w:tcPr>
            <w:tcW w:w="3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II-3</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270" w:name="page271"/>
    <w:bookmarkEnd w:id="270"/>
    <w:p>
      <w:pPr>
        <w:jc w:val="center"/>
        <w:ind w:right="-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as amended, the undersigned, Cogency Global Inc., the duly authorized representative in the United States of Genenta Science S.p.A., has signed this registration statement on November 24, 2021.</w:t>
      </w:r>
    </w:p>
    <w:p>
      <w:pPr>
        <w:spacing w:after="0" w:line="19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Colleen A. De Vries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Vice-President on behalf of Gogency Global Inc.</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1,608,695 American Depositary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Representing 1,608,695 Ordinary Shares (no par value)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2021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888 San Clemente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 92660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Maxim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Park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Genenta Science S.p.A., a Republic of Italy joint stock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to sell to the several underwriters (the “</w:t>
      </w:r>
      <w:r>
        <w:rPr>
          <w:rFonts w:ascii="Arial" w:cs="Arial" w:eastAsia="Arial" w:hAnsi="Arial"/>
          <w:sz w:val="18"/>
          <w:szCs w:val="18"/>
          <w:u w:val="single" w:color="auto"/>
          <w:color w:val="auto"/>
        </w:rPr>
        <w:t>Underwriters</w:t>
      </w:r>
      <w:r>
        <w:rPr>
          <w:rFonts w:ascii="Arial" w:cs="Arial" w:eastAsia="Arial" w:hAnsi="Arial"/>
          <w:sz w:val="18"/>
          <w:szCs w:val="18"/>
          <w:color w:val="auto"/>
        </w:rPr>
        <w:t xml:space="preserve">”)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underwriting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for whom you (in such capacity,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are acting as representatives 1,608,695 American Depositary Shares (“</w:t>
      </w:r>
      <w:r>
        <w:rPr>
          <w:rFonts w:ascii="Arial" w:cs="Arial" w:eastAsia="Arial" w:hAnsi="Arial"/>
          <w:sz w:val="18"/>
          <w:szCs w:val="18"/>
          <w:u w:val="single" w:color="auto"/>
          <w:color w:val="auto"/>
        </w:rPr>
        <w:t>Offered ADSs,</w:t>
      </w:r>
      <w:r>
        <w:rPr>
          <w:rFonts w:ascii="Arial" w:cs="Arial" w:eastAsia="Arial" w:hAnsi="Arial"/>
          <w:sz w:val="18"/>
          <w:szCs w:val="18"/>
          <w:color w:val="auto"/>
        </w:rPr>
        <w:t>” and each an “</w:t>
      </w:r>
      <w:r>
        <w:rPr>
          <w:rFonts w:ascii="Arial" w:cs="Arial" w:eastAsia="Arial" w:hAnsi="Arial"/>
          <w:sz w:val="18"/>
          <w:szCs w:val="18"/>
          <w:u w:val="single" w:color="auto"/>
          <w:color w:val="auto"/>
        </w:rPr>
        <w:t>ADS</w:t>
      </w:r>
      <w:r>
        <w:rPr>
          <w:rFonts w:ascii="Arial" w:cs="Arial" w:eastAsia="Arial" w:hAnsi="Arial"/>
          <w:sz w:val="18"/>
          <w:szCs w:val="18"/>
          <w:color w:val="auto"/>
        </w:rPr>
        <w:t>”), each representing one (1) ordinary share with no par value in the capital of the Company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In addition, the Company proposes to issue and sell, at the option of the Underwriters, up to an additional 241,304 ADSs, representing 241,304 additional Ordinary Shares (the “</w:t>
      </w:r>
      <w:r>
        <w:rPr>
          <w:rFonts w:ascii="Arial" w:cs="Arial" w:eastAsia="Arial" w:hAnsi="Arial"/>
          <w:sz w:val="18"/>
          <w:szCs w:val="18"/>
          <w:u w:val="single" w:color="auto"/>
          <w:color w:val="auto"/>
        </w:rPr>
        <w:t>Option ADSs</w:t>
      </w:r>
      <w:r>
        <w:rPr>
          <w:rFonts w:ascii="Arial" w:cs="Arial" w:eastAsia="Arial" w:hAnsi="Arial"/>
          <w:sz w:val="18"/>
          <w:szCs w:val="18"/>
          <w:color w:val="auto"/>
        </w:rPr>
        <w:t>”). The Offered ADSs and the Option ADSs are herein referred to as the “</w:t>
      </w:r>
      <w:r>
        <w:rPr>
          <w:rFonts w:ascii="Arial" w:cs="Arial" w:eastAsia="Arial" w:hAnsi="Arial"/>
          <w:sz w:val="18"/>
          <w:szCs w:val="18"/>
          <w:u w:val="single" w:color="auto"/>
          <w:color w:val="auto"/>
        </w:rPr>
        <w:t>Underwritten ADSs</w:t>
      </w:r>
      <w:r>
        <w:rPr>
          <w:rFonts w:ascii="Arial" w:cs="Arial" w:eastAsia="Arial" w:hAnsi="Arial"/>
          <w:sz w:val="18"/>
          <w:szCs w:val="18"/>
          <w:color w:val="auto"/>
        </w:rPr>
        <w:t>.”</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Company shall deposit pursuant to the Deposit Agreement, dated as of [●], 2021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to be entered into among the Company, The Bank of New York Mellon,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 number of Ordinary Shares equal to the Underwritten ADSs. Upon deposit of such Ordinary Shares, the Depositary will issue ADSs representing the Ordinary Shares so deposited. The Offered ADSs will represent Ordinary Shares.</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Concurrently with the offering of Offered ADSs, the Company is offering 1,000,000 newly issued Ordinary Shares reserved for subscription by the Company’s existing shareholders (the “</w:t>
      </w:r>
      <w:r>
        <w:rPr>
          <w:rFonts w:ascii="Arial" w:cs="Arial" w:eastAsia="Arial" w:hAnsi="Arial"/>
          <w:sz w:val="18"/>
          <w:szCs w:val="18"/>
          <w:u w:val="single" w:color="auto"/>
          <w:color w:val="auto"/>
        </w:rPr>
        <w:t>Reserved Offering</w:t>
      </w:r>
      <w:r>
        <w:rPr>
          <w:rFonts w:ascii="Arial" w:cs="Arial" w:eastAsia="Arial" w:hAnsi="Arial"/>
          <w:sz w:val="18"/>
          <w:szCs w:val="18"/>
          <w:color w:val="auto"/>
        </w:rPr>
        <w:t>”) in an offering falling within the cases of inapplicability of the provisions on public offerings of securities provided for in Article 100 of Legislative Decree no. 58 of 24 February 1998, as amended (the “</w:t>
      </w:r>
      <w:r>
        <w:rPr>
          <w:rFonts w:ascii="Arial" w:cs="Arial" w:eastAsia="Arial" w:hAnsi="Arial"/>
          <w:sz w:val="18"/>
          <w:szCs w:val="18"/>
          <w:u w:val="single" w:color="auto"/>
          <w:color w:val="auto"/>
        </w:rPr>
        <w:t>Consolidated Law on</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Finance</w:t>
      </w:r>
      <w:r>
        <w:rPr>
          <w:rFonts w:ascii="Arial" w:cs="Arial" w:eastAsia="Arial" w:hAnsi="Arial"/>
          <w:sz w:val="18"/>
          <w:szCs w:val="18"/>
          <w:color w:val="auto"/>
        </w:rPr>
        <w:t>”), Article 34-ter of the issuers’ regulations adopted with CONSOB resolution no. 11971 of 14 May 1999 (the “</w:t>
      </w:r>
      <w:r>
        <w:rPr>
          <w:rFonts w:ascii="Arial" w:cs="Arial" w:eastAsia="Arial" w:hAnsi="Arial"/>
          <w:sz w:val="18"/>
          <w:szCs w:val="18"/>
          <w:u w:val="single" w:color="auto"/>
          <w:color w:val="auto"/>
        </w:rPr>
        <w:t>Issuers’ Regulation</w:t>
      </w:r>
      <w:r>
        <w:rPr>
          <w:rFonts w:ascii="Arial" w:cs="Arial" w:eastAsia="Arial" w:hAnsi="Arial"/>
          <w:sz w:val="18"/>
          <w:szCs w:val="18"/>
          <w:color w:val="auto"/>
        </w:rPr>
        <w:t>”) and Article 1, paragraph 4, of Regulation (EU) 2017/1129 (the “</w:t>
      </w:r>
      <w:r>
        <w:rPr>
          <w:rFonts w:ascii="Arial" w:cs="Arial" w:eastAsia="Arial" w:hAnsi="Arial"/>
          <w:sz w:val="18"/>
          <w:szCs w:val="18"/>
          <w:u w:val="single" w:color="auto"/>
          <w:color w:val="auto"/>
        </w:rPr>
        <w:t>Prospectus Regulation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2" w:name="page273"/>
    <w:bookmarkEnd w:id="272"/>
    <w:p>
      <w:pPr>
        <w:jc w:val="both"/>
        <w:ind w:firstLine="1296"/>
        <w:spacing w:after="0" w:line="286" w:lineRule="auto"/>
        <w:rPr>
          <w:sz w:val="20"/>
          <w:szCs w:val="20"/>
          <w:color w:val="auto"/>
        </w:rPr>
      </w:pPr>
      <w:r>
        <w:rPr>
          <w:rFonts w:ascii="Arial" w:cs="Arial" w:eastAsia="Arial" w:hAnsi="Arial"/>
          <w:sz w:val="17"/>
          <w:szCs w:val="17"/>
          <w:color w:val="auto"/>
        </w:rPr>
        <w:t>The offering of Underwritten ADSs and the Reserved Offering collectively are referred to herein as the “</w:t>
      </w:r>
      <w:r>
        <w:rPr>
          <w:rFonts w:ascii="Arial" w:cs="Arial" w:eastAsia="Arial" w:hAnsi="Arial"/>
          <w:sz w:val="17"/>
          <w:szCs w:val="17"/>
          <w:u w:val="single" w:color="auto"/>
          <w:color w:val="auto"/>
        </w:rPr>
        <w:t>Offering.</w:t>
      </w:r>
      <w:r>
        <w:rPr>
          <w:rFonts w:ascii="Arial" w:cs="Arial" w:eastAsia="Arial" w:hAnsi="Arial"/>
          <w:sz w:val="17"/>
          <w:szCs w:val="17"/>
          <w:color w:val="auto"/>
        </w:rPr>
        <w:t>” All Ordinary Shares to be allotted and issued by the Company in connection with the Offering, whether sold directly to existing shareholders of the Company in the Reserved Offering or deposited with the Depositary to be represented by Underwritten ADSs, are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6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As used in this Agreement,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xml:space="preserve">” means the registration statement referred to in </w:t>
      </w:r>
      <w:r>
        <w:rPr>
          <w:rFonts w:ascii="Arial" w:cs="Arial" w:eastAsia="Arial" w:hAnsi="Arial"/>
          <w:sz w:val="17"/>
          <w:szCs w:val="17"/>
          <w:u w:val="single" w:color="auto"/>
          <w:color w:val="auto"/>
        </w:rPr>
        <w:t>Section 1(i)(a)</w:t>
      </w:r>
      <w:r>
        <w:rPr>
          <w:rFonts w:ascii="Arial" w:cs="Arial" w:eastAsia="Arial" w:hAnsi="Arial"/>
          <w:sz w:val="17"/>
          <w:szCs w:val="17"/>
          <w:color w:val="auto"/>
        </w:rPr>
        <w:t xml:space="preserve"> hereof, including the exhibits, schedules and financial statements and any prospectus relating to the Securities that is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pursuant to Rule 424(b) under the Securities Act of 1933, as amended, and the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deemed part of such registration statement pursuant to Rule 430A under the Securities Act (“</w:t>
      </w:r>
      <w:r>
        <w:rPr>
          <w:rFonts w:ascii="Arial" w:cs="Arial" w:eastAsia="Arial" w:hAnsi="Arial"/>
          <w:sz w:val="17"/>
          <w:szCs w:val="17"/>
          <w:u w:val="single" w:color="auto"/>
          <w:color w:val="auto"/>
        </w:rPr>
        <w:t>Rule 430A</w:t>
      </w:r>
      <w:r>
        <w:rPr>
          <w:rFonts w:ascii="Arial" w:cs="Arial" w:eastAsia="Arial" w:hAnsi="Arial"/>
          <w:sz w:val="17"/>
          <w:szCs w:val="17"/>
          <w:color w:val="auto"/>
        </w:rPr>
        <w:t>”), as amended at the date and time that this Agreement is executed and delivered by the parties hereto (the “</w:t>
      </w:r>
      <w:r>
        <w:rPr>
          <w:rFonts w:ascii="Arial" w:cs="Arial" w:eastAsia="Arial" w:hAnsi="Arial"/>
          <w:sz w:val="17"/>
          <w:szCs w:val="17"/>
          <w:u w:val="single" w:color="auto"/>
          <w:color w:val="auto"/>
        </w:rPr>
        <w:t>Execution Time</w:t>
      </w:r>
      <w:r>
        <w:rPr>
          <w:rFonts w:ascii="Arial" w:cs="Arial" w:eastAsia="Arial" w:hAnsi="Arial"/>
          <w:sz w:val="17"/>
          <w:szCs w:val="17"/>
          <w:color w:val="auto"/>
        </w:rPr>
        <w:t>”), and, in the event any post-effective amendment thereto or any registration statement and any amendments thereto filed pursuant to Rule 462(b) under the Securities Act (a “</w:t>
      </w:r>
      <w:r>
        <w:rPr>
          <w:rFonts w:ascii="Arial" w:cs="Arial" w:eastAsia="Arial" w:hAnsi="Arial"/>
          <w:sz w:val="17"/>
          <w:szCs w:val="17"/>
          <w:u w:val="single" w:color="auto"/>
          <w:color w:val="auto"/>
        </w:rPr>
        <w:t>Rule 462(b) Registration Statement</w:t>
      </w:r>
      <w:r>
        <w:rPr>
          <w:rFonts w:ascii="Arial" w:cs="Arial" w:eastAsia="Arial" w:hAnsi="Arial"/>
          <w:sz w:val="17"/>
          <w:szCs w:val="17"/>
          <w:color w:val="auto"/>
        </w:rPr>
        <w:t>”) becomes effective prior to the Closing Date (as defined in Section 3 hereof), shall also mean such registration statement as so amended or such Rule 462(b) Registration Statement, as the case may be;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each date and time that the Registration Statement, any post-effective amendment or amendments thereto or any Rule 462(b) Registration Statement became or becomes effective; the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means any preliminary prospectus with respect to the offering of the Securities included in the Registration Statement at the Effective Date that omits information with respect to the Securities and the offering thereof permitted to be omitted from the Registration Statement when it becomes effective pursuant to Rule 430A; and the “</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relating to the Securities that is first filed pursuant to Rule 424(b) under the Securities Act (“</w:t>
      </w:r>
      <w:r>
        <w:rPr>
          <w:rFonts w:ascii="Arial" w:cs="Arial" w:eastAsia="Arial" w:hAnsi="Arial"/>
          <w:sz w:val="17"/>
          <w:szCs w:val="17"/>
          <w:u w:val="single" w:color="auto"/>
          <w:color w:val="auto"/>
        </w:rPr>
        <w:t>Rule 424(b)</w:t>
      </w:r>
      <w:r>
        <w:rPr>
          <w:rFonts w:ascii="Arial" w:cs="Arial" w:eastAsia="Arial" w:hAnsi="Arial"/>
          <w:sz w:val="17"/>
          <w:szCs w:val="17"/>
          <w:color w:val="auto"/>
        </w:rPr>
        <w:t>”) after the Execution Time.</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As used in this Agreement, the “</w:t>
      </w:r>
      <w:r>
        <w:rPr>
          <w:rFonts w:ascii="Arial" w:cs="Arial" w:eastAsia="Arial" w:hAnsi="Arial"/>
          <w:sz w:val="18"/>
          <w:szCs w:val="18"/>
          <w:u w:val="single" w:color="auto"/>
          <w:color w:val="auto"/>
        </w:rPr>
        <w:t>Disclosure Package</w:t>
      </w:r>
      <w:r>
        <w:rPr>
          <w:rFonts w:ascii="Arial" w:cs="Arial" w:eastAsia="Arial" w:hAnsi="Arial"/>
          <w:sz w:val="18"/>
          <w:szCs w:val="18"/>
          <w:color w:val="auto"/>
        </w:rPr>
        <w:t>” shall mean (i) the Preliminary Prospectus dated [●], 2021, as generally distributed to investors and used to offer the Securities, (ii) any issuer free writing prospectus, as defined in Rule 433 under the Securities Act (“</w:t>
      </w:r>
      <w:r>
        <w:rPr>
          <w:rFonts w:ascii="Arial" w:cs="Arial" w:eastAsia="Arial" w:hAnsi="Arial"/>
          <w:sz w:val="18"/>
          <w:szCs w:val="18"/>
          <w:u w:val="single" w:color="auto"/>
          <w:color w:val="auto"/>
        </w:rPr>
        <w:t>Rule 433</w:t>
      </w:r>
      <w:r>
        <w:rPr>
          <w:rFonts w:ascii="Arial" w:cs="Arial" w:eastAsia="Arial" w:hAnsi="Arial"/>
          <w:sz w:val="18"/>
          <w:szCs w:val="18"/>
          <w:color w:val="auto"/>
        </w:rPr>
        <w:t>” and, any such issuer free writing prospectus, an “</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xml:space="preserve">”), identified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(iii) any other free writing prospectus, as defined in Rule 405 under the Securities Act (“</w:t>
      </w:r>
      <w:r>
        <w:rPr>
          <w:rFonts w:ascii="Arial" w:cs="Arial" w:eastAsia="Arial" w:hAnsi="Arial"/>
          <w:sz w:val="18"/>
          <w:szCs w:val="18"/>
          <w:u w:val="single" w:color="auto"/>
          <w:color w:val="auto"/>
        </w:rPr>
        <w:t>Rule 405</w:t>
      </w:r>
      <w:r>
        <w:rPr>
          <w:rFonts w:ascii="Arial" w:cs="Arial" w:eastAsia="Arial" w:hAnsi="Arial"/>
          <w:sz w:val="18"/>
          <w:szCs w:val="18"/>
          <w:color w:val="auto"/>
        </w:rPr>
        <w:t>” and, any such free writing prospectus, a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that the parties hereto shall hereafter expressly agree in writing to treat as part of the Disclosure Package.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3" w:name="page274"/>
    <w:bookmarkEnd w:id="273"/>
    <w:p>
      <w:pPr>
        <w:ind w:left="360" w:hanging="176"/>
        <w:spacing w:after="0"/>
        <w:tabs>
          <w:tab w:leader="none" w:pos="36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(i) The Company represents and warrants to, and agrees with, each Underwriter as set forth below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5" w:lineRule="exact"/>
        <w:rPr>
          <w:sz w:val="20"/>
          <w:szCs w:val="20"/>
          <w:color w:val="auto"/>
        </w:rPr>
      </w:pPr>
    </w:p>
    <w:p>
      <w:pPr>
        <w:jc w:val="both"/>
        <w:ind w:left="-460" w:firstLine="644"/>
        <w:spacing w:after="0" w:line="289" w:lineRule="auto"/>
        <w:tabs>
          <w:tab w:leader="none" w:pos="46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Company has prepared and filed with the SEC a registration statement (file number 333-[ ]) on Form F-1, including the Preliminary Prospectus, for the registration of the offering and sale of the Securities under the Securities Act. Such Registration Statement, including any amendments thereto filed prior to the Execution Time, has become effective. The Company may have filed one or more amendments thereto, including the Preliminary Prospectus, each of which has previously been furnished to you. The Company will file with the SEC the Prospectus relating to the Securities in accordance with Rule 424(b) after the Execution Time. As filed, the Prospectus shall contain all information with respect to the Securities and the offering thereof required by the Securities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166" w:lineRule="exact"/>
        <w:rPr>
          <w:rFonts w:ascii="Arial" w:cs="Arial" w:eastAsia="Arial" w:hAnsi="Arial"/>
          <w:sz w:val="16"/>
          <w:szCs w:val="16"/>
          <w:color w:val="auto"/>
        </w:rPr>
      </w:pPr>
    </w:p>
    <w:p>
      <w:pPr>
        <w:jc w:val="both"/>
        <w:ind w:left="-460" w:firstLine="644"/>
        <w:spacing w:after="0" w:line="285" w:lineRule="auto"/>
        <w:tabs>
          <w:tab w:leader="none" w:pos="45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On the Effective Date, the Registration Statement did, and when the Prospectus is first filed in accordance with Rule 424(b) and on the Closing Date (as defined in this Agreement) and on any date on which Option ADSs are purchased, if such date is not the Closing Date (each such date, a “</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the Prospectus (and any supplements thereto) will comply in all material respects with the applicable requirements of the Securities Act and the rules thereunder; on the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the Preliminary Prospectus or the Prospectus (or any supplement thereto) in reliance upon and in conformity with information furnished in writing to the Company by or on behalf of any Underwriter through the Representatives specifically for inclusion in the Registration Statement, the Preliminary Prospectus or the Prospectus (or any supplement thereto), it being understood and agreed that the only such information furnished by or on behalf of any Underwriter consists of the information described as such in Section 8 hereof. The disclosures in the Registration Statement and Prospectus concerning the effects of U.S. laws and European Union, Italian national and local regulations on the Company’s business as currently contemplated are correct in all material respects and do not omit to state a material fact required to be stated therein or necessary in order to make the statements therein, in the light of the circumstances under which they were made, not misleading.</w:t>
      </w:r>
    </w:p>
    <w:p>
      <w:pPr>
        <w:spacing w:after="0" w:line="1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74" w:name="page275"/>
    <w:bookmarkEnd w:id="274"/>
    <w:p>
      <w:pPr>
        <w:jc w:val="both"/>
        <w:ind w:left="-460" w:firstLine="644"/>
        <w:spacing w:after="0" w:line="273" w:lineRule="auto"/>
        <w:tabs>
          <w:tab w:leader="none" w:pos="43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 has filed with the SEC a registration statement (file number [●]) on Form F-6 for the registration under the Securities Act of the offering and sale of the Underwritten ADSs (“</w:t>
      </w:r>
      <w:r>
        <w:rPr>
          <w:rFonts w:ascii="Arial" w:cs="Arial" w:eastAsia="Arial" w:hAnsi="Arial"/>
          <w:sz w:val="17"/>
          <w:szCs w:val="17"/>
          <w:u w:val="single" w:color="auto"/>
          <w:color w:val="auto"/>
        </w:rPr>
        <w:t>ADS Registration Statement</w:t>
      </w:r>
      <w:r>
        <w:rPr>
          <w:rFonts w:ascii="Arial" w:cs="Arial" w:eastAsia="Arial" w:hAnsi="Arial"/>
          <w:sz w:val="17"/>
          <w:szCs w:val="17"/>
          <w:color w:val="auto"/>
        </w:rPr>
        <w:t>”). The Company may have filed one or more amendments thereto, each of which has previously been furnished to you. Such ADS Registration Statement at the time of its effectiveness did comply and on the Closing Date, will comply, in all material respects with the applicable requirements of the Securities Act and the rules thereunder and at the time of its Effective Date and at the Execution Time, did not contain any untrue statement of a material fact or omit to state any material fact required to be stated therein or necessary in order to make the statements therein not misleading.</w:t>
      </w:r>
    </w:p>
    <w:p>
      <w:pPr>
        <w:spacing w:after="0" w:line="177" w:lineRule="exact"/>
        <w:rPr>
          <w:rFonts w:ascii="Arial" w:cs="Arial" w:eastAsia="Arial" w:hAnsi="Arial"/>
          <w:sz w:val="17"/>
          <w:szCs w:val="17"/>
          <w:color w:val="auto"/>
        </w:rPr>
      </w:pPr>
    </w:p>
    <w:p>
      <w:pPr>
        <w:jc w:val="both"/>
        <w:ind w:left="-460" w:firstLine="644"/>
        <w:spacing w:after="0" w:line="259" w:lineRule="auto"/>
        <w:tabs>
          <w:tab w:leader="none" w:pos="4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has been duly established and is validly existing as a joint stock company (</w:t>
      </w:r>
      <w:r>
        <w:rPr>
          <w:rFonts w:ascii="Arial" w:cs="Arial" w:eastAsia="Arial" w:hAnsi="Arial"/>
          <w:sz w:val="18"/>
          <w:szCs w:val="18"/>
          <w:i w:val="1"/>
          <w:iCs w:val="1"/>
          <w:color w:val="auto"/>
        </w:rPr>
        <w:t>società per azionì</w:t>
      </w:r>
      <w:r>
        <w:rPr>
          <w:rFonts w:ascii="Arial" w:cs="Arial" w:eastAsia="Arial" w:hAnsi="Arial"/>
          <w:sz w:val="18"/>
          <w:szCs w:val="18"/>
          <w:color w:val="auto"/>
        </w:rPr>
        <w:t>) in good standing under the laws of the Republic of Italy with a registered office at Via Olgettina No. 58, 20132 Milan, Italy, Fiscal Code and number of registration in the Companies Register of Milan No. 08738490963. The Company does not own an interest in any corporation, partnership, joint venture, limited liability company, trust or other business entity.</w:t>
      </w:r>
    </w:p>
    <w:p>
      <w:pPr>
        <w:spacing w:after="0" w:line="186" w:lineRule="exact"/>
        <w:rPr>
          <w:rFonts w:ascii="Arial" w:cs="Arial" w:eastAsia="Arial" w:hAnsi="Arial"/>
          <w:sz w:val="18"/>
          <w:szCs w:val="18"/>
          <w:color w:val="auto"/>
        </w:rPr>
      </w:pPr>
    </w:p>
    <w:p>
      <w:pPr>
        <w:jc w:val="both"/>
        <w:ind w:left="-460" w:firstLine="644"/>
        <w:spacing w:after="0" w:line="257" w:lineRule="auto"/>
        <w:tabs>
          <w:tab w:leader="none" w:pos="4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Upon issuance by the Depositary of ADSs against deposit of the underlying Ordinary Shares in accordance with the provisions of the Deposit Agreement, such ADSs will be duly and validly issued and persons in whose names the ADSs are registered will be entitled to the rights specified in the ADSs and in the Deposit Agreement; and upon the sale and delivery to the Underwriters of the Securities, and payment therefor, pursuant to this Agreement, the Underwriters will acquire good, marketable and valid title to such Securities, free and clear of all pledges, liens, security interests, charges, claims or encumbrances of any kind.</w:t>
      </w:r>
    </w:p>
    <w:p>
      <w:pPr>
        <w:spacing w:after="0" w:line="187" w:lineRule="exact"/>
        <w:rPr>
          <w:rFonts w:ascii="Arial" w:cs="Arial" w:eastAsia="Arial" w:hAnsi="Arial"/>
          <w:sz w:val="18"/>
          <w:szCs w:val="18"/>
          <w:color w:val="auto"/>
        </w:rPr>
      </w:pPr>
    </w:p>
    <w:p>
      <w:pPr>
        <w:jc w:val="both"/>
        <w:ind w:left="-460" w:firstLine="644"/>
        <w:spacing w:after="0" w:line="254" w:lineRule="auto"/>
        <w:tabs>
          <w:tab w:leader="none" w:pos="42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Provided that (i) no Underwriter is resident in Italy for tax purposes and (ii) each Underwriter is a resident of a jurisdiction for the purposes of a double tax treaty between Italy and the jurisdiction, is entitled to the benefits of the treaty and does not, and is not deemed to, carry on business through a permanent establishment in Italy, no stamp, registration, issuance, transfer taxes or other similar taxes, duties, fees or charges (“Transfer Taxes”) are payable by or on behalf of the Underwriters in connection with (A) the issuance of the Ordinary Shares underlying the Offered ADSs and the delivery of the Offered ADSs in the manner contemplated by this Agreement, (B) the deposit with the Depositary of the Ordinary Shares underlying the Offered ADSs against issuance of the Offered ADSs or (C) the sale and delivery by the Underwriters of the Offered ADSs as contemplated herein. For the avoidance of doubt, income taxes, withholding taxes, capital gains taxes and taxes on dividends shall not be considered “Transfer Taxes.”</w:t>
      </w:r>
    </w:p>
    <w:p>
      <w:pPr>
        <w:spacing w:after="0" w:line="191" w:lineRule="exact"/>
        <w:rPr>
          <w:rFonts w:ascii="Arial" w:cs="Arial" w:eastAsia="Arial" w:hAnsi="Arial"/>
          <w:sz w:val="18"/>
          <w:szCs w:val="18"/>
          <w:color w:val="auto"/>
        </w:rPr>
      </w:pPr>
    </w:p>
    <w:p>
      <w:pPr>
        <w:jc w:val="both"/>
        <w:ind w:left="-460" w:firstLine="644"/>
        <w:spacing w:after="0" w:line="259" w:lineRule="auto"/>
        <w:tabs>
          <w:tab w:leader="none" w:pos="45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Except as described in each of the Disclosure Package and the Prospectus, all dividends and other distributions declared and payable on the Ordinary Shares may under current Italian law and regulations be paid to the Depositary and to the holders of Ordinary Shares or ADSs, as the case may be, in Euros and may be converted into foreign currency that may be transferred out of Italy in accordance with the Deposit Agreement.</w:t>
      </w:r>
    </w:p>
    <w:p>
      <w:pPr>
        <w:spacing w:after="0" w:line="186" w:lineRule="exact"/>
        <w:rPr>
          <w:rFonts w:ascii="Arial" w:cs="Arial" w:eastAsia="Arial" w:hAnsi="Arial"/>
          <w:sz w:val="18"/>
          <w:szCs w:val="18"/>
          <w:color w:val="auto"/>
        </w:rPr>
      </w:pPr>
    </w:p>
    <w:p>
      <w:pPr>
        <w:jc w:val="both"/>
        <w:ind w:left="-460" w:firstLine="644"/>
        <w:spacing w:after="0" w:line="263" w:lineRule="auto"/>
        <w:tabs>
          <w:tab w:leader="none" w:pos="4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Neither the SEC nor, to the Company’s knowledge, any state regulatory authority has issued any order preventing or suspending the use of the Preliminary Prospectus or has instituted or, to the Company’s knowledge, threatened to institute, any proceedings with respect to such an order.</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75" w:name="page276"/>
    <w:bookmarkEnd w:id="275"/>
    <w:p>
      <w:pPr>
        <w:jc w:val="both"/>
        <w:ind w:left="-460" w:firstLine="644"/>
        <w:spacing w:after="0" w:line="269" w:lineRule="auto"/>
        <w:tabs>
          <w:tab w:leader="none" w:pos="41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(i) The Disclosure Package and the price to the public, the number of Securities to be included on the cover page of the Prospectus, when taken together as a whole, (ii) each electronic road show, when taken together as a whole with the Disclosure Package and the price to the public, the number of Securities to be included on the cover page of the Prospectus, and (iii) any individual Written Testing-the-Waters Communication (as defined below), when taken together as a whole with the Disclosure Package and the price to the public, the number of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 it being understood and agreed that the only such information furnished by or on behalf of any Underwriter consists of the information described as such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w:t>
      </w:r>
    </w:p>
    <w:p>
      <w:pPr>
        <w:spacing w:after="0" w:line="181" w:lineRule="exact"/>
        <w:rPr>
          <w:rFonts w:ascii="Arial" w:cs="Arial" w:eastAsia="Arial" w:hAnsi="Arial"/>
          <w:sz w:val="17"/>
          <w:szCs w:val="17"/>
          <w:color w:val="auto"/>
        </w:rPr>
      </w:pPr>
    </w:p>
    <w:p>
      <w:pPr>
        <w:jc w:val="both"/>
        <w:ind w:left="-460" w:firstLine="644"/>
        <w:spacing w:after="0" w:line="311" w:lineRule="auto"/>
        <w:tabs>
          <w:tab w:leader="none" w:pos="41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SEC pursuant to Rule 405 that it is not necessary that the Company be considered an Ineligible Issuer.</w:t>
      </w:r>
    </w:p>
    <w:p>
      <w:pPr>
        <w:spacing w:after="0" w:line="148" w:lineRule="exact"/>
        <w:rPr>
          <w:rFonts w:ascii="Arial" w:cs="Arial" w:eastAsia="Arial" w:hAnsi="Arial"/>
          <w:sz w:val="16"/>
          <w:szCs w:val="16"/>
          <w:color w:val="auto"/>
        </w:rPr>
      </w:pPr>
    </w:p>
    <w:p>
      <w:pPr>
        <w:jc w:val="both"/>
        <w:ind w:left="-460" w:firstLine="644"/>
        <w:spacing w:after="0" w:line="257" w:lineRule="auto"/>
        <w:tabs>
          <w:tab w:leader="none" w:pos="45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SEC (or, if earlier, the first date on which the Company engaged directly or through any person authorized to act on its behalf in any Testing-the-Waters Communication) through the Execution Time, the Company has been and is an “emerging growth company,” as defined in Section 2(a) of the Securities Act (an “</w:t>
      </w:r>
      <w:r>
        <w:rPr>
          <w:rFonts w:ascii="Arial" w:cs="Arial" w:eastAsia="Arial" w:hAnsi="Arial"/>
          <w:sz w:val="18"/>
          <w:szCs w:val="18"/>
          <w:u w:val="single" w:color="auto"/>
          <w:color w:val="auto"/>
        </w:rPr>
        <w:t>Emerging Growth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187" w:lineRule="exact"/>
        <w:rPr>
          <w:rFonts w:ascii="Arial" w:cs="Arial" w:eastAsia="Arial" w:hAnsi="Arial"/>
          <w:sz w:val="18"/>
          <w:szCs w:val="18"/>
          <w:color w:val="auto"/>
        </w:rPr>
      </w:pPr>
    </w:p>
    <w:p>
      <w:pPr>
        <w:jc w:val="both"/>
        <w:ind w:left="-460" w:firstLine="644"/>
        <w:spacing w:after="0" w:line="293" w:lineRule="auto"/>
        <w:tabs>
          <w:tab w:leader="none" w:pos="41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or persons known to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w:t>
      </w:r>
    </w:p>
    <w:p>
      <w:pPr>
        <w:spacing w:after="0" w:line="1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76" w:name="page277"/>
    <w:bookmarkEnd w:id="276"/>
    <w:p>
      <w:pPr>
        <w:jc w:val="both"/>
        <w:ind w:left="-460" w:firstLine="644"/>
        <w:spacing w:after="0" w:line="257" w:lineRule="auto"/>
        <w:tabs>
          <w:tab w:leader="none" w:pos="54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 it being understood and agreed that the only such information furnished by or on behalf of any Underwriter consists of the information described as such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w:t>
      </w:r>
    </w:p>
    <w:p>
      <w:pPr>
        <w:spacing w:after="0" w:line="187" w:lineRule="exact"/>
        <w:rPr>
          <w:rFonts w:ascii="Arial" w:cs="Arial" w:eastAsia="Arial" w:hAnsi="Arial"/>
          <w:sz w:val="18"/>
          <w:szCs w:val="18"/>
          <w:color w:val="auto"/>
        </w:rPr>
      </w:pPr>
    </w:p>
    <w:p>
      <w:pPr>
        <w:jc w:val="both"/>
        <w:ind w:left="-460" w:firstLine="644"/>
        <w:spacing w:after="0" w:line="270" w:lineRule="auto"/>
        <w:tabs>
          <w:tab w:leader="none" w:pos="44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This Agreement has been duly authorized, executed and delivered by the Company. The execution, delivery and performance by the Company of this Agreement does not violate its Articles of Association (i.e., </w:t>
      </w:r>
      <w:r>
        <w:rPr>
          <w:rFonts w:ascii="Arial" w:cs="Arial" w:eastAsia="Arial" w:hAnsi="Arial"/>
          <w:sz w:val="17"/>
          <w:szCs w:val="17"/>
          <w:i w:val="1"/>
          <w:iCs w:val="1"/>
          <w:color w:val="auto"/>
        </w:rPr>
        <w:t>atto costitutivo</w:t>
      </w:r>
      <w:r>
        <w:rPr>
          <w:rFonts w:ascii="Arial" w:cs="Arial" w:eastAsia="Arial" w:hAnsi="Arial"/>
          <w:sz w:val="17"/>
          <w:szCs w:val="17"/>
          <w:color w:val="auto"/>
        </w:rPr>
        <w:t xml:space="preserve">), its By-laws (i.e., </w:t>
      </w:r>
      <w:r>
        <w:rPr>
          <w:rFonts w:ascii="Arial" w:cs="Arial" w:eastAsia="Arial" w:hAnsi="Arial"/>
          <w:sz w:val="17"/>
          <w:szCs w:val="17"/>
          <w:i w:val="1"/>
          <w:iCs w:val="1"/>
          <w:color w:val="auto"/>
        </w:rPr>
        <w:t>statuto</w:t>
      </w:r>
      <w:r>
        <w:rPr>
          <w:rFonts w:ascii="Arial" w:cs="Arial" w:eastAsia="Arial" w:hAnsi="Arial"/>
          <w:sz w:val="17"/>
          <w:szCs w:val="17"/>
          <w:color w:val="auto"/>
        </w:rPr>
        <w:t>) or any law, rule, regulation, judgment, decree or order of any court applicable to it. No consents or approvals and no licenses or orders from, or any registration or filings with, any Republic of Italy court, government department or other regulatory body (with the exception of all filing requirements with the Companies Register of Como which, to our knowledge, have been fully complied with other than filings which are required to and will be made post-closing in connection with the transactions contemplated herein) are required for the due authorization, execution, delivery or performance by the Company of this Agreement or the consummation of the transactions contemplated by this Agreement, except such as have been obtained under the Securities Act and such as may be required by FINRA and under state securities, Blue Sky or foreign laws in connection with the purchase and distribution of the Underwritten ADSs by the several Underwriters.</w:t>
      </w:r>
    </w:p>
    <w:p>
      <w:pPr>
        <w:spacing w:after="0" w:line="180" w:lineRule="exact"/>
        <w:rPr>
          <w:rFonts w:ascii="Arial" w:cs="Arial" w:eastAsia="Arial" w:hAnsi="Arial"/>
          <w:sz w:val="17"/>
          <w:szCs w:val="17"/>
          <w:color w:val="auto"/>
        </w:rPr>
      </w:pPr>
    </w:p>
    <w:p>
      <w:pPr>
        <w:jc w:val="both"/>
        <w:ind w:left="-460" w:firstLine="644"/>
        <w:spacing w:after="0" w:line="257" w:lineRule="auto"/>
        <w:tabs>
          <w:tab w:leader="none" w:pos="4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jurisdiction in which it is incorporated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except in each case where such failure would not reasonably be expected to have a Material Adverse Effect (as defined below).</w:t>
      </w:r>
    </w:p>
    <w:p>
      <w:pPr>
        <w:spacing w:after="0" w:line="187" w:lineRule="exact"/>
        <w:rPr>
          <w:rFonts w:ascii="Arial" w:cs="Arial" w:eastAsia="Arial" w:hAnsi="Arial"/>
          <w:sz w:val="18"/>
          <w:szCs w:val="18"/>
          <w:color w:val="auto"/>
        </w:rPr>
      </w:pPr>
    </w:p>
    <w:p>
      <w:pPr>
        <w:jc w:val="both"/>
        <w:ind w:left="-460" w:firstLine="644"/>
        <w:spacing w:after="0" w:line="263" w:lineRule="auto"/>
        <w:tabs>
          <w:tab w:leader="none" w:pos="4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There is no franchise, contract or other document of a character required to be described in the Registration Statement, Preliminary Prospectus or Prospectus, or to be filed as an exhibit thereto, which is not described or filed as required (and the Preliminary Prospectus contains in all material respects the same description of the foregoing matters contained in the Prospectus).</w:t>
      </w:r>
    </w:p>
    <w:p>
      <w:pPr>
        <w:spacing w:after="0" w:line="183" w:lineRule="exact"/>
        <w:rPr>
          <w:rFonts w:ascii="Arial" w:cs="Arial" w:eastAsia="Arial" w:hAnsi="Arial"/>
          <w:sz w:val="18"/>
          <w:szCs w:val="18"/>
          <w:color w:val="auto"/>
        </w:rPr>
      </w:pPr>
    </w:p>
    <w:p>
      <w:pPr>
        <w:ind w:left="-460" w:right="20" w:firstLine="644"/>
        <w:spacing w:after="0" w:line="277" w:lineRule="auto"/>
        <w:tabs>
          <w:tab w:leader="none" w:pos="44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has full legal capacity and power to enter into this Agreement and the Deposit Agreement, and each of this Agreement and the Deposit Agreement has been duly authorized, executed and delivered by the Company.</w:t>
      </w:r>
    </w:p>
    <w:p>
      <w:pPr>
        <w:spacing w:after="0" w:line="170" w:lineRule="exact"/>
        <w:rPr>
          <w:rFonts w:ascii="Arial" w:cs="Arial" w:eastAsia="Arial" w:hAnsi="Arial"/>
          <w:sz w:val="18"/>
          <w:szCs w:val="18"/>
          <w:color w:val="auto"/>
        </w:rPr>
      </w:pPr>
    </w:p>
    <w:p>
      <w:pPr>
        <w:jc w:val="both"/>
        <w:ind w:left="-460" w:right="20" w:firstLine="644"/>
        <w:spacing w:after="0" w:line="263" w:lineRule="auto"/>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Registration Statement, Disclosure Package and the Prospectus, will not be an “investment company” as defined in the Investment Company Act of 1940, as amended.</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77" w:name="page278"/>
    <w:bookmarkEnd w:id="277"/>
    <w:p>
      <w:pPr>
        <w:jc w:val="both"/>
        <w:ind w:left="-460" w:firstLine="644"/>
        <w:spacing w:after="0" w:line="275" w:lineRule="auto"/>
        <w:tabs>
          <w:tab w:leader="none" w:pos="43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court or governmental agency or body is required in connection with the transactions contemplated herein or in the Deposit Agreement, except such as have been obtained under the Securities Act and such as may be required under the listing rules of the Nasdaq Stock Market, applicable rules of the Financial Industry Regulatory Authority, Inc. and under the applicable state and foreign securities laws of any jurisdiction in connection with the purchase and distribution of the Securities by the Underwriters in the manner contemplated herein and in the Disclosure Package and the Prospectus.</w:t>
      </w:r>
    </w:p>
    <w:p>
      <w:pPr>
        <w:spacing w:after="0" w:line="176" w:lineRule="exact"/>
        <w:rPr>
          <w:rFonts w:ascii="Arial" w:cs="Arial" w:eastAsia="Arial" w:hAnsi="Arial"/>
          <w:sz w:val="17"/>
          <w:szCs w:val="17"/>
          <w:color w:val="auto"/>
        </w:rPr>
      </w:pPr>
    </w:p>
    <w:p>
      <w:pPr>
        <w:jc w:val="both"/>
        <w:ind w:left="-460" w:firstLine="644"/>
        <w:spacing w:after="0" w:line="253" w:lineRule="auto"/>
        <w:tabs>
          <w:tab w:leader="none" w:pos="43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Neither the issue and sale of the Securities nor the consummation of any other of the transactions herein contemplated nor the fulfillment of the terms hereof or of the Deposit Agreement will conflict with, result in a breach or violation of, or imposition of any lien, charge or encumbrance upon any property or assets of the Company pursuant to, (i) the constitution of the Company, (ii) the terms of any indenture, contract, lease, mortgage, deed of trust, note agreement, loan agreement or other agreement, obligation, condition, covenant or instrument to which the Company is a party or bound or to which its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 (ii) and (iii) above, for any such conflict, breach, violation, default, lien, charge or encumbrance that would not, individually or in the aggregate, reasonably be expected to have a Material Adverse Effect (as defined below).</w:t>
      </w:r>
    </w:p>
    <w:p>
      <w:pPr>
        <w:spacing w:after="0" w:line="196" w:lineRule="exact"/>
        <w:rPr>
          <w:rFonts w:ascii="Arial" w:cs="Arial" w:eastAsia="Arial" w:hAnsi="Arial"/>
          <w:sz w:val="18"/>
          <w:szCs w:val="18"/>
          <w:color w:val="auto"/>
        </w:rPr>
      </w:pPr>
    </w:p>
    <w:p>
      <w:pPr>
        <w:ind w:left="-460" w:firstLine="644"/>
        <w:spacing w:after="0" w:line="277" w:lineRule="auto"/>
        <w:tabs>
          <w:tab w:leader="none" w:pos="46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or the issuance of the Securities.</w:t>
      </w:r>
    </w:p>
    <w:p>
      <w:pPr>
        <w:spacing w:after="0" w:line="170" w:lineRule="exact"/>
        <w:rPr>
          <w:rFonts w:ascii="Arial" w:cs="Arial" w:eastAsia="Arial" w:hAnsi="Arial"/>
          <w:sz w:val="18"/>
          <w:szCs w:val="18"/>
          <w:color w:val="auto"/>
        </w:rPr>
      </w:pPr>
    </w:p>
    <w:p>
      <w:pPr>
        <w:jc w:val="both"/>
        <w:ind w:left="-460" w:firstLine="644"/>
        <w:spacing w:after="0" w:line="301" w:lineRule="auto"/>
        <w:tabs>
          <w:tab w:leader="none" w:pos="44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consolidated historical financial statements and schedules of the Company included in the Preliminary Prospectus, the Prospectus and the Registration Statement present fairly in all material respects the financial condition, results of operations and cash flows of the Company as of the dates and for the periods indicated, comply as to form in all material respects with the applicable accounting requirements of the Securities Act and have been prepared in accordance with accounting principles generally accepted in the United States (“U.S. GAAP”).</w:t>
      </w:r>
    </w:p>
    <w:p>
      <w:pPr>
        <w:spacing w:after="0" w:line="157" w:lineRule="exact"/>
        <w:rPr>
          <w:rFonts w:ascii="Arial" w:cs="Arial" w:eastAsia="Arial" w:hAnsi="Arial"/>
          <w:sz w:val="16"/>
          <w:szCs w:val="16"/>
          <w:color w:val="auto"/>
        </w:rPr>
      </w:pPr>
    </w:p>
    <w:p>
      <w:pPr>
        <w:jc w:val="both"/>
        <w:ind w:left="-460" w:firstLine="644"/>
        <w:spacing w:after="0" w:line="273" w:lineRule="auto"/>
        <w:tabs>
          <w:tab w:leader="none" w:pos="51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No action, suit or proceeding by or before any court or governmental agency, authority or body or any arbitrator involving the Company or its property is pending or, to the knowledge of the Company, threatened that (i) would reasonably be expected to have a material adverse effect on the performance of this Agreement or the consummation of any of the transactions contemplated hereby or (ii) could reasonably be expected to have a material adverse effect on the condition (financial or otherwise), prospects, earnings, business or properties of the Company, whether or not arising from transactions in the ordinary course of business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except as set forth in or contemplated in the Disclosure Package and the Prospectus (exclusive of any amendment or supplement thereto).</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78" w:name="page279"/>
    <w:bookmarkEnd w:id="278"/>
    <w:p>
      <w:pPr>
        <w:ind w:left="-460" w:firstLine="644"/>
        <w:spacing w:after="0" w:line="277" w:lineRule="auto"/>
        <w:tabs>
          <w:tab w:leader="none" w:pos="4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leases all such real properties as are reasonably necessary to the conduct of its operations as presently conducted. The Company does not own any real property.</w:t>
      </w:r>
    </w:p>
    <w:p>
      <w:pPr>
        <w:spacing w:after="0" w:line="170" w:lineRule="exact"/>
        <w:rPr>
          <w:rFonts w:ascii="Arial" w:cs="Arial" w:eastAsia="Arial" w:hAnsi="Arial"/>
          <w:sz w:val="18"/>
          <w:szCs w:val="18"/>
          <w:color w:val="auto"/>
        </w:rPr>
      </w:pPr>
    </w:p>
    <w:p>
      <w:pPr>
        <w:jc w:val="both"/>
        <w:ind w:left="-460" w:firstLine="644"/>
        <w:spacing w:after="0" w:line="255" w:lineRule="auto"/>
        <w:tabs>
          <w:tab w:leader="none" w:pos="45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is not in violation or default of (i) any provision of its constitution,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any of its properties, as applicable, except in case of clauses (ii) and (iii), for any such violation or default as would not reasonably expected, individually or in the aggregate, to have a Material Adverse Effect.</w:t>
      </w:r>
    </w:p>
    <w:p>
      <w:pPr>
        <w:spacing w:after="0" w:line="192" w:lineRule="exact"/>
        <w:rPr>
          <w:rFonts w:ascii="Arial" w:cs="Arial" w:eastAsia="Arial" w:hAnsi="Arial"/>
          <w:sz w:val="18"/>
          <w:szCs w:val="18"/>
          <w:color w:val="auto"/>
        </w:rPr>
      </w:pPr>
    </w:p>
    <w:p>
      <w:pPr>
        <w:jc w:val="both"/>
        <w:ind w:left="-460" w:firstLine="644"/>
        <w:spacing w:after="0" w:line="286" w:lineRule="auto"/>
        <w:tabs>
          <w:tab w:leader="none" w:pos="47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Mayer Hoffman McCann P.C., who have issued their audit report with respect to the consolidated financial statements of the Company and its affiliates included in the Disclosure Package and the Prospectus, are independent public accountants with respect to the Company and its affiliates within the meaning of the Securities Act and the applicable published rules and regulations thereunder.</w:t>
      </w:r>
    </w:p>
    <w:p>
      <w:pPr>
        <w:spacing w:after="0" w:line="165" w:lineRule="exact"/>
        <w:rPr>
          <w:sz w:val="20"/>
          <w:szCs w:val="20"/>
          <w:color w:val="auto"/>
        </w:rPr>
      </w:pPr>
    </w:p>
    <w:p>
      <w:pPr>
        <w:jc w:val="both"/>
        <w:ind w:left="-460" w:firstLine="644"/>
        <w:spacing w:after="0" w:line="273" w:lineRule="auto"/>
        <w:tabs>
          <w:tab w:leader="none" w:pos="51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Company has filed all tax returns that are required to be filed or has requested extensions thereof, except in any case in which the failure so to file would not have a Material Adverse Effect, except as set forth in or contemplated in the Disclosure Package and the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 (exclusive of any amendment or supplement thereto).</w:t>
      </w:r>
    </w:p>
    <w:p>
      <w:pPr>
        <w:spacing w:after="0" w:line="177" w:lineRule="exact"/>
        <w:rPr>
          <w:rFonts w:ascii="Arial" w:cs="Arial" w:eastAsia="Arial" w:hAnsi="Arial"/>
          <w:sz w:val="17"/>
          <w:szCs w:val="17"/>
          <w:color w:val="auto"/>
        </w:rPr>
      </w:pPr>
    </w:p>
    <w:p>
      <w:pPr>
        <w:jc w:val="both"/>
        <w:ind w:left="-460" w:firstLine="644"/>
        <w:spacing w:after="0" w:line="269" w:lineRule="auto"/>
        <w:tabs>
          <w:tab w:leader="none" w:pos="53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With respect to the Company, except as set forth in or contemplated in the Disclosure Package and the Prospectus (exclusive of any amendment or supplement thereto): (i) no labor problem, dispute, slowdown, work stoppage or disturbance involving any employees of it exists or, to the Company’s knowledge is threatened or imminent, and it is not aware of any existing or imminent labor problem, dispute, slowdown, work stoppage or disturbance by the employees of any of its or its principal suppliers, contractors or customers, that could have a Material Adverse Effect; and (ii) compliance subsists for all its obligations under employment contracts, industrial agreements and awards and with all codes of conduct and practice relevant to conditions of service and to the relations between it and the employees employed by it, except as would not, individually or in the aggregate, reasonably be expected to have a Material Adverse Effect. The term “taxes” mean all net income, gross income, gross receipts, sales, use, ad valorem, transfer, franchise, profits, license, lease, withholding, payroll, employment, excise, severance, stamp, occupation, premium, property, windfall profits, customs, duties or other taxes, fees, assessments, or charges of any kind whatever imposed by the U.S., the European Union, Italy or any Italian subdivision or local authority, together with any interest and any penalties, additions to tax, or additional amounts with respect thereto.</w:t>
      </w:r>
    </w:p>
    <w:p>
      <w:pPr>
        <w:spacing w:after="0" w:line="1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79" w:name="page280"/>
    <w:bookmarkEnd w:id="279"/>
    <w:p>
      <w:pPr>
        <w:jc w:val="both"/>
        <w:ind w:left="-460" w:firstLine="644"/>
        <w:spacing w:after="0" w:line="270" w:lineRule="auto"/>
        <w:tabs>
          <w:tab w:leader="none" w:pos="51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Company is insured by insurers of recognized financial responsibility against such losses and risks and in such amounts as the Company reasonably believes are prudent and customary in the business in which it is engaged; all policies of insurance insuring the Company or its business, assets, employees, officers and directors are in full force and effect; the Company is in compliance with the terms of such policies and instruments in all material respects; and there are no material claims by the Company under any such policy or instrument as to which any insurance company is denying liability or defending under a reservation of rights clause;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Disclosure Package and the Prospectus (exclusive of any amendment or supplement thereto).</w:t>
      </w:r>
    </w:p>
    <w:p>
      <w:pPr>
        <w:spacing w:after="0" w:line="180" w:lineRule="exact"/>
        <w:rPr>
          <w:rFonts w:ascii="Arial" w:cs="Arial" w:eastAsia="Arial" w:hAnsi="Arial"/>
          <w:sz w:val="17"/>
          <w:szCs w:val="17"/>
          <w:color w:val="auto"/>
        </w:rPr>
      </w:pPr>
    </w:p>
    <w:p>
      <w:pPr>
        <w:jc w:val="both"/>
        <w:ind w:left="-460" w:firstLine="644"/>
        <w:spacing w:after="0" w:line="253" w:lineRule="auto"/>
        <w:tabs>
          <w:tab w:leader="none" w:pos="56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possesses all licenses, sub-licenses, certificates, permits and other authorizations issued by, and have made all declarations and filings with, all applicable federal, state, local or foreign governmental or other authorities that are necessary to conduct its business (“</w:t>
      </w:r>
      <w:r>
        <w:rPr>
          <w:rFonts w:ascii="Arial" w:cs="Arial" w:eastAsia="Arial" w:hAnsi="Arial"/>
          <w:sz w:val="18"/>
          <w:szCs w:val="18"/>
          <w:u w:val="single" w:color="auto"/>
          <w:color w:val="auto"/>
        </w:rPr>
        <w:t>Permits</w:t>
      </w:r>
      <w:r>
        <w:rPr>
          <w:rFonts w:ascii="Arial" w:cs="Arial" w:eastAsia="Arial" w:hAnsi="Arial"/>
          <w:sz w:val="18"/>
          <w:szCs w:val="18"/>
          <w:color w:val="auto"/>
        </w:rPr>
        <w:t>”), except where the failure to possess such Permit would not, individually or in the aggregate, reasonably be expected to have a Material Adverse Effect. The Company is not in violation of, or in default under, any of the Permits nor has received any revocation, suspension or modification of any such Permit which, singly or in the aggregate, if the subject of an unfavorable decision, ruling or finding, would reasonably be expected to have a Material Adverse Effect, except as set forth in or contemplated in the Disclosure Package and the Prospectus (exclusive of any amendment or supplement thereto). The Company has not received any notice that any such Permit will not be renewed in the ordinary course, and, except as would not, individually or in the aggregate, reasonably be expected to have a Material Adverse Effect, all Permits are valid and in full force.</w:t>
      </w:r>
    </w:p>
    <w:p>
      <w:pPr>
        <w:spacing w:after="0" w:line="196" w:lineRule="exact"/>
        <w:rPr>
          <w:rFonts w:ascii="Arial" w:cs="Arial" w:eastAsia="Arial" w:hAnsi="Arial"/>
          <w:sz w:val="18"/>
          <w:szCs w:val="18"/>
          <w:color w:val="auto"/>
        </w:rPr>
      </w:pPr>
    </w:p>
    <w:p>
      <w:pPr>
        <w:jc w:val="both"/>
        <w:ind w:left="-460" w:firstLine="644"/>
        <w:spacing w:after="0" w:line="254" w:lineRule="auto"/>
        <w:tabs>
          <w:tab w:leader="none" w:pos="52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Disclosure Package and the Prospectus, the Company’s internal controls over financial reporting are effective and the Company is not aware of any material weakness in its internal controls over financial reporting.</w:t>
      </w:r>
    </w:p>
    <w:p>
      <w:pPr>
        <w:spacing w:after="0" w:line="194" w:lineRule="exact"/>
        <w:rPr>
          <w:rFonts w:ascii="Arial" w:cs="Arial" w:eastAsia="Arial" w:hAnsi="Arial"/>
          <w:sz w:val="18"/>
          <w:szCs w:val="18"/>
          <w:color w:val="auto"/>
        </w:rPr>
      </w:pPr>
    </w:p>
    <w:p>
      <w:pPr>
        <w:jc w:val="both"/>
        <w:ind w:left="-460" w:firstLine="644"/>
        <w:spacing w:after="0" w:line="301" w:lineRule="auto"/>
        <w:tabs>
          <w:tab w:leader="none" w:pos="48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Securities and Exchange Act 1934, as amended, and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w:t>
      </w:r>
    </w:p>
    <w:p>
      <w:pPr>
        <w:spacing w:after="0" w:line="1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80" w:name="page281"/>
    <w:bookmarkEnd w:id="280"/>
    <w:p>
      <w:pPr>
        <w:jc w:val="both"/>
        <w:ind w:left="-460" w:firstLine="644"/>
        <w:spacing w:after="0" w:line="270" w:lineRule="auto"/>
        <w:tabs>
          <w:tab w:leader="none" w:pos="54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Company is (i) in compliance with any and all applicable foreign, federal, state and local laws and regulations relating to the protection of human health and safety, the environment or hazardous or toxic substances or wastes, pollutants or contaminants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has received and is in compliance with all permits, licenses or other approvals required of them under applicable Environmental Laws to conduct its business and (iii) has not received notice of any actual or potential liability under any environmental law, except in each case where such non-compliance with Environmental Laws, failure to receive required permits, licenses or other approvals, or liability would not, individually or in the aggregate, have a Material Adverse Effect, except as set forth in or contemplated in the Disclosure Package and the Prospectus (exclusive of any amendment or supplement thereto). Except as set forth in the Disclosure Package and the Prospectus, the Company has not been named as a “potentially responsible party” under the Comprehensive Environmental Response, Compensation, and Liability Act of 1980, as amended.</w:t>
      </w:r>
    </w:p>
    <w:p>
      <w:pPr>
        <w:spacing w:after="0" w:line="180" w:lineRule="exact"/>
        <w:rPr>
          <w:rFonts w:ascii="Arial" w:cs="Arial" w:eastAsia="Arial" w:hAnsi="Arial"/>
          <w:sz w:val="17"/>
          <w:szCs w:val="17"/>
          <w:color w:val="auto"/>
        </w:rPr>
      </w:pPr>
    </w:p>
    <w:p>
      <w:pPr>
        <w:jc w:val="both"/>
        <w:ind w:left="-460" w:firstLine="644"/>
        <w:spacing w:after="0" w:line="311" w:lineRule="auto"/>
        <w:tabs>
          <w:tab w:leader="none" w:pos="54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thereunder, that are then in effect and with which the Company is required to comply as of the effectiveness of the Registration Statement.</w:t>
      </w:r>
    </w:p>
    <w:p>
      <w:pPr>
        <w:spacing w:after="0" w:line="148" w:lineRule="exact"/>
        <w:rPr>
          <w:rFonts w:ascii="Arial" w:cs="Arial" w:eastAsia="Arial" w:hAnsi="Arial"/>
          <w:sz w:val="16"/>
          <w:szCs w:val="16"/>
          <w:color w:val="auto"/>
        </w:rPr>
      </w:pPr>
    </w:p>
    <w:p>
      <w:pPr>
        <w:jc w:val="both"/>
        <w:ind w:left="-460" w:firstLine="644"/>
        <w:spacing w:after="0" w:line="288" w:lineRule="auto"/>
        <w:tabs>
          <w:tab w:leader="none" w:pos="45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director, officer, agent, employee, affiliate or other person acting on behalf of the Company (i) has used any corporate funds for any unlawful contribution, gift, entertainment or other unlawful expense relating to political activity; (ii) has made any direct or indirect unlawful payment to any foreign or domestic government official or employee (including of any government owned or controlled entity, or any person acting in an official capacity for or on behalf of any of the foregoing) from corporate funds; or (iii) has made any bribe, rebate, payoff, influence payment, kickback or other unlawful payment, or (iv) is aware of or has taken any action, directly or indirectly, that could result in a violation or a sanction for violation by such persons of the U.S. Foreign Corrupt Practices Act of 1977, the U.K. Bribery Act 2010, OECD Convention on Combating Bribery of Foreign Public Officials in International Business Transactions, or any other applicable anti-bribery or anti-corruption law, each as may be amended, or the rules or regulations thereunder (collectively,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and the Company has instituted and maintains policies and procedures to ensure compliance with the Anti-Corruption Laws. No part of the proceeds of the offering will be used, directly or indirectly, in violation of the Anti-Corruption Laws.</w:t>
      </w:r>
    </w:p>
    <w:p>
      <w:pPr>
        <w:spacing w:after="0" w:line="168" w:lineRule="exact"/>
        <w:rPr>
          <w:rFonts w:ascii="Arial" w:cs="Arial" w:eastAsia="Arial" w:hAnsi="Arial"/>
          <w:sz w:val="16"/>
          <w:szCs w:val="16"/>
          <w:color w:val="auto"/>
        </w:rPr>
      </w:pPr>
    </w:p>
    <w:p>
      <w:pPr>
        <w:jc w:val="both"/>
        <w:ind w:left="-460" w:firstLine="644"/>
        <w:spacing w:after="0" w:line="296" w:lineRule="auto"/>
        <w:tabs>
          <w:tab w:leader="none" w:pos="45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operations of the Company are and have been conducted at all times in compliance with applicable financial recordkeeping and reporting requirements and the money laundering statutes of all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6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81" w:name="page282"/>
    <w:bookmarkEnd w:id="281"/>
    <w:p>
      <w:pPr>
        <w:jc w:val="both"/>
        <w:ind w:left="-460" w:firstLine="644"/>
        <w:spacing w:after="0" w:line="268" w:lineRule="auto"/>
        <w:tabs>
          <w:tab w:leader="none" w:pos="53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director, officer, agent, employee or affiliate of the Company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and the Italian Department of the Treasury)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and such persons, “</w:t>
      </w:r>
      <w:r>
        <w:rPr>
          <w:rFonts w:ascii="Arial" w:cs="Arial" w:eastAsia="Arial" w:hAnsi="Arial"/>
          <w:sz w:val="17"/>
          <w:szCs w:val="17"/>
          <w:u w:val="single" w:color="auto"/>
          <w:color w:val="auto"/>
        </w:rPr>
        <w:t>Sanctioned Persons</w:t>
      </w:r>
      <w:r>
        <w:rPr>
          <w:rFonts w:ascii="Arial" w:cs="Arial" w:eastAsia="Arial" w:hAnsi="Arial"/>
          <w:sz w:val="17"/>
          <w:szCs w:val="17"/>
          <w:color w:val="auto"/>
        </w:rPr>
        <w:t>” and each such person, a “</w:t>
      </w:r>
      <w:r>
        <w:rPr>
          <w:rFonts w:ascii="Arial" w:cs="Arial" w:eastAsia="Arial" w:hAnsi="Arial"/>
          <w:sz w:val="17"/>
          <w:szCs w:val="17"/>
          <w:u w:val="single" w:color="auto"/>
          <w:color w:val="auto"/>
        </w:rPr>
        <w:t>Sanctioned Person</w:t>
      </w:r>
      <w:r>
        <w:rPr>
          <w:rFonts w:ascii="Arial" w:cs="Arial" w:eastAsia="Arial" w:hAnsi="Arial"/>
          <w:sz w:val="17"/>
          <w:szCs w:val="17"/>
          <w:color w:val="auto"/>
        </w:rPr>
        <w:t>”), (ii) is located, organized or resident in a country or territory that is, or whose government is, the subject of Sanctions that broadly prohibit dealings with that country or territory (currently, the Crimea region, Cuba, Iran, North Korea, and Syria) (collectively, “</w:t>
      </w:r>
      <w:r>
        <w:rPr>
          <w:rFonts w:ascii="Arial" w:cs="Arial" w:eastAsia="Arial" w:hAnsi="Arial"/>
          <w:sz w:val="17"/>
          <w:szCs w:val="17"/>
          <w:u w:val="single" w:color="auto"/>
          <w:color w:val="auto"/>
        </w:rPr>
        <w:t>Sanctioned Countries</w:t>
      </w:r>
      <w:r>
        <w:rPr>
          <w:rFonts w:ascii="Arial" w:cs="Arial" w:eastAsia="Arial" w:hAnsi="Arial"/>
          <w:sz w:val="17"/>
          <w:szCs w:val="17"/>
          <w:color w:val="auto"/>
        </w:rPr>
        <w:t>” and each, a “</w:t>
      </w:r>
      <w:r>
        <w:rPr>
          <w:rFonts w:ascii="Arial" w:cs="Arial" w:eastAsia="Arial" w:hAnsi="Arial"/>
          <w:sz w:val="17"/>
          <w:szCs w:val="17"/>
          <w:u w:val="single" w:color="auto"/>
          <w:color w:val="auto"/>
        </w:rPr>
        <w:t>Sanctioned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Country</w:t>
      </w:r>
      <w:r>
        <w:rPr>
          <w:rFonts w:ascii="Arial" w:cs="Arial" w:eastAsia="Arial" w:hAnsi="Arial"/>
          <w:sz w:val="17"/>
          <w:szCs w:val="17"/>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6" w:lineRule="exact"/>
        <w:rPr>
          <w:rFonts w:ascii="Arial" w:cs="Arial" w:eastAsia="Arial" w:hAnsi="Arial"/>
          <w:sz w:val="17"/>
          <w:szCs w:val="17"/>
          <w:color w:val="auto"/>
        </w:rPr>
      </w:pPr>
    </w:p>
    <w:p>
      <w:pPr>
        <w:jc w:val="both"/>
        <w:ind w:left="-460" w:firstLine="644"/>
        <w:spacing w:after="0" w:line="263" w:lineRule="auto"/>
        <w:tabs>
          <w:tab w:leader="none" w:pos="48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has not engaged in any dealings or transactions with or for the benefit of a Sanctioned Person, or with or in a Sanctioned Country, in the preceding three years, nor does the Company have any plans to engage in dealings or transactions with or for the benefit of a Sanctioned Person, or with or in a Sanctioned Country.</w:t>
      </w:r>
    </w:p>
    <w:p>
      <w:pPr>
        <w:spacing w:after="0" w:line="183" w:lineRule="exact"/>
        <w:rPr>
          <w:rFonts w:ascii="Arial" w:cs="Arial" w:eastAsia="Arial" w:hAnsi="Arial"/>
          <w:sz w:val="18"/>
          <w:szCs w:val="18"/>
          <w:color w:val="auto"/>
        </w:rPr>
      </w:pPr>
    </w:p>
    <w:p>
      <w:pPr>
        <w:jc w:val="both"/>
        <w:ind w:left="-460" w:firstLine="644"/>
        <w:spacing w:after="0" w:line="285" w:lineRule="auto"/>
        <w:tabs>
          <w:tab w:leader="none" w:pos="64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a Material Adverse Effect, the Company owns, possesses, licenses or has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for the conduct of the Company’s business as now conducted or as proposed in the Disclosure Package and Prospectus to be conducted. Except as set forth in the Disclosure Package and the Prospectus under the captions “Risk Factors—Risks Relating to Intellectual Property” and “Business—Intellectual Property,” or as would not reasonably be expected to result in a Material Adverse Effect (a) there are no rights of third parties to any such Intellectual Property; (b) to the Company’s knowledge, there is no material infringement by third parties of any such Intellectual Property; (c) there is no pending or, to the knowledge of the Company, threatened action, suit, proceeding or claim by others challenging the Company’s rights in or to any such Intellectual Property, and the Company is unaware of any facts which would form a reasonable basis for any such claim; (d) there is no pending or, to the knowledge of the Company, threatened action, suit, proceeding or claim by others challenging the validity or scope of any such Intellectual Property, and the Company is unaware of any facts which would form a reasonable basis for any such claim; (e) there is no pending or, to the knowledge of the Company, threatened action, suit, proceeding or claim by others that the Company infringes or otherwise violates any patent, trademark, copyright, trade secret or other proprietary rights of others, and the Company is unaware of any other fact which would form a reasonable basis for any such claim; (f) to the Company’s knowledge, there is no prior art of which the Company is aware that may render any U.S. patent held by the Company invalid or any U.S. patent application held by the Company un-patentable which has not been disclosed to the U.S. Patent and Trademark Office.</w:t>
      </w:r>
    </w:p>
    <w:p>
      <w:pPr>
        <w:spacing w:after="0" w:line="1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82" w:name="page283"/>
    <w:bookmarkEnd w:id="282"/>
    <w:p>
      <w:pPr>
        <w:jc w:val="both"/>
        <w:ind w:left="4" w:firstLine="644"/>
        <w:spacing w:after="0" w:line="286" w:lineRule="auto"/>
        <w:tabs>
          <w:tab w:leader="none" w:pos="101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Disclosure Package and the Prospectus, the Company (i) does not have any material lending or other relationship with any bank or lending affiliate of Roth Capital Partners, LLC and (ii) does not intend to use any of the proceeds from the sale of the Securities hereunder to repay any outstanding debt owed to any affiliate of Roth Capital Partners, LLC.</w:t>
      </w:r>
    </w:p>
    <w:p>
      <w:pPr>
        <w:spacing w:after="0" w:line="165" w:lineRule="exact"/>
        <w:rPr>
          <w:rFonts w:ascii="Arial" w:cs="Arial" w:eastAsia="Arial" w:hAnsi="Arial"/>
          <w:sz w:val="17"/>
          <w:szCs w:val="17"/>
          <w:color w:val="auto"/>
        </w:rPr>
      </w:pPr>
    </w:p>
    <w:p>
      <w:pPr>
        <w:ind w:left="4" w:firstLine="644"/>
        <w:spacing w:after="0" w:line="342" w:lineRule="auto"/>
        <w:tabs>
          <w:tab w:leader="none" w:pos="102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Neither the Company nor any of its properties or assets has any immunity from the jurisdiction of any court or from any legal process (whether through service or notice, attachment prior to judgment, attachment in aid of execution or otherwise) under the laws of Italy.</w:t>
      </w:r>
    </w:p>
    <w:p>
      <w:pPr>
        <w:spacing w:after="0" w:line="123" w:lineRule="exact"/>
        <w:rPr>
          <w:rFonts w:ascii="Arial" w:cs="Arial" w:eastAsia="Arial" w:hAnsi="Arial"/>
          <w:sz w:val="16"/>
          <w:szCs w:val="16"/>
          <w:color w:val="auto"/>
        </w:rPr>
      </w:pPr>
    </w:p>
    <w:p>
      <w:pPr>
        <w:jc w:val="both"/>
        <w:ind w:left="4" w:firstLine="644"/>
        <w:spacing w:after="0" w:line="283" w:lineRule="auto"/>
        <w:tabs>
          <w:tab w:leader="none" w:pos="1019"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Company is, and at all times has been, in material compliance with all applicable Health Care Laws. For purposes of this Agreement, “</w:t>
      </w:r>
      <w:r>
        <w:rPr>
          <w:rFonts w:ascii="Arial" w:cs="Arial" w:eastAsia="Arial" w:hAnsi="Arial"/>
          <w:sz w:val="16"/>
          <w:szCs w:val="16"/>
          <w:u w:val="single" w:color="auto"/>
          <w:color w:val="auto"/>
        </w:rPr>
        <w:t>Health Care Laws</w:t>
      </w:r>
      <w:r>
        <w:rPr>
          <w:rFonts w:ascii="Arial" w:cs="Arial" w:eastAsia="Arial" w:hAnsi="Arial"/>
          <w:sz w:val="16"/>
          <w:szCs w:val="16"/>
          <w:color w:val="auto"/>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w:t>
      </w:r>
    </w:p>
    <w:p>
      <w:pPr>
        <w:spacing w:after="0" w:line="3" w:lineRule="exact"/>
        <w:rPr>
          <w:rFonts w:ascii="Arial" w:cs="Arial" w:eastAsia="Arial" w:hAnsi="Arial"/>
          <w:sz w:val="16"/>
          <w:szCs w:val="16"/>
          <w:color w:val="auto"/>
        </w:rPr>
      </w:pPr>
    </w:p>
    <w:p>
      <w:pPr>
        <w:jc w:val="both"/>
        <w:ind w:left="4" w:hanging="4"/>
        <w:spacing w:after="0" w:line="284" w:lineRule="auto"/>
        <w:tabs>
          <w:tab w:leader="none" w:pos="32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all other local, state, federal, national, supranational and foreign laws, relating to the clinical drug development activities conducted by the Company, and (vii) the directives and regulations promulgated pursuant to such statutes and any state or non-U.S. counterpart thereof. The Company has not received any FDA Form 483, notice of adverse finding, warning letter, untitled letter or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has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or were corrected or supplemented by a subsequent submission, except as would not cause a Material Adverse Effect. The Company is not a party to any corporate integrity agreement, monitoring agreement, consent decree, settlement order, or similar agreement with or imposed by any governmental or regulatory authority. Additionally, neither the Company, nor any of its employees, officers, directors or, to the Company’s knowledge, agents, has been excluded, suspended or debarred from participation in any U.S. federal health care program or human clinical research or, to Company’s knowledge, is subject to a governmental inquiry, investigation, proceeding, or other similar action that could reasonably be expected to result in debarment, suspension, or exclusion.</w:t>
      </w:r>
    </w:p>
    <w:p>
      <w:pPr>
        <w:spacing w:after="0" w:line="17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283" w:name="page284"/>
    <w:bookmarkEnd w:id="283"/>
    <w:p>
      <w:pPr>
        <w:jc w:val="both"/>
        <w:ind w:left="-460" w:firstLine="644"/>
        <w:spacing w:after="0" w:line="284" w:lineRule="auto"/>
        <w:tabs>
          <w:tab w:leader="none" w:pos="5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Company’s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are adequate for, and operate and perform as required in connection with the operation of the business of the Company as currently conducted, free and clear of all bugs, errors, defects, Trojan horses, time bombs, malware and other corruptants, except as would not reasonably be expected to result in a Material Adverse Effect. The Company has implemented and maintains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its business.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(EU 2016/679);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Personal Data, except for those that have been remedied without material cost or liability or the duty to notify any other person, nor any incidents under internal review or investigations relating to the same. The Company has been and is presently in material compliance with all applicable laws, directives, or statutes and all judgments, orders, rules and regulations of any court or arbitrator or governmental or regulatory authority, internal policies and contractual obligations relating to the privacy and security of IT Systems and Data, including Personal Data and to the protection of such IT Systems and Data and Personal Data from unauthorized use, access, misappropriation or modification, except as would not reasonably be expected to result in a Material Adverse Effect. There has been no security breach or other material compromise of or relating to any of the Company’s IT Systems and Data and the Company has not been notified of, and has no knowledge of any event or condition that would reasonably be expected to result in, any security breach or other material compromise to its IT Systems and Data, except for any breaches or compromises that would not, individually or in the aggregate, reasonably be expected to result in a Material Adverse Effect.</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84" w:name="page285"/>
    <w:bookmarkEnd w:id="284"/>
    <w:p>
      <w:pPr>
        <w:jc w:val="both"/>
        <w:ind w:left="-460" w:firstLine="644"/>
        <w:spacing w:after="0" w:line="287" w:lineRule="auto"/>
        <w:tabs>
          <w:tab w:leader="none" w:pos="47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Company is, and has at all times been, in material compliance with all applicable data privacy and security laws and regulations of any court or arbitrator or governmental or regulatory authority, internal policies and contractual obligations regarding the privacy and security of IT Systems and Data and Personal Data (collectively, the “</w:t>
      </w:r>
      <w:r>
        <w:rPr>
          <w:rFonts w:ascii="Arial" w:cs="Arial" w:eastAsia="Arial" w:hAnsi="Arial"/>
          <w:sz w:val="16"/>
          <w:szCs w:val="16"/>
          <w:u w:val="single" w:color="auto"/>
          <w:color w:val="auto"/>
        </w:rPr>
        <w:t>Privacy Laws</w:t>
      </w:r>
      <w:r>
        <w:rPr>
          <w:rFonts w:ascii="Arial" w:cs="Arial" w:eastAsia="Arial" w:hAnsi="Arial"/>
          <w:sz w:val="16"/>
          <w:szCs w:val="16"/>
          <w:color w:val="auto"/>
        </w:rPr>
        <w:t>”), except as would not, individually or in the aggregate, result in a Material Adverse Effect. To ensure compliance with the Privacy Laws, the Company has in place, complies with, and takes appropriate steps reasonably designed to ensure compliance in all material respects with its policies and contractual obligations governing the collection, storage, use, disclosure, handling and analysis of Personal Data. The Company has at all times made all material disclosures to users or customers required by the Privacy Laws, except as would not, individually or in the aggregate, result in a Material Adverse Effect. The Company further certifies that the Company: (i) has not received notice of, any actual or potential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Laws; or (iii) is not a party to any order, decree, or agreement that imposes any obligation or liability under any Privacy Law, except with respect to subsection (i), (ii) and (iii) as would not, individually or in the aggregate, result in a Material Adverse Effect.</w:t>
      </w:r>
    </w:p>
    <w:p>
      <w:pPr>
        <w:spacing w:after="0" w:line="167" w:lineRule="exact"/>
        <w:rPr>
          <w:rFonts w:ascii="Arial" w:cs="Arial" w:eastAsia="Arial" w:hAnsi="Arial"/>
          <w:sz w:val="16"/>
          <w:szCs w:val="16"/>
          <w:color w:val="auto"/>
        </w:rPr>
      </w:pPr>
    </w:p>
    <w:p>
      <w:pPr>
        <w:jc w:val="both"/>
        <w:ind w:left="-460" w:firstLine="644"/>
        <w:spacing w:after="0" w:line="268" w:lineRule="auto"/>
        <w:tabs>
          <w:tab w:leader="none" w:pos="50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preclinical studies and clinical trials that are described in the Registration Statement, the Disclosure Package or the Prospectus (collectively, “</w:t>
      </w:r>
      <w:r>
        <w:rPr>
          <w:rFonts w:ascii="Arial" w:cs="Arial" w:eastAsia="Arial" w:hAnsi="Arial"/>
          <w:sz w:val="17"/>
          <w:szCs w:val="17"/>
          <w:u w:val="single" w:color="auto"/>
          <w:color w:val="auto"/>
        </w:rPr>
        <w:t>Studies</w:t>
      </w:r>
      <w:r>
        <w:rPr>
          <w:rFonts w:ascii="Arial" w:cs="Arial" w:eastAsia="Arial" w:hAnsi="Arial"/>
          <w:sz w:val="17"/>
          <w:szCs w:val="17"/>
          <w:color w:val="auto"/>
        </w:rPr>
        <w:t>”) were conducted by or, to the knowledge of the Company, on behalf of the Company were and, if still ongoing, are being conducted in all material respects in accordance with the protocols, procedures and controls designed for such Studies and pursuant to, where applicable, accepted professional scientific standards; the descriptions of the results of such studies contained in the Registration Statement, the Disclosure Package or the Prospectus are accurate and complete and fairly present the data derived from such Studies, in each case in all material respects, and the Company has no knowledge of any other Studies the results of which are materially inconsistent with, or otherwise call into question, the results described or referred to in the Registration Statement, the Disclosure Package or the Prospectus; the Company has made all such filings and obtained all such approvals as may be required by the United States Food and Drug Administration (“FDA”) or any committee thereof, the European Medicines Agency (“EMA”) or any committee thereof, or from any other U.S. or foreign government or drug or medical device regulatory agency, or health care facility Institutional Review Board (collectively, the “Regulatory Agencies”), except as would not, individually or in the aggregate, reasonably be expected to result in a Material Adverse Effect; the Company has not received any notice from, or correspondence from, any Regulatory Agency requiring the termination, suspension or material modification of any Studies conducted by or on behalf of the Company; and the Company is in compliance in all material respects with all applicable rules, regulations and policies of the Regulatory Agencies.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85" w:name="page286"/>
    <w:bookmarkEnd w:id="285"/>
    <w:p>
      <w:pPr>
        <w:jc w:val="both"/>
        <w:ind w:left="-460" w:firstLine="644"/>
        <w:spacing w:after="0" w:line="269" w:lineRule="auto"/>
        <w:tabs>
          <w:tab w:leader="none" w:pos="46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has generally enjoyed a satisfactory employer-employee relationship with its employees and is in compliance in all material respects with all collective and individual contracts with or involving its employees and with all European Union laws applicable to Italian companies and Italian national, and local laws and regulations respecting the employment of its employees and employment practices, terms and conditions of employment and wages and hours relating thereto and, to the knowledge of the Company, there is no dispute with any employee existing or threatened, which dispute would have a Material Adverse Effect. There are no pending investigations involving the Company, its employees or any collective bargaining organization by any other governmental agency responsible for the enforcement of European Union, Italian national, and local laws and regulations or collective bargaining agreements. There is no unfair labor practice charge or complaint against the Company or any officer of the Company, pending before any regulatory authority, or any strike, picketing, boycott, dispute, slowdown or stoppage pending or threatened against or involving the Company or any officer of the Company, or any predecessor entity, and none has ever occurred. No question concerning representation exists respecting the employees of the Company and no collective bargaining agreement or modification thereof is currently being negotiated by the Company. No grievance or arbitration proceeding is pending under any expired or existing collective bargaining agreements of the Company, if any.</w:t>
      </w:r>
    </w:p>
    <w:p>
      <w:pPr>
        <w:spacing w:after="0" w:line="179" w:lineRule="exact"/>
        <w:rPr>
          <w:sz w:val="20"/>
          <w:szCs w:val="20"/>
          <w:color w:val="auto"/>
        </w:rPr>
      </w:pPr>
    </w:p>
    <w:p>
      <w:pPr>
        <w:jc w:val="both"/>
        <w:ind w:left="-460" w:firstLine="644"/>
        <w:spacing w:after="0" w:line="296" w:lineRule="auto"/>
        <w:tabs>
          <w:tab w:leader="none" w:pos="60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All translations of each agreement, document or other writing provided by the Company for use by the Representatives or for use as exhibits to the Registration Statement which the Company reasonably believes (i) have been provided by parties whom the Company believes are reliable in their capacity to fairly and accurately translate such documents, and (ii) fairly and accurately represent the provisions of the original versions of the documents which they represent. To the extent such translations were provided by others, nothing has come to attention of officers of the Company familiar with such documents that causes them to believe the translations provided are inaccurate in any material respect.</w:t>
      </w:r>
    </w:p>
    <w:p>
      <w:pPr>
        <w:spacing w:after="0" w:line="161" w:lineRule="exact"/>
        <w:rPr>
          <w:rFonts w:ascii="Arial" w:cs="Arial" w:eastAsia="Arial" w:hAnsi="Arial"/>
          <w:sz w:val="16"/>
          <w:szCs w:val="16"/>
          <w:color w:val="auto"/>
        </w:rPr>
      </w:pPr>
    </w:p>
    <w:p>
      <w:pPr>
        <w:jc w:val="both"/>
        <w:ind w:left="-460" w:firstLine="644"/>
        <w:spacing w:after="0" w:line="272" w:lineRule="auto"/>
        <w:tabs>
          <w:tab w:leader="none" w:pos="53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choice of laws of the State of New York as the governing law of this Agreement is a valid choice of law under the laws of Italy and will be honored by the courts of Italy, subject to the restrictions described under the caption “Enforcement of Civil Liabilities” in the Registration Statement and the Prospectus. 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recognized by the courts of Italy, without reconsideration or reexamination of the merits, subject to the restrictions described under the caption “Enforcement of Civil Liabilities” in the Registration Statement and the Prospectus, and the applicable bankruptcy, insolvency, reorganization or similar laws affecting the rights of creditors and secured parties in general.</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86" w:name="page287"/>
    <w:bookmarkEnd w:id="286"/>
    <w:p>
      <w:pPr>
        <w:jc w:val="both"/>
        <w:ind w:left="660" w:firstLine="644"/>
        <w:spacing w:after="0" w:line="270" w:lineRule="auto"/>
        <w:tabs>
          <w:tab w:leader="none" w:pos="167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Except as provided by laws or statutes generally applicable to transactions of the type described in this Agreement, neither the Company nor any of its respective properties, assets or revenues has any right of immunity under Italian, New York or United States law, from any legal action, suit or proceeding, from the giving of any relief in any such legal action, suit or proceeding, from set-off or counterclaim, from the jurisdiction of any Italian,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w:t>
      </w:r>
    </w:p>
    <w:p>
      <w:pPr>
        <w:spacing w:after="0" w:line="180" w:lineRule="exact"/>
        <w:rPr>
          <w:rFonts w:ascii="Arial" w:cs="Arial" w:eastAsia="Arial" w:hAnsi="Arial"/>
          <w:sz w:val="17"/>
          <w:szCs w:val="17"/>
          <w:color w:val="auto"/>
        </w:rPr>
      </w:pPr>
    </w:p>
    <w:p>
      <w:pPr>
        <w:ind w:left="1620" w:hanging="316"/>
        <w:spacing w:after="0"/>
        <w:tabs>
          <w:tab w:leader="none" w:pos="1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is a “foreign private issuer” as defined in Rule 405 of the Securities Act.</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24" w:lineRule="exact"/>
        <w:rPr>
          <w:sz w:val="20"/>
          <w:szCs w:val="20"/>
          <w:color w:val="auto"/>
        </w:rPr>
      </w:pPr>
    </w:p>
    <w:p>
      <w:pPr>
        <w:ind w:left="1480" w:hanging="176"/>
        <w:spacing w:after="0"/>
        <w:tabs>
          <w:tab w:leader="none" w:pos="148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6" w:lineRule="auto"/>
        <w:tabs>
          <w:tab w:leader="none" w:pos="156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and in reliance upon the representations and warranties herein set forth, the Company agrees to sell to each Underwriter, and each Underwriter agrees, severally and not jointly, to purchase from the Company, at a purchase price of $[●] per ADS, the amount of the Offered ADSs set forth opposite such Underwriter’s name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w:t>
      </w:r>
    </w:p>
    <w:p>
      <w:pPr>
        <w:spacing w:after="0" w:line="165" w:lineRule="exact"/>
        <w:rPr>
          <w:rFonts w:ascii="Arial" w:cs="Arial" w:eastAsia="Arial" w:hAnsi="Arial"/>
          <w:sz w:val="17"/>
          <w:szCs w:val="17"/>
          <w:color w:val="auto"/>
        </w:rPr>
      </w:pPr>
    </w:p>
    <w:p>
      <w:pPr>
        <w:jc w:val="both"/>
        <w:ind w:left="660" w:firstLine="644"/>
        <w:spacing w:after="0" w:line="287" w:lineRule="auto"/>
        <w:tabs>
          <w:tab w:leader="none" w:pos="158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the Company hereby grants an option to the several Underwriters to purchase, severally and not jointly, up to 241,304 Option ADSs at the same purchase price per share as the Underwriters shall pay for the Underwritten ADSs, less an amount per ADS equal to any dividends or distributions declared by the Company and payable on the Ordinary Shares underlying the Underwritten ADSs but not payable on the Ordinary Shares underlying the Option ADSs. Said option may be exercised in whole or in part at any time on or before the 30th day after the date of the Prospectus upon written or telegraphic notice by the Representatives to the Company setting forth the number of Option ADSs as to which the several Underwriters are exercising the option and the settlement date. The maximum number of Option ADSs to be sold by the Company is 241,304. In the event that the Underwriters exercise less than their full option to purchase Option ADSs, the number of Option ADSs to be sold by the Company shall be, as nearly as practicable, in the same proportion to each other as are the maximum number of Option ADSs to be sold by the Company and the number of Option ADSs listed opposite their names on Schedule I. The number of Option ADSs to be purchased by each Underwriter shall be the same percentage of the total number of Offered ADSs to be purchased by the several Underwriters as such Underwriter is purchasing of the Underwritten ADSs, subject to such adjustments as you in your absolute discretion shall make to eliminate any fractional ADSs.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7" w:name="page288"/>
    <w:bookmarkEnd w:id="287"/>
    <w:p>
      <w:pPr>
        <w:jc w:val="both"/>
        <w:ind w:firstLine="1304"/>
        <w:spacing w:after="0" w:line="285" w:lineRule="auto"/>
        <w:tabs>
          <w:tab w:leader="none" w:pos="1476"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xml:space="preserve">. Delivery of and payment for the Offered ADSs and the Option ADSs (if the option provided for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shall have been exercised on or before the second Business Day immediately preceding the Closing Date) shall be made on [●], or on such later date not more than two Business Days after the foregoing date as the Representatives shall designate, which date and time may be postponed by agreement among the Representatives and the Company or as provided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(such date and time of delivery and payment for the Securities being called in this Agreement the “</w:t>
      </w:r>
      <w:r>
        <w:rPr>
          <w:rFonts w:ascii="Arial" w:cs="Arial" w:eastAsia="Arial" w:hAnsi="Arial"/>
          <w:sz w:val="16"/>
          <w:szCs w:val="16"/>
          <w:u w:val="single" w:color="auto"/>
          <w:color w:val="auto"/>
        </w:rPr>
        <w:t>Closing Date</w:t>
      </w:r>
      <w:r>
        <w:rPr>
          <w:rFonts w:ascii="Arial" w:cs="Arial" w:eastAsia="Arial" w:hAnsi="Arial"/>
          <w:sz w:val="16"/>
          <w:szCs w:val="16"/>
          <w:color w:val="auto"/>
        </w:rPr>
        <w:t>”) immediately following: (i) the Ordinary Shares underlying Underwritten ADSs have been deposited with the Depositary and the Depositary has confirmed receipt to the Representatives; and (ii) all proceeds of sales made to non-U.S. investors through European members of the selling group (which are to be settled through Auerbach Grayson &amp; Co LLC), net of applicable selling commissions, have been released to Roth Capital Partners, LCC, as sole book-running manager, against delivery of the number of Underwritten ADSs sold by such European selling group members. As used herein, “</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other than a Saturday, a Sunday or a legal holiday or a day on which banking institutions or trust companies are authorized or obligated by law to close in New York City. Delivery of the Underwritten ADSs shall be made to the Representatives for the respective accounts of the several Underwriters against payment by the several Underwriters through the Representatives of the respective aggregate purchase prices of the Underwritten ADSs being sold by the Company to or upon the order of the Company by wire transfer payable in same-day funds to the accounts specified by the Company. Delivery of the Underwritten ADSs shall be made through the facilities of The Depository Trust Company unless the Representatives shall otherwise instruct. For the purposes only of the delivery of the Underwritten ADSs, the parties agree that where an Underwriter has an obligation to on-transfer the Underwritten ADSs to another party, that Underwriter receives delivery of and holds such Underwritten ADSs as bare trustee for the person they are obliged to transfer those Underwritten ADSs to.</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If the option provided for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 is exercised after the second Business Day immediately preceding the Closing Date, the Company will deliver (at the expense of the Company) to Representatives, on the date specified by the Representatives (which shall be within two Business Days after exercise of said option), certificates for the Option ADSs in such names and denominations as the Representatives shall have requested for the respective accounts of the several Underwriters, against payment by the several Underwriters through the Representatives of the purchase price thereof to or upon the order of the Company by wire transfer payable in same-day funds. If settlement for the Option ADSs occurs after the Closing Date, the Company will deliver to the Representatives on the settlement date for the Option ADSs, and the obligation of the Underwriters to purchase the Option ADSs shall be conditioned upon receipt of, supplemental opinions, certificates and letters confirming as of such date the opinions, certificates and letters delivered on the Closing Date pursuant to Section 6 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8" w:name="page289"/>
    <w:bookmarkEnd w:id="288"/>
    <w:p>
      <w:pPr>
        <w:spacing w:after="0" w:line="277" w:lineRule="auto"/>
        <w:rPr>
          <w:sz w:val="20"/>
          <w:szCs w:val="20"/>
          <w:color w:val="auto"/>
        </w:rPr>
      </w:pPr>
      <w:r>
        <w:rPr>
          <w:rFonts w:ascii="Arial" w:cs="Arial" w:eastAsia="Arial" w:hAnsi="Arial"/>
          <w:sz w:val="18"/>
          <w:szCs w:val="18"/>
          <w:color w:val="auto"/>
        </w:rPr>
        <w:t>The Underwritten ADSs shall be registered in such names and in such denominations as the Representatives may request not less than one full business day prior to the applicable Closing Date.</w:t>
      </w:r>
    </w:p>
    <w:p>
      <w:pPr>
        <w:spacing w:after="0" w:line="170" w:lineRule="exact"/>
        <w:rPr>
          <w:sz w:val="20"/>
          <w:szCs w:val="20"/>
          <w:color w:val="auto"/>
        </w:rPr>
      </w:pPr>
    </w:p>
    <w:p>
      <w:pPr>
        <w:ind w:firstLine="1304"/>
        <w:spacing w:after="0" w:line="277" w:lineRule="auto"/>
        <w:tabs>
          <w:tab w:leader="none" w:pos="1476"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Underwritten ADSs for sale to the public as set forth in the Prospectus.</w:t>
      </w:r>
    </w:p>
    <w:p>
      <w:pPr>
        <w:spacing w:after="0" w:line="170" w:lineRule="exact"/>
        <w:rPr>
          <w:rFonts w:ascii="Arial" w:cs="Arial" w:eastAsia="Arial" w:hAnsi="Arial"/>
          <w:sz w:val="18"/>
          <w:szCs w:val="18"/>
          <w:color w:val="auto"/>
        </w:rPr>
      </w:pPr>
    </w:p>
    <w:p>
      <w:pPr>
        <w:ind w:left="1480" w:hanging="176"/>
        <w:spacing w:after="0"/>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The Company agrees with the several Underwriters that:</w:t>
      </w:r>
    </w:p>
    <w:p>
      <w:pPr>
        <w:spacing w:after="0" w:line="225" w:lineRule="exact"/>
        <w:rPr>
          <w:sz w:val="20"/>
          <w:szCs w:val="20"/>
          <w:color w:val="auto"/>
        </w:rPr>
      </w:pPr>
    </w:p>
    <w:p>
      <w:pPr>
        <w:jc w:val="both"/>
        <w:ind w:left="660" w:firstLine="644"/>
        <w:spacing w:after="0" w:line="285" w:lineRule="auto"/>
        <w:tabs>
          <w:tab w:leader="none" w:pos="156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the ADS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SEC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SEC pursuant to Rule 424(b) or when any Rule 462(b) Registration Statement or the ADS Registration Statement shall have been filed with the SEC, (ii) when, prior to termination of the offering of the Securities, any amendment to the Registration Statement or the ADS Registration Statement shall have been filed or become effective, (iii) of any request by the SEC or its staff for any amendment of the Registration Statement, the ADS Registration Statement or any Rule 462(b) Registration Statement, or for any supplement to the Prospectus or for any additional information, (iv) of the issuance by the SEC of any stop order suspending the effectiveness of the Registration Statement or the ADS Registration Statement or of any notice objecting to their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the ADS Registration Statement or a new registration statement and using its best efforts to have such amendment or new registration statement declared effective as soon as practicable.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9" w:name="page290"/>
    <w:bookmarkEnd w:id="289"/>
    <w:p>
      <w:pPr>
        <w:jc w:val="both"/>
        <w:ind w:left="-460" w:firstLine="644"/>
        <w:spacing w:after="0" w:line="255" w:lineRule="auto"/>
        <w:tabs>
          <w:tab w:leader="none" w:pos="46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at any time prior to the filing of the Prospectus pursuant to Rule 424(b),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192" w:lineRule="exact"/>
        <w:rPr>
          <w:rFonts w:ascii="Arial" w:cs="Arial" w:eastAsia="Arial" w:hAnsi="Arial"/>
          <w:sz w:val="18"/>
          <w:szCs w:val="18"/>
          <w:color w:val="auto"/>
        </w:rPr>
      </w:pPr>
    </w:p>
    <w:p>
      <w:pPr>
        <w:jc w:val="both"/>
        <w:ind w:left="-460" w:firstLine="644"/>
        <w:spacing w:after="0" w:line="290" w:lineRule="auto"/>
        <w:tabs>
          <w:tab w:leader="none" w:pos="47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Securities is required to be delivered under the Securities Act (including in circumstances where such requirement may be satisfied pursuant to Rule 172 under the Securities Act (“</w:t>
      </w:r>
      <w:r>
        <w:rPr>
          <w:rFonts w:ascii="Arial" w:cs="Arial" w:eastAsia="Arial" w:hAnsi="Arial"/>
          <w:sz w:val="16"/>
          <w:szCs w:val="16"/>
          <w:u w:val="single" w:color="auto"/>
          <w:color w:val="auto"/>
        </w:rPr>
        <w:t>Rule 172</w:t>
      </w:r>
      <w:r>
        <w:rPr>
          <w:rFonts w:ascii="Arial" w:cs="Arial" w:eastAsia="Arial" w:hAnsi="Arial"/>
          <w:sz w:val="16"/>
          <w:szCs w:val="16"/>
          <w:color w:val="auto"/>
        </w:rPr>
        <w:t xml:space="preserve">”)), any event occurs as a result of which either of the Prospectus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or supplement either of the Prospectus to comply with the Securities Act or the rules thereunder, the Company promptly will (i) notify the Representatives of any such event; (ii) prepare and file with the SEC, subject to the second sentence of paragraph (i)(a) of this </w:t>
      </w:r>
      <w:r>
        <w:rPr>
          <w:rFonts w:ascii="Arial" w:cs="Arial" w:eastAsia="Arial" w:hAnsi="Arial"/>
          <w:sz w:val="16"/>
          <w:szCs w:val="16"/>
          <w:u w:val="single" w:color="auto"/>
          <w:color w:val="auto"/>
        </w:rPr>
        <w:t>Section 5</w:t>
      </w:r>
      <w:r>
        <w:rPr>
          <w:rFonts w:ascii="Arial" w:cs="Arial" w:eastAsia="Arial" w:hAnsi="Arial"/>
          <w:sz w:val="16"/>
          <w:szCs w:val="16"/>
          <w:color w:val="auto"/>
        </w:rPr>
        <w:t>, an amendment or supplement which will correct such statement or omission or effect such compliance; and (iii) supply any supplemented Prospectus to you in such quantities as you may reasonably request.</w:t>
      </w:r>
    </w:p>
    <w:p>
      <w:pPr>
        <w:spacing w:after="0" w:line="165" w:lineRule="exact"/>
        <w:rPr>
          <w:rFonts w:ascii="Arial" w:cs="Arial" w:eastAsia="Arial" w:hAnsi="Arial"/>
          <w:sz w:val="16"/>
          <w:szCs w:val="16"/>
          <w:color w:val="auto"/>
        </w:rPr>
      </w:pPr>
    </w:p>
    <w:p>
      <w:pPr>
        <w:jc w:val="both"/>
        <w:ind w:left="-460" w:firstLine="644"/>
        <w:spacing w:after="0" w:line="279" w:lineRule="auto"/>
        <w:tabs>
          <w:tab w:leader="none" w:pos="45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As soon as practicable, the Company will make generally available to its security holders and to the Representatives an earnings statement or statements of the Company which will satisfy the provisions of Section 11(a) of the Securities Act and Rule 158 under the Securities Act; provided that the Company will be deemed to have furnished such statements to its security holders and the Representatives to the extent such statements are filed on the Commission’s Electronic Data Gathering, Analysis and Retrieval system.</w:t>
      </w:r>
    </w:p>
    <w:p>
      <w:pPr>
        <w:spacing w:after="0" w:line="171" w:lineRule="exact"/>
        <w:rPr>
          <w:rFonts w:ascii="Arial" w:cs="Arial" w:eastAsia="Arial" w:hAnsi="Arial"/>
          <w:sz w:val="17"/>
          <w:szCs w:val="17"/>
          <w:color w:val="auto"/>
        </w:rPr>
      </w:pPr>
    </w:p>
    <w:p>
      <w:pPr>
        <w:jc w:val="both"/>
        <w:ind w:left="-460" w:firstLine="644"/>
        <w:spacing w:after="0" w:line="293" w:lineRule="auto"/>
        <w:tabs>
          <w:tab w:leader="none" w:pos="43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Upon request, the Company will furnish to the Representatives and counsel for the Underwriters, without charge, signed copies of the Registration Statement and the ADS Registration Statement (including exhibits thereto) and to each other Underwriter a copy of the Registration Statement and the ADS Registration Statement (without exhibits thereto) and, so long as delivery of a prospectus by an Underwriter or dealer may be required (including in circumstances where such requirement may be satisfied pursuant to Rule 172) by the Securities Act,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164" w:lineRule="exact"/>
        <w:rPr>
          <w:rFonts w:ascii="Arial" w:cs="Arial" w:eastAsia="Arial" w:hAnsi="Arial"/>
          <w:sz w:val="16"/>
          <w:szCs w:val="16"/>
          <w:color w:val="auto"/>
        </w:rPr>
      </w:pPr>
    </w:p>
    <w:p>
      <w:pPr>
        <w:jc w:val="both"/>
        <w:ind w:left="-460" w:firstLine="644"/>
        <w:spacing w:after="0" w:line="257" w:lineRule="auto"/>
        <w:tabs>
          <w:tab w:leader="none" w:pos="43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will arrange, if necessary, for the qualification of the Securities for sale under the laws of such jurisdictions as the Representatives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90" w:name="page291"/>
    <w:bookmarkEnd w:id="290"/>
    <w:p>
      <w:pPr>
        <w:jc w:val="both"/>
        <w:ind w:left="4" w:firstLine="644"/>
        <w:spacing w:after="0" w:line="283" w:lineRule="auto"/>
        <w:tabs>
          <w:tab w:leader="none" w:pos="928"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SEC in respect of, or establish or increase a put equivalent position or liquidate or decrease a call equivalent position within the meaning of Section 16 of the Exchange Act, any Ordinary Shares or ADSs or any securities convertible into, or exercisable, or exchangeable for, Ordinary Shares or ADSs; or publicly announce an intention to effect any such transaction, for a period of 90 days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(i) issue and sell Ordinary Shares or ADSs or any securities convertible into, or exercisable, or exchangeable for, Ordinary Shares or ADSs pursuant to any employee stock option plan, stock ownership plan or dividend reinvestment plan of the Company in effect at the Execution Time, (ii) may issue Ordinary Shares issuable upon the conversion of securities or the exercise of warrants outstanding at the Execution Time, (iii) file one or more registration statements on Form S-8 relating to stock options or employee benefit plans of the Company described in the Disclosure Package and the Prospectus, (iv) offer, issue and sell Ordinary Shares or ADSs, or any securities convertible into, or exercisable, or exchangeable for, Ordinary Shares or ADSs, in connection with any merger, acquisition or strategic investment (including any joint venture, strategic alliance, partnership, the acquisition or license of the business, property, technology or other assets of another individual or entity, or the assumption of an employee benefit plan in connection with such a merger or acquisition), or</w:t>
      </w:r>
    </w:p>
    <w:p>
      <w:pPr>
        <w:jc w:val="both"/>
        <w:ind w:left="4" w:hanging="4"/>
        <w:spacing w:after="0" w:line="269" w:lineRule="auto"/>
        <w:tabs>
          <w:tab w:leader="none" w:pos="25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offer, issue and sell Ordinary Shares or ADSs, or any securities convertible into, or exercisable, or exchangeable for, Ordinary Shares or ADSs, on an arm’s length basis to any unaffiliated collaborators, manufacturers, distributors, or any other similar parties pursuant to a collaboration, licensing agreement, strategic alliance, manufacturing or distribution agreement or similar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number of securities (on an as-converted basis) that the Company may issue or agree to issue pursuant to clauses (iv) and (v) shall not exceed 5% of the number of Ordinary Shares outstanding immediately after the issuance and sale of such securities,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each recipient of such securities pursuant to clauses (iv) and (v) agrees to restrictions on the resale of securities that are consistent with the provisions set forth in the lock-up letter described in Section 6(n) hereof.</w:t>
      </w:r>
    </w:p>
    <w:p>
      <w:pPr>
        <w:spacing w:after="0" w:line="180" w:lineRule="exact"/>
        <w:rPr>
          <w:rFonts w:ascii="Arial" w:cs="Arial" w:eastAsia="Arial" w:hAnsi="Arial"/>
          <w:sz w:val="17"/>
          <w:szCs w:val="17"/>
          <w:color w:val="auto"/>
        </w:rPr>
      </w:pPr>
    </w:p>
    <w:p>
      <w:pPr>
        <w:jc w:val="both"/>
        <w:ind w:left="4" w:firstLine="644"/>
        <w:spacing w:after="0" w:line="257" w:lineRule="auto"/>
        <w:tabs>
          <w:tab w:leader="none" w:pos="907"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If the Representatives in their sole discretion, agree to release or waive the restrictions set forth in a lock-up letter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6(g)</w:t>
      </w:r>
      <w:r>
        <w:rPr>
          <w:rFonts w:ascii="Arial" w:cs="Arial" w:eastAsia="Arial" w:hAnsi="Arial"/>
          <w:sz w:val="18"/>
          <w:szCs w:val="18"/>
          <w:color w:val="auto"/>
        </w:rPr>
        <w:t xml:space="preserve"> hereof for an officer or director of the Company and provide the Company with notice of the impending release or waiver at least three (3) Business Days before the effective date of the release or waiver, the Company agrees to announce the impending release or waiver by a press release substantially in the form of Exhibit B hereto through a major news service at least two (2) Business Days before the effective date of the release or waiver.</w:t>
      </w:r>
    </w:p>
    <w:p>
      <w:pPr>
        <w:spacing w:after="0" w:line="18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291" w:name="page292"/>
    <w:bookmarkEnd w:id="291"/>
    <w:p>
      <w:pPr>
        <w:jc w:val="both"/>
        <w:ind w:left="-460" w:firstLine="644"/>
        <w:spacing w:after="0" w:line="263" w:lineRule="auto"/>
        <w:tabs>
          <w:tab w:leader="none" w:pos="40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Italian law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jc w:val="both"/>
        <w:ind w:left="-460" w:firstLine="644"/>
        <w:spacing w:after="0" w:line="284" w:lineRule="auto"/>
        <w:tabs>
          <w:tab w:leader="none" w:pos="40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SEC of the Registration Statement (including financial statements and exhibits thereto), the Preliminary Prospectus, the Prospectus, each Issuer Free Writing Prospectus, the ADS Registration Statement, and each amendment or supplement to any of them; (ii) the preparation of the Deposit Agreement, the deposit of the Ordinary Shares underlying Offered ADSs under the Deposit Agreement, the issuance thereunder of ADSs representing such deposited Ordinary Shares, and the fees of the Depositary; (iii) the printing (or reproduction) and delivery (including postage, air freight charges and charges for counting and packaging) of such copies of the Registration Statement, the Preliminary Prospectus, the Prospectus, the ADS Registration Statement, and each Issuer Free Writing Prospectus and all amendments or supplements to any of them, as may, in each case, be reasonably requested for use in connection with the offering and sale of the Securities; (iv) the preparation, printing, authentication, issuance and delivery of certificates for the Securities, including any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(vi) the registration of the Securities under the Exchange Act and the listing of the ADSs on the Nasdaq Capital Market; (vii) any registration or qualification of the Securities for offer and sale under the securities or blue sky laws of the several states (including filing fees and the reasonable fees and expenses of counsel for the Underwriters relating to such registration and qualification); (viii) any filings required to be made with the Financial Industry Regulatory Authority, Inc. (including filing fees and the reasonable fees and expenses of counsel for the Underwriters relating to such filings); (ix) the reasonable fees and expenses of counsel for the Underwriters, provided that such fees and expenses of counsel contained in this clause (ix), together with clauses (vii) and (viii), shall not exceed $400,000 in the aggregate; (x) the transportation and other expenses incurred by or on behalf of Company representatives in connection with presentations to prospective purchasers of the Securities; (xi) the fees and expenses of the Company’s accountants and the fees and expenses of counsel (including local and special counsel) for the Company; and (xii) all other costs and expenses incident to the performance by the Company of its obligations under this Agreement.</w:t>
      </w:r>
    </w:p>
    <w:p>
      <w:pPr>
        <w:spacing w:after="0" w:line="181" w:lineRule="exact"/>
        <w:rPr>
          <w:rFonts w:ascii="Arial" w:cs="Arial" w:eastAsia="Arial" w:hAnsi="Arial"/>
          <w:sz w:val="16"/>
          <w:szCs w:val="16"/>
          <w:color w:val="auto"/>
        </w:rPr>
      </w:pPr>
    </w:p>
    <w:p>
      <w:pPr>
        <w:jc w:val="both"/>
        <w:ind w:left="-460" w:firstLine="644"/>
        <w:spacing w:after="0" w:line="289" w:lineRule="auto"/>
        <w:tabs>
          <w:tab w:leader="none" w:pos="44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in each case such consent not to be unreasonably withheld, it has not made and will not make any offer relating to the Securities that would constitute an Issuer Free Writing Prospectus or that would otherwise constitute a Free Writing Prospectus required to be filed by the Company with the SEC or retained by the Company under Rule 433. Any such free writing prospectus consented to by the Representatives or the Company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agrees that (x) it has treated and will treat, as the case may be, each Permitted Free Writing Prospectus as an Issuer Free Writing Prospectus and (y) it has complied and will comply, as the case may be, with the requirements of Rule 164 under the Securities Act (“</w:t>
      </w:r>
      <w:r>
        <w:rPr>
          <w:rFonts w:ascii="Arial" w:cs="Arial" w:eastAsia="Arial" w:hAnsi="Arial"/>
          <w:sz w:val="16"/>
          <w:szCs w:val="16"/>
          <w:u w:val="single" w:color="auto"/>
          <w:color w:val="auto"/>
        </w:rPr>
        <w:t>Rule 164</w:t>
      </w:r>
      <w:r>
        <w:rPr>
          <w:rFonts w:ascii="Arial" w:cs="Arial" w:eastAsia="Arial" w:hAnsi="Arial"/>
          <w:sz w:val="16"/>
          <w:szCs w:val="16"/>
          <w:color w:val="auto"/>
        </w:rPr>
        <w:t>”) and Rule 433 applicable to any Permitted Free Writing Prospectus, including in respect of timely filing with the SEC, legending and record keeping.</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92" w:name="page293"/>
    <w:bookmarkEnd w:id="292"/>
    <w:p>
      <w:pPr>
        <w:jc w:val="both"/>
        <w:ind w:left="4" w:firstLine="644"/>
        <w:spacing w:after="0" w:line="263" w:lineRule="auto"/>
        <w:tabs>
          <w:tab w:leader="none" w:pos="86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The Company will promptly notify the Representatives if the Company ceases to be an Emerging Growth Company at any time prior to the later of (a) completion of the distribution of the Securities within the meaning of the Securities Act and (b) completion of the 90-day restricted period referred to in </w:t>
      </w:r>
      <w:r>
        <w:rPr>
          <w:rFonts w:ascii="Arial" w:cs="Arial" w:eastAsia="Arial" w:hAnsi="Arial"/>
          <w:sz w:val="18"/>
          <w:szCs w:val="18"/>
          <w:u w:val="single" w:color="auto"/>
          <w:color w:val="auto"/>
        </w:rPr>
        <w:t>Section 5(g)</w:t>
      </w:r>
      <w:r>
        <w:rPr>
          <w:rFonts w:ascii="Arial" w:cs="Arial" w:eastAsia="Arial" w:hAnsi="Arial"/>
          <w:sz w:val="18"/>
          <w:szCs w:val="18"/>
          <w:color w:val="auto"/>
        </w:rPr>
        <w:t xml:space="preserve"> hereof.</w:t>
      </w:r>
    </w:p>
    <w:p>
      <w:pPr>
        <w:spacing w:after="0" w:line="183" w:lineRule="exact"/>
        <w:rPr>
          <w:rFonts w:ascii="Arial" w:cs="Arial" w:eastAsia="Arial" w:hAnsi="Arial"/>
          <w:sz w:val="18"/>
          <w:szCs w:val="18"/>
          <w:color w:val="auto"/>
        </w:rPr>
      </w:pPr>
    </w:p>
    <w:p>
      <w:pPr>
        <w:jc w:val="both"/>
        <w:ind w:left="4" w:firstLine="644"/>
        <w:spacing w:after="0" w:line="293" w:lineRule="auto"/>
        <w:tabs>
          <w:tab w:leader="none" w:pos="974" w:val="left"/>
        </w:tabs>
        <w:numPr>
          <w:ilvl w:val="1"/>
          <w:numId w:val="182"/>
        </w:numPr>
        <w:rPr>
          <w:rFonts w:ascii="Arial" w:cs="Arial" w:eastAsia="Arial" w:hAnsi="Arial"/>
          <w:sz w:val="16"/>
          <w:szCs w:val="16"/>
          <w:color w:val="auto"/>
        </w:rPr>
      </w:pPr>
      <w:r>
        <w:rPr>
          <w:rFonts w:ascii="Arial" w:cs="Arial" w:eastAsia="Arial" w:hAnsi="Arial"/>
          <w:sz w:val="16"/>
          <w:szCs w:val="16"/>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Representatives so that use of the Written Testing-the-Waters Communication may cease until it is amended or supplemented; (ii) amend or supplement the Written Testing-the-Waters Communication to correct such statement or omission; and (iii) supply any amendment or supplement to the Representatives in such quantities as may be reasonably requested.</w:t>
      </w:r>
    </w:p>
    <w:p>
      <w:pPr>
        <w:spacing w:after="0" w:line="164" w:lineRule="exact"/>
        <w:rPr>
          <w:rFonts w:ascii="Arial" w:cs="Arial" w:eastAsia="Arial" w:hAnsi="Arial"/>
          <w:sz w:val="16"/>
          <w:szCs w:val="16"/>
          <w:color w:val="auto"/>
        </w:rPr>
      </w:pPr>
    </w:p>
    <w:p>
      <w:pPr>
        <w:jc w:val="both"/>
        <w:ind w:left="4" w:firstLine="644"/>
        <w:spacing w:after="0" w:line="290" w:lineRule="auto"/>
        <w:tabs>
          <w:tab w:leader="none" w:pos="925" w:val="left"/>
        </w:tabs>
        <w:numPr>
          <w:ilvl w:val="1"/>
          <w:numId w:val="182"/>
        </w:numPr>
        <w:rPr>
          <w:rFonts w:ascii="Arial" w:cs="Arial" w:eastAsia="Arial" w:hAnsi="Arial"/>
          <w:sz w:val="16"/>
          <w:szCs w:val="16"/>
          <w:color w:val="auto"/>
        </w:rPr>
      </w:pPr>
      <w:r>
        <w:rPr>
          <w:rFonts w:ascii="Arial" w:cs="Arial" w:eastAsia="Arial" w:hAnsi="Arial"/>
          <w:sz w:val="16"/>
          <w:szCs w:val="16"/>
          <w:color w:val="auto"/>
        </w:rPr>
        <w:t>Each Underwriter agrees that (i) it is not purchasing any of the Securities for the account of anyone other than a United States or Canadian Person, (ii) it has not offered or sold, and will not offer or sell, directly or indirectly, any of the Securities or distribute any Prospectus to any person outside the United States or Canada, or to anyone other than a United States or Canadian Person, and (iii) any dealer to whom it may sell any of the Securities will represent that it is not purchasing for the account of anyone other than a United States or Canadian Person and agree that it will not offer or resell, directly or indirectly, any of the Securities outside the United States or Canada, or to anyone other than a United States or Canadian Person or to any other dealer who does not so represent and agree; provided, however, that the foregoing shall not restrict sales to or through (or distributions of the Disclosure Package or the Prospectus to) United States or Canadian Persons who are investment advisors, or who otherwise exercise investment discretion, and who are purchasing for the account of anyone other than a United States or Canadian Person.</w:t>
      </w:r>
    </w:p>
    <w:p>
      <w:pPr>
        <w:spacing w:after="0" w:line="165" w:lineRule="exact"/>
        <w:rPr>
          <w:rFonts w:ascii="Arial" w:cs="Arial" w:eastAsia="Arial" w:hAnsi="Arial"/>
          <w:sz w:val="16"/>
          <w:szCs w:val="16"/>
          <w:color w:val="auto"/>
        </w:rPr>
      </w:pPr>
    </w:p>
    <w:p>
      <w:pPr>
        <w:ind w:left="904" w:hanging="256"/>
        <w:spacing w:after="0"/>
        <w:tabs>
          <w:tab w:leader="none" w:pos="904"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The agreements of the Underwriters set forth in paragraph (n)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terminate upon the expiration of a period of thirty</w:t>
      </w:r>
    </w:p>
    <w:p>
      <w:pPr>
        <w:spacing w:after="0" w:line="46" w:lineRule="exact"/>
        <w:rPr>
          <w:rFonts w:ascii="Arial" w:cs="Arial" w:eastAsia="Arial" w:hAnsi="Arial"/>
          <w:sz w:val="16"/>
          <w:szCs w:val="16"/>
          <w:color w:val="auto"/>
        </w:rPr>
      </w:pPr>
    </w:p>
    <w:p>
      <w:pPr>
        <w:ind w:left="344" w:hanging="344"/>
        <w:spacing w:after="0"/>
        <w:tabs>
          <w:tab w:leader="none" w:pos="34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days after the Closing Date.</w:t>
      </w:r>
    </w:p>
    <w:p>
      <w:pPr>
        <w:spacing w:after="0" w:line="21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293" w:name="page294"/>
    <w:bookmarkEnd w:id="293"/>
    <w:p>
      <w:pPr>
        <w:jc w:val="both"/>
        <w:ind w:firstLine="1304"/>
        <w:spacing w:after="0" w:line="257" w:lineRule="auto"/>
        <w:tabs>
          <w:tab w:leader="none" w:pos="1476"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xml:space="preserve">. The obligations of the Underwriters to purchase the Offered ADSs and the Option ADSs, as the case may be, shall be subject to the accuracy of the representations and warranties on the part of the Company contained in this Agreement as of the Execution Time, the Closing Date and any settlement date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to the accuracy of the statements of the Company made in any certificates pursuant to the provisions hereof, to the performance by the Company of its obligations under this Agreement and to the following additional conditions:</w:t>
      </w:r>
    </w:p>
    <w:p>
      <w:pPr>
        <w:spacing w:after="0" w:line="188" w:lineRule="exact"/>
        <w:rPr>
          <w:sz w:val="20"/>
          <w:szCs w:val="20"/>
          <w:color w:val="auto"/>
        </w:rPr>
      </w:pPr>
    </w:p>
    <w:p>
      <w:pPr>
        <w:jc w:val="both"/>
        <w:ind w:left="660" w:firstLine="644"/>
        <w:spacing w:after="0" w:line="301" w:lineRule="auto"/>
        <w:tabs>
          <w:tab w:leader="none" w:pos="155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Prospectus, and any supplement thereto, have been filed in the manner and within the time period required by Rule 424(b); any other material required to be filed by the Company pursuant to Rule 433(d) shall have been filed with the SEC within the applicable time periods prescribed for such filings by Rule 433; and no stop order suspending the effectiveness of the Registration Statement or the ADS Registration Statement or any notice objecting to their use shall have been issued and no proceedings for that purpose shall have been instituted or threatened.</w:t>
      </w:r>
    </w:p>
    <w:p>
      <w:pPr>
        <w:spacing w:after="0" w:line="157" w:lineRule="exact"/>
        <w:rPr>
          <w:rFonts w:ascii="Arial" w:cs="Arial" w:eastAsia="Arial" w:hAnsi="Arial"/>
          <w:sz w:val="16"/>
          <w:szCs w:val="16"/>
          <w:color w:val="auto"/>
        </w:rPr>
      </w:pPr>
    </w:p>
    <w:p>
      <w:pPr>
        <w:jc w:val="both"/>
        <w:ind w:left="660" w:firstLine="644"/>
        <w:spacing w:after="0" w:line="263" w:lineRule="auto"/>
        <w:tabs>
          <w:tab w:leader="none" w:pos="156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shall have requested and caused Loeb &amp; Loeb LLP, counsel for the Company, to have furnished to the Representatives an opinion and a negative assurance letter, each dated as of the Closing Date and addressed to the Representatives and the Depositary, in form and substance reasonably satisfactory to the Underwriters.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7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shall have requested and caused Giovannelli e Associati, Studio Legale, Italian counsel for the Company, to have furnished to the Representatives an opinion, dated as of the Closing Date and addressed to the Representatives and the Depositary, in form and substance reasonably satisfactory to the Underwriters.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6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shall have requested and caused Studio Spada and Dr. Negonda, Italian tax counsel for the Company, to have furnished to the Representatives an opinion, dated as of the Closing Date and addressed to the Representatives and the Depositary, in form and substance reasonably satisfactory to the Underwriters.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7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shall have requested and caused D. Young, intellectual property counsel for the Company, to have furnished to the Representatives an opinion, dated as of the Closing Date and addressed to the Representatives, in form and substance reasonably satisfactory to the Underwriters.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3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Depositary shall have requested and caused Emmet Marvin &amp; Martin, LLC, counsel for the Depositary, to have furnished to the Representatives their opinion dated as of the Closing Date and addressed to the Representatives, in form and substance reasonably satisfactory to the Underwriters.</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5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Representatives shall have received from Goodwin Procter LLP, counsel for the Underwriters, such opinion or opinions, dated the Closing Date and addressed to the Representatives, with respect to the issuance and sale of the Securities, the Registration Statement, the ADS Registration Statement, the Disclosure Package, the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4" w:name="page295"/>
    <w:bookmarkEnd w:id="294"/>
    <w:p>
      <w:pPr>
        <w:jc w:val="both"/>
        <w:ind w:left="-460" w:firstLine="644"/>
        <w:spacing w:after="0" w:line="257" w:lineRule="auto"/>
        <w:tabs>
          <w:tab w:leader="none" w:pos="45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Representatives a certificate of the Company, signed by the Chairman of the Board or the Chief Executive Officer and the Acting Chief Financial Officer of the Company, dated as of the Closing Date, to the effect that the signers of such certificate have carefully examined the Registration Statement, the ADS Registration Statement, the Disclosure Package, the Prospectus and any amendment or supplement thereto, as well as each electronic road show used in connection with the offering of the Securities, and the Underwriting Agreement and that:</w:t>
      </w:r>
    </w:p>
    <w:p>
      <w:pPr>
        <w:spacing w:after="0" w:line="187" w:lineRule="exact"/>
        <w:rPr>
          <w:rFonts w:ascii="Arial" w:cs="Arial" w:eastAsia="Arial" w:hAnsi="Arial"/>
          <w:sz w:val="18"/>
          <w:szCs w:val="18"/>
          <w:color w:val="auto"/>
        </w:rPr>
      </w:pPr>
    </w:p>
    <w:p>
      <w:pPr>
        <w:jc w:val="both"/>
        <w:ind w:left="180" w:right="20" w:firstLine="652"/>
        <w:spacing w:after="0" w:line="263" w:lineRule="auto"/>
        <w:tabs>
          <w:tab w:leader="none" w:pos="1066"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the Underwriting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83" w:lineRule="exact"/>
        <w:rPr>
          <w:rFonts w:ascii="Arial" w:cs="Arial" w:eastAsia="Arial" w:hAnsi="Arial"/>
          <w:sz w:val="18"/>
          <w:szCs w:val="18"/>
          <w:color w:val="auto"/>
        </w:rPr>
      </w:pPr>
    </w:p>
    <w:p>
      <w:pPr>
        <w:jc w:val="both"/>
        <w:ind w:left="180" w:firstLine="652"/>
        <w:spacing w:after="0" w:line="263" w:lineRule="auto"/>
        <w:tabs>
          <w:tab w:leader="none" w:pos="109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the ADS Registration Statement or of any notice objecting to their use has been issued and no proceedings for that purpose have been instituted or, to the Company’s knowledge, threatened; and</w:t>
      </w:r>
    </w:p>
    <w:p>
      <w:pPr>
        <w:spacing w:after="0" w:line="183" w:lineRule="exact"/>
        <w:rPr>
          <w:rFonts w:ascii="Arial" w:cs="Arial" w:eastAsia="Arial" w:hAnsi="Arial"/>
          <w:sz w:val="18"/>
          <w:szCs w:val="18"/>
          <w:color w:val="auto"/>
        </w:rPr>
      </w:pPr>
    </w:p>
    <w:p>
      <w:pPr>
        <w:jc w:val="both"/>
        <w:ind w:left="180" w:firstLine="652"/>
        <w:spacing w:after="0" w:line="301" w:lineRule="auto"/>
        <w:tabs>
          <w:tab w:leader="none" w:pos="1155" w:val="left"/>
        </w:tabs>
        <w:numPr>
          <w:ilvl w:val="1"/>
          <w:numId w:val="186"/>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Disclosure Package and the Prospectus (exclusive of any amendment or supplement thereto), there has been no material adverse change in the condition (financial or otherwise), prospects, earnings, business or properties of the Company, whether or not arising from transactions in the ordinary course of business, except as set forth in or contemplated in the Disclosure Package and the Prospectus (exclusive of any amendment or supplement thereto).</w:t>
      </w:r>
    </w:p>
    <w:p>
      <w:pPr>
        <w:spacing w:after="0" w:line="157" w:lineRule="exact"/>
        <w:rPr>
          <w:rFonts w:ascii="Arial" w:cs="Arial" w:eastAsia="Arial" w:hAnsi="Arial"/>
          <w:sz w:val="16"/>
          <w:szCs w:val="16"/>
          <w:color w:val="auto"/>
        </w:rPr>
      </w:pPr>
    </w:p>
    <w:p>
      <w:pPr>
        <w:jc w:val="both"/>
        <w:ind w:left="-460" w:firstLine="644"/>
        <w:spacing w:after="0" w:line="272" w:lineRule="auto"/>
        <w:tabs>
          <w:tab w:leader="none" w:pos="43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Company shall have requested and caused Mayer Hoffman McCann P.C. to have furnished to the Representatives, at the Execution Time and at the Closing Date, letters, dated respectively as of the Execution Time and as of the Closing Date, in form and substance satisfactory to the Representatives, (i) confirming that they are independent accountants within the meaning of the Securities Act and the Exchange Act and the applicable rules and regulations adopted by the SEC thereunder and (ii) containing statements and information of the type customarily included in accountants’ “comfort letters” to underwriters with respect to the financial statements and certain financial information contained in the Registration Statement, the Disclosure Package and the Prospectus; provided, that the letter delivered on the Closing Date, shall use a “cut-off” date no more than three Business Days prior to such Closing Date.</w:t>
      </w:r>
    </w:p>
    <w:p>
      <w:pPr>
        <w:spacing w:after="0" w:line="177" w:lineRule="exact"/>
        <w:rPr>
          <w:rFonts w:ascii="Arial" w:cs="Arial" w:eastAsia="Arial" w:hAnsi="Arial"/>
          <w:sz w:val="17"/>
          <w:szCs w:val="17"/>
          <w:color w:val="auto"/>
        </w:rPr>
      </w:pPr>
    </w:p>
    <w:p>
      <w:pPr>
        <w:jc w:val="both"/>
        <w:ind w:left="-460" w:firstLine="644"/>
        <w:spacing w:after="0" w:line="273" w:lineRule="auto"/>
        <w:tabs>
          <w:tab w:leader="none" w:pos="409" w:val="left"/>
        </w:tabs>
        <w:numPr>
          <w:ilvl w:val="0"/>
          <w:numId w:val="186"/>
        </w:numPr>
        <w:rPr>
          <w:rFonts w:ascii="Arial" w:cs="Arial" w:eastAsia="Arial" w:hAnsi="Arial"/>
          <w:sz w:val="17"/>
          <w:szCs w:val="17"/>
          <w:color w:val="auto"/>
        </w:rPr>
      </w:pPr>
      <w:r>
        <w:rPr>
          <w:rFonts w:ascii="Arial" w:cs="Arial" w:eastAsia="Arial" w:hAnsi="Arial"/>
          <w:sz w:val="17"/>
          <w:szCs w:val="17"/>
          <w:color w:val="auto"/>
        </w:rPr>
        <w:t>Subsequent to the Execution Time or, if earlier, the dates as of which information is given in the Registration Statement (exclusive of any amendment thereof) and the Prospectus (exclusive of supplement thereto), there shall not have been any Material Adverse Effect, except as set forth in or contemplated in the Disclosure Package and the Prospectus (exclusive of any amendment or supplement thereto) the effect of which is, in the sole judgment of the Representatives, so material and adverse as to make it impractical or inadvisable to proceed with the offering or delivery of the Securities as contemplated by the Registration Statement (exclusive of any amendment thereof), the Disclosure Package and the Prospectus (exclusive of any amendment or supplement thereto).</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95" w:name="page296"/>
    <w:bookmarkEnd w:id="295"/>
    <w:p>
      <w:pPr>
        <w:jc w:val="both"/>
        <w:ind w:left="660" w:firstLine="644"/>
        <w:spacing w:after="0" w:line="269" w:lineRule="auto"/>
        <w:tabs>
          <w:tab w:leader="none" w:pos="157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Prior to the Closing Date, a minimum of 1,000,000 Ordinary Shares sold by the Company in the Reserved Offering shall have been purchased and paid for by existing shareholders of the Company, pursuant to subscription letters in the form filed as an exhibit to the Registration Statement, and the Company shall have furnished or caused to be furnished to the Representatives evidence of payment therefor in a minimum aggregate amount of Euro [●] in form and substance satisfactory to the Representatives. On the Closing Date the Company shall have paid to the Representatives by wire transfer payable in same-day funds to the accounts specified by the Representatives an advisory fee equal to 4.5% of the gross offering price of all Ordinary Shares sold by the Company in the Reserved Offering in US Dollars (“USD”) calculated at the exchange rate of USD [●] per Euro; provided, however, that the Underwriters agree that such advisory fee, when added to the aggregate amount of underwriting discounts and commissions earned by the Underwriters in connection with their purchase of Underwritten ADSs pursuant to Section 2 hereof, shall not exceed 6.5% of the total amount of gross proceeds from the sale by the Company of Underwritten ADSs and Ordinary Shares in the Reserved Offering in the aggregate.</w:t>
      </w:r>
    </w:p>
    <w:p>
      <w:pPr>
        <w:spacing w:after="0" w:line="185" w:lineRule="exact"/>
        <w:rPr>
          <w:rFonts w:ascii="Arial" w:cs="Arial" w:eastAsia="Arial" w:hAnsi="Arial"/>
          <w:sz w:val="17"/>
          <w:szCs w:val="17"/>
          <w:color w:val="auto"/>
        </w:rPr>
      </w:pPr>
    </w:p>
    <w:p>
      <w:pPr>
        <w:ind w:left="660" w:firstLine="644"/>
        <w:spacing w:after="0" w:line="277" w:lineRule="auto"/>
        <w:tabs>
          <w:tab w:leader="none" w:pos="152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and the Depositary shall have executed and delivered the Deposit Agreement in form and substance satisfactory to the Representatives, and the Deposit Agreement shall be in full force and effect.</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Depositary shall have furnished or caused to be furnished to the Representatives certificates satisfactory to the Representatives evidencing the deposit with it or its nominee of Ordinary Shares underlying Offered ADSs in respect of which Offered ADSs to be purchased by the Underwriters on such Closing Date are to be issued, and delivery of the Offered ADSs pursuant to the Deposit Agreement and such other matters related thereto as the Representatives reasonably request.</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160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Representatives such further information, certificates and documents as the Representatives may reasonably request.</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56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Securities shall have been listed and admitted and authorized for trading on the Nasdaq Capital Market, and satisfactory evidence of such actions shall have been provided to the Representatives.</w:t>
      </w:r>
    </w:p>
    <w:p>
      <w:pPr>
        <w:spacing w:after="0" w:line="170" w:lineRule="exact"/>
        <w:rPr>
          <w:rFonts w:ascii="Arial" w:cs="Arial" w:eastAsia="Arial" w:hAnsi="Arial"/>
          <w:sz w:val="18"/>
          <w:szCs w:val="18"/>
          <w:color w:val="auto"/>
        </w:rPr>
      </w:pPr>
    </w:p>
    <w:p>
      <w:pPr>
        <w:ind w:left="660" w:firstLine="644"/>
        <w:spacing w:after="0" w:line="277" w:lineRule="auto"/>
        <w:tabs>
          <w:tab w:leader="none" w:pos="15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At the Execution Time, the Company shall have furnished to the Representatives a letter,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executive officer and director of the Company addressed to the Representatives.</w:t>
      </w:r>
    </w:p>
    <w:p>
      <w:pPr>
        <w:spacing w:after="0" w:line="170" w:lineRule="exact"/>
        <w:rPr>
          <w:sz w:val="20"/>
          <w:szCs w:val="20"/>
          <w:color w:val="auto"/>
        </w:rPr>
      </w:pPr>
    </w:p>
    <w:p>
      <w:pPr>
        <w:jc w:val="both"/>
        <w:ind w:right="20" w:firstLine="1296"/>
        <w:spacing w:after="0" w:line="301" w:lineRule="auto"/>
        <w:rPr>
          <w:sz w:val="20"/>
          <w:szCs w:val="20"/>
          <w:color w:val="auto"/>
        </w:rPr>
      </w:pPr>
      <w:r>
        <w:rPr>
          <w:rFonts w:ascii="Arial" w:cs="Arial" w:eastAsia="Arial" w:hAnsi="Arial"/>
          <w:sz w:val="16"/>
          <w:szCs w:val="16"/>
          <w:color w:val="auto"/>
        </w:rPr>
        <w:t xml:space="preserve">If any of the conditions specified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6" w:name="page297"/>
    <w:bookmarkEnd w:id="296"/>
    <w:p>
      <w:pPr>
        <w:ind w:firstLine="1296"/>
        <w:spacing w:after="0" w:line="277" w:lineRule="auto"/>
        <w:rPr>
          <w:sz w:val="20"/>
          <w:szCs w:val="20"/>
          <w:color w:val="auto"/>
        </w:rPr>
      </w:pPr>
      <w:r>
        <w:rPr>
          <w:rFonts w:ascii="Arial" w:cs="Arial" w:eastAsia="Arial" w:hAnsi="Arial"/>
          <w:sz w:val="18"/>
          <w:szCs w:val="18"/>
          <w:color w:val="auto"/>
        </w:rPr>
        <w:t xml:space="preserve">The documents required to be delivered by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delivered at the office of Goodwin Procter LLP, counsel for the Underwriters, at 620 Eighth Avenue, New York, NY 10018, on the Closing Date.</w:t>
      </w:r>
    </w:p>
    <w:p>
      <w:pPr>
        <w:spacing w:after="0" w:line="170" w:lineRule="exact"/>
        <w:rPr>
          <w:sz w:val="20"/>
          <w:szCs w:val="20"/>
          <w:color w:val="auto"/>
        </w:rPr>
      </w:pPr>
    </w:p>
    <w:p>
      <w:pPr>
        <w:jc w:val="both"/>
        <w:ind w:firstLine="1304"/>
        <w:spacing w:after="0" w:line="255" w:lineRule="auto"/>
        <w:tabs>
          <w:tab w:leader="none" w:pos="1489"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xml:space="preserve">. If the sale of the Securities provided for in this Agreement is not consummated because any condition to the obligations of the Underwriters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is not satisfied, because of any termination pursuant to </w:t>
      </w:r>
      <w:r>
        <w:rPr>
          <w:rFonts w:ascii="Arial" w:cs="Arial" w:eastAsia="Arial" w:hAnsi="Arial"/>
          <w:sz w:val="18"/>
          <w:szCs w:val="18"/>
          <w:u w:val="single" w:color="auto"/>
          <w:color w:val="auto"/>
        </w:rPr>
        <w:t>Section 10(i)</w:t>
      </w:r>
      <w:r>
        <w:rPr>
          <w:rFonts w:ascii="Arial" w:cs="Arial" w:eastAsia="Arial" w:hAnsi="Arial"/>
          <w:sz w:val="18"/>
          <w:szCs w:val="18"/>
          <w:color w:val="auto"/>
        </w:rPr>
        <w:t xml:space="preserve"> hereof or because of any refusal, inability or failure on the part of the Company to perform any agreement herein or comply with any provision hereof other than by reason of a default by any of the Underwriters, the Company will reimburse the Underwriters severally through Roth Capital Partners, LLC on demand for all expenses (including reasonable fees and disbursements of counsel) that shall have been incurred by them in connection with the proposed purchase and sale of the Securities.</w:t>
      </w:r>
    </w:p>
    <w:p>
      <w:pPr>
        <w:spacing w:after="0" w:line="192" w:lineRule="exact"/>
        <w:rPr>
          <w:rFonts w:ascii="Arial" w:cs="Arial" w:eastAsia="Arial" w:hAnsi="Arial"/>
          <w:sz w:val="18"/>
          <w:szCs w:val="18"/>
          <w:color w:val="auto"/>
        </w:rPr>
      </w:pPr>
    </w:p>
    <w:p>
      <w:pPr>
        <w:ind w:left="1480" w:hanging="176"/>
        <w:spacing w:after="0"/>
        <w:tabs>
          <w:tab w:leader="none" w:pos="148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6" w:lineRule="auto"/>
        <w:tabs>
          <w:tab w:leader="none" w:pos="158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the directors, officers, employees, affiliates within the meaning of Rule 405 under the Securities Act,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ADS Registration Statement as originally filed or in any amendment thereof, or in the Preliminary Prospectus, the Prospectus, Issuer Free Writing Prospectus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7" w:name="page298"/>
    <w:bookmarkEnd w:id="297"/>
    <w:p>
      <w:pPr>
        <w:jc w:val="both"/>
        <w:ind w:left="-460" w:firstLine="644"/>
        <w:spacing w:after="0" w:line="269" w:lineRule="auto"/>
        <w:tabs>
          <w:tab w:leader="none" w:pos="464"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each of its directors, each of its officers who signs the Registration Statement or the ADS Registration Statement, and each person who controls the Company within the meaning of either the Securities Act or the Exchange Act, to the same extent as the foregoing indemnity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the Securities, syndicate covering transactions and penalty bids and, under the heading “Underwriting”, (ii) the sentences related to concessions and reallowances and (iii) the paragraph related to stabilization, syndicate covering transactions and penalty bids in any Preliminary Prospectus and the Prospectus constitute the only information furnished in writing by or on behalf of the several Underwriters for inclusion in any Preliminary Prospectus, Prospectus or any Issuer Free Writing Prospectus.</w:t>
      </w:r>
    </w:p>
    <w:p>
      <w:pPr>
        <w:spacing w:after="0" w:line="185" w:lineRule="exact"/>
        <w:rPr>
          <w:rFonts w:ascii="Arial" w:cs="Arial" w:eastAsia="Arial" w:hAnsi="Arial"/>
          <w:sz w:val="17"/>
          <w:szCs w:val="17"/>
          <w:color w:val="auto"/>
        </w:rPr>
      </w:pPr>
    </w:p>
    <w:p>
      <w:pPr>
        <w:jc w:val="both"/>
        <w:ind w:left="-460" w:firstLine="644"/>
        <w:spacing w:after="0" w:line="284" w:lineRule="auto"/>
        <w:tabs>
          <w:tab w:leader="none" w:pos="44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notice of the commencement of any action, such indemnified party will, if a claim in respect thereof is to be made against the indemnifying party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(which, if the Issuer is the indemnifying party, shall be limited to one such separate counsel for any Underwriter together with all persons who control such Underwriter within the meaning of the Exchange Act or the Securities Act, and no more than three such separate counsel for all of the Underwriters collectively)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(which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98" w:name="page299"/>
    <w:bookmarkEnd w:id="298"/>
    <w:p>
      <w:pPr>
        <w:jc w:val="both"/>
        <w:ind w:left="-460" w:firstLine="644"/>
        <w:spacing w:after="0" w:line="284" w:lineRule="auto"/>
        <w:tabs>
          <w:tab w:leader="none" w:pos="45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In the event that the indemnity provided in paragraph (a) or (b)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is unavailable to or insufficient to hold harmless an indemnified party for any reason, the Company, and the Underwriters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and one or more of the Underwriters may be subject in such proportion as is appropriate to reflect the relative benefits received by the Company and by the Underwriters from the offering of the Securities. If the allocation provided by the immediately preceding sentence is unavailable for any reason, the Company and the Underwriters shall contribute in such proportion as is appropriate to reflect not only such relative benefits but also the relative fault of the Company and of the Underwriters in connection with the statements or omissions which resulted in such Losses as well as any other relevant equitable considerations. Benefits received by the Company shall be deemed to be equal to the total net proceeds from the offering (before deducting expenses) received by each of them, and benefits received by the Underwriters shall be deemed to be equal to the total underwriting discounts and commissions and advisory fees payable to the Underwriters hereunder,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Underwriter be required to contribute any amount in excess of the amount by which the total underwriting discounts and commissions and advisory fees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6"/>
          <w:szCs w:val="16"/>
          <w:u w:val="single" w:color="auto"/>
          <w:color w:val="auto"/>
        </w:rPr>
        <w:t>Section 8</w:t>
      </w:r>
      <w:r>
        <w:rPr>
          <w:rFonts w:ascii="Arial" w:cs="Arial" w:eastAsia="Arial" w:hAnsi="Arial"/>
          <w:sz w:val="16"/>
          <w:szCs w:val="16"/>
          <w:color w:val="auto"/>
        </w:rPr>
        <w:t>,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or the ADS Registration Statement and each director of the Company shall have the same rights to contribution as the Company, subject in each case to the applicable terms and conditions of this paragraph (d).</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299" w:name="page300"/>
    <w:bookmarkEnd w:id="299"/>
    <w:p>
      <w:pPr>
        <w:jc w:val="both"/>
        <w:ind w:firstLine="1304"/>
        <w:spacing w:after="0" w:line="268" w:lineRule="auto"/>
        <w:tabs>
          <w:tab w:leader="none" w:pos="1489"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under this Agreement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bears to the aggregate amount of Securities set forth opposite the names of all the remaining Underwriters) the Securities which the defaulting Underwriter or Underwriters agreed but failed to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the aggregate amount of Securities which the defaulting Underwriter or Underwriters agreed but failed to purchase shall exceed 10% of the aggregate amount of Securities set forth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w:t>
      </w:r>
      <w:r>
        <w:rPr>
          <w:rFonts w:ascii="Arial" w:cs="Arial" w:eastAsia="Arial" w:hAnsi="Arial"/>
          <w:sz w:val="17"/>
          <w:szCs w:val="17"/>
          <w:u w:val="single" w:color="auto"/>
          <w:color w:val="auto"/>
        </w:rPr>
        <w:t>Section 9</w:t>
      </w:r>
      <w:r>
        <w:rPr>
          <w:rFonts w:ascii="Arial" w:cs="Arial" w:eastAsia="Arial" w:hAnsi="Arial"/>
          <w:sz w:val="17"/>
          <w:szCs w:val="17"/>
          <w:color w:val="auto"/>
        </w:rPr>
        <w:t>, the Closing Date shall be postponed for such period, not exceeding five Business Days, as the Representatives shall determine in order that the required changes in the Registration Statement, the ADS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under this Agreement.</w:t>
      </w:r>
    </w:p>
    <w:p>
      <w:pPr>
        <w:spacing w:after="0" w:line="186" w:lineRule="exact"/>
        <w:rPr>
          <w:rFonts w:ascii="Arial" w:cs="Arial" w:eastAsia="Arial" w:hAnsi="Arial"/>
          <w:sz w:val="17"/>
          <w:szCs w:val="17"/>
          <w:color w:val="auto"/>
        </w:rPr>
      </w:pPr>
    </w:p>
    <w:p>
      <w:pPr>
        <w:jc w:val="both"/>
        <w:ind w:firstLine="1304"/>
        <w:spacing w:after="0" w:line="270" w:lineRule="auto"/>
        <w:tabs>
          <w:tab w:leader="none" w:pos="1566"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prior to delivery of and payment for the Securities, if at any time prior to such delivery and payment (i) trading in the Company’s Ordinary Shares shall have been suspended by the SEC, (ii) trading in securities generally on the New York Stock Exchange or the Nasdaq Stock Market shall have been suspended or limited or minimum prices shall have been established on either of such exchanges, (iii) a banking moratorium shall have been declared by U.S. Federal, New York State or Italian authorities, (iv) there shall have occurred a material disruption in commercial banking or securities settlement or clearance services or (v) there shall have occurred any outbreak or escalation of hostilities, declaration by the United States or Italy of a national emergency or war, or other calamity or crisis the effect of which on financial markets is such as to make it, in the sole judgment of the Representatives, impractical or inadvisable to proceed with the offering or delivery of the Securities as contemplated by the Preliminary Prospectus and the Prospectus (exclusive of any amendment or supplement thereto).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0" w:name="page301"/>
    <w:bookmarkEnd w:id="300"/>
    <w:p>
      <w:pPr>
        <w:jc w:val="both"/>
        <w:ind w:firstLine="1304"/>
        <w:spacing w:after="0" w:line="257" w:lineRule="auto"/>
        <w:tabs>
          <w:tab w:leader="none" w:pos="1559"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xml:space="preserve">. The respective agreements, representations, warranties, indemnities and other statements of the Company or its officers or directors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and will survive delivery of and payment for the Securities. The provisions of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hereof shall survive the termination or cancellation of this Agreement.</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579"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or delivered to Roth Capital Partners, LLC at 888 San Clemente Drive, Newport Beach, California 92660, Attention: Syndicate Department and Maxim Group LLC at 300 Park Ave, 16th Floor, New York, New York 10022; or, if sent to Genenta Science S.p.A., will be mailed or delivered to Via Olgettina No. 58, 20132 Milan, Italy, Attention: Pierluigi Paracchi, with a copy (which shall not constitute notice) to Loeb &amp; Loeb LLP, 345 Park Avenue, New York, NY 10154, Attention: Norwood Beveridge.</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6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83" w:lineRule="exact"/>
        <w:rPr>
          <w:rFonts w:ascii="Arial" w:cs="Arial" w:eastAsia="Arial" w:hAnsi="Arial"/>
          <w:sz w:val="18"/>
          <w:szCs w:val="18"/>
          <w:color w:val="auto"/>
        </w:rPr>
      </w:pPr>
    </w:p>
    <w:p>
      <w:pPr>
        <w:jc w:val="both"/>
        <w:ind w:firstLine="1304"/>
        <w:spacing w:after="0" w:line="268" w:lineRule="auto"/>
        <w:tabs>
          <w:tab w:leader="none" w:pos="1566"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Underwriting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 The Company has appointed Cogency Global Inc., 122 East 42nd Street, 18th Floor, New York, New York 10168, as its authorized agent (the “</w:t>
      </w:r>
      <w:r>
        <w:rPr>
          <w:rFonts w:ascii="Arial" w:cs="Arial" w:eastAsia="Arial" w:hAnsi="Arial"/>
          <w:sz w:val="17"/>
          <w:szCs w:val="17"/>
          <w:u w:val="single" w:color="auto"/>
          <w:color w:val="auto"/>
        </w:rPr>
        <w:t>Authorized Agent</w:t>
      </w:r>
      <w:r>
        <w:rPr>
          <w:rFonts w:ascii="Arial" w:cs="Arial" w:eastAsia="Arial" w:hAnsi="Arial"/>
          <w:sz w:val="17"/>
          <w:szCs w:val="17"/>
          <w:color w:val="auto"/>
        </w:rPr>
        <w:t>”) upon whom process may be served in any suit, action or proceeding arising out of or based upon this Agreement or the transactions contemplated herein that may be instituted in any State or U.S. federal court in The City of New York and County of New York, by any Underwriter, the directors, officers, employees, affiliates and agents of any Underwriter, or by any person who controls any Underwriter, and expressly accepts the non-exclusive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any Underwriter, the directors, officers, employees and agents of any Underwriter, or by any person who controls any Underwriter, in any court of competent jurisdiction in Italy.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1" w:name="page302"/>
    <w:bookmarkEnd w:id="301"/>
    <w:p>
      <w:pPr>
        <w:ind w:left="1580" w:hanging="276"/>
        <w:spacing w:after="0"/>
        <w:tabs>
          <w:tab w:leader="none" w:pos="15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59" w:lineRule="auto"/>
        <w:tabs>
          <w:tab w:leader="none" w:pos="156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59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15</w:t>
      </w:r>
      <w:r>
        <w:rPr>
          <w:rFonts w:ascii="Arial" w:cs="Arial" w:eastAsia="Arial" w:hAnsi="Arial"/>
          <w:sz w:val="18"/>
          <w:szCs w:val="18"/>
          <w:color w:val="auto"/>
        </w:rPr>
        <w:t>, “</w:t>
      </w:r>
      <w:r>
        <w:rPr>
          <w:rFonts w:ascii="Arial" w:cs="Arial" w:eastAsia="Arial" w:hAnsi="Arial"/>
          <w:sz w:val="18"/>
          <w:szCs w:val="18"/>
          <w:u w:val="single" w:color="auto"/>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 “</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jc w:val="both"/>
        <w:ind w:firstLine="1304"/>
        <w:spacing w:after="0" w:line="254" w:lineRule="auto"/>
        <w:tabs>
          <w:tab w:leader="none" w:pos="1566"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91" w:lineRule="exact"/>
        <w:rPr>
          <w:rFonts w:ascii="Arial" w:cs="Arial" w:eastAsia="Arial" w:hAnsi="Arial"/>
          <w:sz w:val="18"/>
          <w:szCs w:val="18"/>
          <w:color w:val="auto"/>
        </w:rPr>
      </w:pPr>
    </w:p>
    <w:p>
      <w:pPr>
        <w:jc w:val="both"/>
        <w:ind w:firstLine="1304"/>
        <w:spacing w:after="0" w:line="279" w:lineRule="auto"/>
        <w:tabs>
          <w:tab w:leader="none" w:pos="1579"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together with the letter agreement dated July 29, 2021 (the “</w:t>
      </w:r>
      <w:r>
        <w:rPr>
          <w:rFonts w:ascii="Arial" w:cs="Arial" w:eastAsia="Arial" w:hAnsi="Arial"/>
          <w:sz w:val="17"/>
          <w:szCs w:val="17"/>
          <w:u w:val="single" w:color="auto"/>
          <w:color w:val="auto"/>
        </w:rPr>
        <w:t>Engagement Letter</w:t>
      </w:r>
      <w:r>
        <w:rPr>
          <w:rFonts w:ascii="Arial" w:cs="Arial" w:eastAsia="Arial" w:hAnsi="Arial"/>
          <w:sz w:val="17"/>
          <w:szCs w:val="17"/>
          <w:color w:val="auto"/>
        </w:rPr>
        <w:t>”), by and among the Company and Roth Capital Partners, LLC, supersedes all prior agreements and understandings (whether written or oral) between the Company and the Underwriters with respect to the subject matter hereof, provided however that the provisions of Section 5(j) shall supersede the provisions of the Engagement Letter regarding such reimbursement arrangements regarding the expenses of the Underwriters.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2" w:name="page303"/>
    <w:bookmarkEnd w:id="302"/>
    <w:p>
      <w:pPr>
        <w:ind w:left="-20" w:firstLine="1304"/>
        <w:spacing w:after="0" w:line="277" w:lineRule="auto"/>
        <w:tabs>
          <w:tab w:leader="none" w:pos="154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jc w:val="both"/>
        <w:ind w:left="-20" w:firstLine="1304"/>
        <w:spacing w:after="0" w:line="253" w:lineRule="auto"/>
        <w:tabs>
          <w:tab w:leader="none" w:pos="154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Each reference in this Agreement to U.S. Dollars (the “relevant currency”) is of the essence. To the fullest extent permitted by law, the obligations of each of the Company in respect of any amount due under this Agreement will, notwithstanding any payment in any other currency (whether pursuant to a judgment or otherwise), be discharged only to the extent of the amount in the relevant currency that the party entitled to receive such payment may, in accordance with its normal procedures, purchase with the sum paid in such other currency (after any premium and costs of exchange) on the Business Day immediately following the day on which such party receives such payment. If the amount in the relevant currency that may be so purchased for any reason falls short of the amount originally due, the Company making such payment will pay such additional amounts, in the relevant currency, as may be necessary to compensate for the shortfall. Any obligation of any of the Company not discharged by such payment will, to the fullest extent permitted by applicable law, be due as a separate and independent obligation and, until discharged as provided herein, will continue in full force and effect.</w:t>
      </w:r>
    </w:p>
    <w:p>
      <w:pPr>
        <w:spacing w:after="0" w:line="196" w:lineRule="exact"/>
        <w:rPr>
          <w:rFonts w:ascii="Arial" w:cs="Arial" w:eastAsia="Arial" w:hAnsi="Arial"/>
          <w:sz w:val="18"/>
          <w:szCs w:val="18"/>
          <w:color w:val="auto"/>
        </w:rPr>
      </w:pPr>
    </w:p>
    <w:p>
      <w:pPr>
        <w:jc w:val="both"/>
        <w:ind w:left="-20" w:firstLine="1304"/>
        <w:spacing w:after="0" w:line="259" w:lineRule="auto"/>
        <w:tabs>
          <w:tab w:leader="none" w:pos="154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Waiver of Immunity</w:t>
      </w:r>
      <w:r>
        <w:rPr>
          <w:rFonts w:ascii="Arial" w:cs="Arial" w:eastAsia="Arial" w:hAnsi="Arial"/>
          <w:sz w:val="18"/>
          <w:szCs w:val="18"/>
          <w:color w:val="auto"/>
        </w:rPr>
        <w:t>. To the extent that the Company has or hereafter may acquire any immunity (sovereign or otherwise) from any legal action, suit or proceeding, from jurisdiction of any court or from set-off or any legal process (whether service or notice, attachment in aid or otherwise) with respect to itself or any of its property, the Company hereby irrevocably waives and agrees not to plead or claim such immunity in respect of its obligations under this Agreement.</w:t>
      </w:r>
    </w:p>
    <w:p>
      <w:pPr>
        <w:spacing w:after="0" w:line="186" w:lineRule="exact"/>
        <w:rPr>
          <w:rFonts w:ascii="Arial" w:cs="Arial" w:eastAsia="Arial" w:hAnsi="Arial"/>
          <w:sz w:val="18"/>
          <w:szCs w:val="18"/>
          <w:color w:val="auto"/>
        </w:rPr>
      </w:pPr>
    </w:p>
    <w:p>
      <w:pPr>
        <w:ind w:left="-20" w:firstLine="1304"/>
        <w:spacing w:after="0" w:line="277" w:lineRule="auto"/>
        <w:tabs>
          <w:tab w:leader="none" w:pos="154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left="-20" w:right="20" w:firstLine="1304"/>
        <w:spacing w:after="0" w:line="277" w:lineRule="auto"/>
        <w:tabs>
          <w:tab w:leader="none" w:pos="154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560" w:hanging="276"/>
        <w:spacing w:after="0"/>
        <w:tabs>
          <w:tab w:leader="none" w:pos="156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303" w:name="page304"/>
    <w:bookmarkEnd w:id="303"/>
    <w:p>
      <w:pPr>
        <w:ind w:firstLine="1296"/>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GENENTA SCIENCE S.P.A.</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Roth Capital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other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Maxim Group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other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305" w:name="page306"/>
    <w:bookmarkEnd w:id="305"/>
    <w:p>
      <w:pPr>
        <w:jc w:val="right"/>
        <w:ind w:right="2000"/>
        <w:spacing w:after="0"/>
        <w:rPr>
          <w:sz w:val="20"/>
          <w:szCs w:val="20"/>
          <w:color w:val="auto"/>
        </w:rPr>
      </w:pPr>
      <w:r>
        <w:rPr>
          <w:rFonts w:ascii="Arial" w:cs="Arial" w:eastAsia="Arial" w:hAnsi="Arial"/>
          <w:sz w:val="18"/>
          <w:szCs w:val="18"/>
          <w:u w:val="single" w:color="auto"/>
          <w:color w:val="auto"/>
        </w:rPr>
        <w:t>SCHEDULE I</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9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Number of Offered ADSs</w:t>
      </w:r>
    </w:p>
    <w:p>
      <w:pPr>
        <w:spacing w:after="0" w:line="50"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to be Purchased</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163703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163703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31750</wp:posOffset>
            </wp:positionV>
            <wp:extent cx="16370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ectPr>
          <w:pgSz w:w="11900" w:h="16838" w:orient="portrait"/>
          <w:cols w:equalWidth="0" w:num="2">
            <w:col w:w="8140" w:space="720"/>
            <w:col w:w="2280"/>
          </w:cols>
          <w:pgMar w:left="320" w:top="692" w:right="439" w:bottom="1440" w:gutter="0" w:footer="0" w:header="0"/>
        </w:sectPr>
      </w:pPr>
    </w:p>
    <w:bookmarkStart w:id="306" w:name="page307"/>
    <w:bookmarkEnd w:id="306"/>
    <w:p>
      <w:pPr>
        <w:jc w:val="center"/>
        <w:ind w:right="-1100"/>
        <w:spacing w:after="0"/>
        <w:rPr>
          <w:sz w:val="20"/>
          <w:szCs w:val="20"/>
          <w:color w:val="auto"/>
        </w:rPr>
      </w:pPr>
      <w:r>
        <w:rPr>
          <w:rFonts w:ascii="Arial" w:cs="Arial" w:eastAsia="Arial" w:hAnsi="Arial"/>
          <w:sz w:val="18"/>
          <w:szCs w:val="18"/>
          <w:u w:val="single" w:color="auto"/>
          <w:color w:val="auto"/>
        </w:rPr>
        <w:t>SCHEDULE II</w:t>
      </w:r>
    </w:p>
    <w:p>
      <w:pPr>
        <w:spacing w:after="0" w:line="225" w:lineRule="exact"/>
        <w:rPr>
          <w:sz w:val="20"/>
          <w:szCs w:val="20"/>
          <w:color w:val="auto"/>
        </w:rPr>
      </w:pPr>
    </w:p>
    <w:p>
      <w:pPr>
        <w:jc w:val="right"/>
        <w:ind w:right="1839"/>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307" w:name="page308"/>
    <w:bookmarkEnd w:id="307"/>
    <w:p>
      <w:pPr>
        <w:jc w:val="center"/>
        <w:ind w:right="-1100"/>
        <w:spacing w:after="0"/>
        <w:rPr>
          <w:sz w:val="20"/>
          <w:szCs w:val="20"/>
          <w:color w:val="auto"/>
        </w:rPr>
      </w:pPr>
      <w:r>
        <w:rPr>
          <w:rFonts w:ascii="Arial" w:cs="Arial" w:eastAsia="Arial" w:hAnsi="Arial"/>
          <w:sz w:val="18"/>
          <w:szCs w:val="18"/>
          <w:u w:val="single" w:color="auto"/>
          <w:color w:val="auto"/>
        </w:rPr>
        <w:t>SCHEDULE III</w:t>
      </w:r>
    </w:p>
    <w:p>
      <w:pPr>
        <w:spacing w:after="0" w:line="225" w:lineRule="exact"/>
        <w:rPr>
          <w:sz w:val="20"/>
          <w:szCs w:val="20"/>
          <w:color w:val="auto"/>
        </w:rPr>
      </w:pPr>
    </w:p>
    <w:p>
      <w:pPr>
        <w:jc w:val="right"/>
        <w:ind w:right="2459"/>
        <w:spacing w:after="0"/>
        <w:rPr>
          <w:sz w:val="20"/>
          <w:szCs w:val="20"/>
          <w:color w:val="auto"/>
        </w:rPr>
      </w:pPr>
      <w:r>
        <w:rPr>
          <w:rFonts w:ascii="Arial" w:cs="Arial" w:eastAsia="Arial" w:hAnsi="Arial"/>
          <w:sz w:val="18"/>
          <w:szCs w:val="18"/>
          <w:color w:val="auto"/>
        </w:rPr>
        <w:t>Schedule of 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Testing-the-Waters presentations:</w:t>
      </w:r>
    </w:p>
    <w:p>
      <w:pPr>
        <w:spacing w:after="0" w:line="225" w:lineRule="exact"/>
        <w:rPr>
          <w:sz w:val="20"/>
          <w:szCs w:val="20"/>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Corporate Presentation dated January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Corporate Presentation dated October 2021</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308" w:name="page309"/>
    <w:bookmarkEnd w:id="308"/>
    <w:p>
      <w:pPr>
        <w:jc w:val="center"/>
        <w:ind w:right="-110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right"/>
        <w:ind w:right="3459"/>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[Circulated under separate cover]</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Genenta Science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Genenta Science S.p.A.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today that Roth Capital Partners, LLC, the book-running manager in the Company’s recent public sale of [●] American Depositary Shares (“</w:t>
      </w:r>
      <w:r>
        <w:rPr>
          <w:rFonts w:ascii="Arial" w:cs="Arial" w:eastAsia="Arial" w:hAnsi="Arial"/>
          <w:sz w:val="18"/>
          <w:szCs w:val="18"/>
          <w:u w:val="single" w:color="auto"/>
          <w:color w:val="auto"/>
        </w:rPr>
        <w:t>ADSs</w:t>
      </w:r>
      <w:r>
        <w:rPr>
          <w:rFonts w:ascii="Arial" w:cs="Arial" w:eastAsia="Arial" w:hAnsi="Arial"/>
          <w:sz w:val="18"/>
          <w:szCs w:val="18"/>
          <w:color w:val="auto"/>
        </w:rPr>
        <w:t xml:space="preserve">”) representing the Company’s Ordinary Shares, is [waiving] [releasing] a lock-up restriction with respect to [●] shares of the Company’s [ADSs] [Ordinary Shares] held by [certain officers or directors] [an officer or director] of the Company. The [waiver] [release] will take effect on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xml:space="preserve"> 20__, and the shares may be sold on or after such date.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0" w:name="page311"/>
    <w:bookmarkEnd w:id="310"/>
    <w:p>
      <w:pPr>
        <w:spacing w:after="0"/>
        <w:tabs>
          <w:tab w:leader="none" w:pos="1018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color w:val="auto"/>
        </w:rPr>
        <w:t>ADDENDUM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Letterhead of Roth Capital Partners, LLC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Ordinary Shares represented by American Depositary Shares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name and address of officer or director requesting waiver</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Mr./Ms.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name</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This letter is being delivered to you in connection with the offering by Genenta Science S.p.A. (the “</w:t>
      </w:r>
      <w:r>
        <w:rPr>
          <w:rFonts w:ascii="Arial" w:cs="Arial" w:eastAsia="Arial" w:hAnsi="Arial"/>
          <w:sz w:val="18"/>
          <w:szCs w:val="18"/>
          <w:u w:val="single" w:color="auto"/>
          <w:color w:val="auto"/>
        </w:rPr>
        <w:t>Company</w:t>
      </w:r>
      <w:r>
        <w:rPr>
          <w:rFonts w:ascii="Arial" w:cs="Arial" w:eastAsia="Arial" w:hAnsi="Arial"/>
          <w:sz w:val="18"/>
          <w:szCs w:val="18"/>
          <w:color w:val="auto"/>
        </w:rPr>
        <w:t>”) of an aggregate of [●] American Depositary Shares (“</w:t>
      </w:r>
      <w:r>
        <w:rPr>
          <w:rFonts w:ascii="Arial" w:cs="Arial" w:eastAsia="Arial" w:hAnsi="Arial"/>
          <w:sz w:val="18"/>
          <w:szCs w:val="18"/>
          <w:u w:val="single" w:color="auto"/>
          <w:color w:val="auto"/>
        </w:rPr>
        <w:t>ADSs</w:t>
      </w:r>
      <w:r>
        <w:rPr>
          <w:rFonts w:ascii="Arial" w:cs="Arial" w:eastAsia="Arial" w:hAnsi="Arial"/>
          <w:sz w:val="18"/>
          <w:szCs w:val="18"/>
          <w:color w:val="auto"/>
        </w:rPr>
        <w:t xml:space="preserve">”), representing Ordinary Shares, no par value, of the Company, represented by and the lock-up letter dated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b w:val="1"/>
          <w:bCs w:val="1"/>
          <w:color w:val="auto"/>
        </w:rPr>
        <w:t>]</w:t>
      </w:r>
      <w:r>
        <w:rPr>
          <w:rFonts w:ascii="Arial" w:cs="Arial" w:eastAsia="Arial" w:hAnsi="Arial"/>
          <w:sz w:val="18"/>
          <w:szCs w:val="18"/>
          <w:color w:val="auto"/>
        </w:rPr>
        <w:t>, 2021 (the “</w:t>
      </w:r>
      <w:r>
        <w:rPr>
          <w:rFonts w:ascii="Arial" w:cs="Arial" w:eastAsia="Arial" w:hAnsi="Arial"/>
          <w:sz w:val="18"/>
          <w:szCs w:val="18"/>
          <w:u w:val="single" w:color="auto"/>
          <w:color w:val="auto"/>
        </w:rPr>
        <w:t>Lock-up Letter</w:t>
      </w:r>
      <w:r>
        <w:rPr>
          <w:rFonts w:ascii="Arial" w:cs="Arial" w:eastAsia="Arial" w:hAnsi="Arial"/>
          <w:sz w:val="18"/>
          <w:szCs w:val="18"/>
          <w:color w:val="auto"/>
        </w:rPr>
        <w:t>”), executed by you in connection with such offering, and your request for a [waiver] [release] dated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20__,</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 shares of [ADSs] [Ordinary Shares]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7"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 xml:space="preserve">Roth Capital Partners, LLC hereby agrees to [waive] [release] the transfer restrictions set forth in the Lock-up Letter, but only with respect to the Shares, effective </w:t>
      </w:r>
      <w:r>
        <w:rPr>
          <w:rFonts w:ascii="Arial" w:cs="Arial" w:eastAsia="Arial" w:hAnsi="Arial"/>
          <w:sz w:val="18"/>
          <w:szCs w:val="18"/>
          <w:b w:val="1"/>
          <w:bCs w:val="1"/>
          <w:color w:val="auto"/>
        </w:rPr>
        <w:t>[</w:t>
      </w:r>
      <w:r>
        <w:rPr>
          <w:rFonts w:ascii="Arial" w:cs="Arial" w:eastAsia="Arial" w:hAnsi="Arial"/>
          <w:sz w:val="18"/>
          <w:szCs w:val="18"/>
          <w:i w:val="1"/>
          <w:iCs w:val="1"/>
          <w:color w:val="auto"/>
        </w:rPr>
        <w:t>insert date</w:t>
      </w:r>
      <w:r>
        <w:rPr>
          <w:rFonts w:ascii="Arial" w:cs="Arial" w:eastAsia="Arial" w:hAnsi="Arial"/>
          <w:sz w:val="18"/>
          <w:szCs w:val="18"/>
          <w:b w:val="1"/>
          <w:bCs w:val="1"/>
          <w:color w:val="auto"/>
        </w:rPr>
        <w:t>]</w:t>
      </w:r>
      <w:r>
        <w:rPr>
          <w:rFonts w:ascii="Arial" w:cs="Arial" w:eastAsia="Arial" w:hAnsi="Arial"/>
          <w:sz w:val="18"/>
          <w:szCs w:val="18"/>
          <w:color w:val="auto"/>
        </w:rPr>
        <w:t xml:space="preserve">, 20__;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Roth Capital Partners,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cc: 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1" w:name="page312"/>
    <w:bookmarkEnd w:id="311"/>
    <w:p>
      <w:pPr>
        <w:ind w:left="10400"/>
        <w:spacing w:after="0"/>
        <w:rPr>
          <w:sz w:val="20"/>
          <w:szCs w:val="20"/>
          <w:color w:val="auto"/>
        </w:rPr>
      </w:pPr>
      <w:r>
        <w:rPr>
          <w:rFonts w:ascii="Arial" w:cs="Arial" w:eastAsia="Arial" w:hAnsi="Arial"/>
          <w:sz w:val="16"/>
          <w:szCs w:val="16"/>
          <w:b w:val="1"/>
          <w:bCs w:val="1"/>
          <w:color w:val="auto"/>
        </w:rPr>
        <w:t>Exhibit 4.4</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NOTE ABOUT TRANSLATION: This document is an English translation of a document in Italian language. In preparing this document, an attempt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has been made to translate as literally as possible without jeopardizing the overall continuity of the text. Inevitably, however, differences may occur in translation and if they do, the Italian text will govern by law. In this translation, Italian legal concepts are expressed in English terms and not in their original Italian terms. The concepts concerned may not be identical to concepts described by the English terms as such terms may be understood under the laws of other jurisdictions</w:t>
      </w:r>
      <w:r>
        <w:rPr>
          <w:rFonts w:ascii="Arial" w:cs="Arial" w:eastAsia="Arial" w:hAnsi="Arial"/>
          <w:sz w:val="18"/>
          <w:szCs w:val="18"/>
          <w:b w:val="1"/>
          <w:bCs w:val="1"/>
          <w:color w:val="auto"/>
        </w:rPr>
        <w:t>]</w:t>
      </w:r>
    </w:p>
    <w:p>
      <w:pPr>
        <w:spacing w:after="0" w:line="18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To Genenta Science S.p.A.</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CC’ed</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Intermediary _________________________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OF ORDINARY SHARES OF GENENTA SCIENCE S.P.A.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07" w:lineRule="exact"/>
        <w:rPr>
          <w:sz w:val="20"/>
          <w:szCs w:val="20"/>
          <w:color w:val="auto"/>
        </w:rPr>
      </w:pPr>
    </w:p>
    <w:p>
      <w:pPr>
        <w:jc w:val="both"/>
        <w:ind w:left="660" w:hanging="328"/>
        <w:spacing w:after="0" w:line="257"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In the context of the process of listing the ordinary shares of Genenta Science S.p.A.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represented by </w:t>
      </w:r>
      <w:r>
        <w:rPr>
          <w:rFonts w:ascii="Arial" w:cs="Arial" w:eastAsia="Arial" w:hAnsi="Arial"/>
          <w:sz w:val="18"/>
          <w:szCs w:val="18"/>
          <w:i w:val="1"/>
          <w:iCs w:val="1"/>
          <w:color w:val="auto"/>
        </w:rPr>
        <w:t>American Depositary Shares</w:t>
      </w:r>
      <w:r>
        <w:rPr>
          <w:rFonts w:ascii="Arial" w:cs="Arial" w:eastAsia="Arial" w:hAnsi="Arial"/>
          <w:sz w:val="18"/>
          <w:szCs w:val="18"/>
          <w:color w:val="auto"/>
        </w:rPr>
        <w:t>, on the U.S. Nasdaq Capital Market, on May 20, 2021, the extraordinary Shareholders’ Meeting of the Company has authorized a specific capital increase, with the exclusion of the pre-emption right, to service the transaction;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offering of the securities (the </w:t>
      </w:r>
      <w:r>
        <w:rPr>
          <w:rFonts w:ascii="Arial" w:cs="Arial" w:eastAsia="Arial" w:hAnsi="Arial"/>
          <w:sz w:val="18"/>
          <w:szCs w:val="18"/>
          <w:b w:val="1"/>
          <w:bCs w:val="1"/>
          <w:color w:val="auto"/>
        </w:rPr>
        <w:t>Offering</w:t>
      </w:r>
      <w:r>
        <w:rPr>
          <w:rFonts w:ascii="Arial" w:cs="Arial" w:eastAsia="Arial" w:hAnsi="Arial"/>
          <w:sz w:val="18"/>
          <w:szCs w:val="18"/>
          <w:color w:val="auto"/>
        </w:rPr>
        <w:t xml:space="preserve">) is being made pursuant to an effective registration statement (Form F - 1)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filed by the Company with the Securities and Exchange Commission (the</w:t>
      </w:r>
      <w:r>
        <w:rPr>
          <w:rFonts w:ascii="Arial" w:cs="Arial" w:eastAsia="Arial" w:hAnsi="Arial"/>
          <w:sz w:val="18"/>
          <w:szCs w:val="18"/>
          <w:b w:val="1"/>
          <w:bCs w:val="1"/>
          <w:color w:val="auto"/>
        </w:rPr>
        <w:t xml:space="preserve"> Commission</w:t>
      </w:r>
      <w:r>
        <w:rPr>
          <w:rFonts w:ascii="Arial" w:cs="Arial" w:eastAsia="Arial" w:hAnsi="Arial"/>
          <w:sz w:val="18"/>
          <w:szCs w:val="18"/>
          <w:color w:val="auto"/>
        </w:rPr>
        <w:t>) (including the prospectus contained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Prospectus</w:t>
      </w:r>
      <w:r>
        <w:rPr>
          <w:rFonts w:ascii="Arial" w:cs="Arial" w:eastAsia="Arial" w:hAnsi="Arial"/>
          <w:sz w:val="18"/>
          <w:szCs w:val="18"/>
          <w:color w:val="auto"/>
        </w:rPr>
        <w:t>), Prospectus subject to U.S. regulation, containing information regarding the securities and the terms of the Offering that has been or will be filed with the Commission and made available to the Shareholder, as defined below, by the filing by the Company of an electronic version thereof with the Commission;</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in the context of this Offering, a tranche of newly issued ordinary shares was reserved for subscription by the Company’s existing shareholders (the </w:t>
      </w:r>
      <w:r>
        <w:rPr>
          <w:rFonts w:ascii="Arial" w:cs="Arial" w:eastAsia="Arial" w:hAnsi="Arial"/>
          <w:sz w:val="18"/>
          <w:szCs w:val="18"/>
          <w:b w:val="1"/>
          <w:bCs w:val="1"/>
          <w:color w:val="auto"/>
        </w:rPr>
        <w:t>Reserved Offering</w:t>
      </w:r>
      <w:r>
        <w:rPr>
          <w:rFonts w:ascii="Arial" w:cs="Arial" w:eastAsia="Arial" w:hAnsi="Arial"/>
          <w:sz w:val="18"/>
          <w:szCs w:val="18"/>
          <w:color w:val="auto"/>
        </w:rPr>
        <w:t>);</w:t>
      </w:r>
    </w:p>
    <w:p>
      <w:pPr>
        <w:jc w:val="both"/>
        <w:ind w:left="660" w:hanging="328"/>
        <w:spacing w:after="0" w:line="253"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Reserved Offering falls within the cases of inapplicability of the provisions on public offerings of securities provided for in section 100 of Legislative Decree no. 58 of 24 February 1998 (the </w:t>
      </w:r>
      <w:r>
        <w:rPr>
          <w:rFonts w:ascii="Arial" w:cs="Arial" w:eastAsia="Arial" w:hAnsi="Arial"/>
          <w:sz w:val="18"/>
          <w:szCs w:val="18"/>
          <w:b w:val="1"/>
          <w:bCs w:val="1"/>
          <w:color w:val="auto"/>
        </w:rPr>
        <w:t>Consolidated Law on Finance</w:t>
      </w:r>
      <w:r>
        <w:rPr>
          <w:rFonts w:ascii="Arial" w:cs="Arial" w:eastAsia="Arial" w:hAnsi="Arial"/>
          <w:sz w:val="18"/>
          <w:szCs w:val="18"/>
          <w:color w:val="auto"/>
        </w:rPr>
        <w:t>), section 34-</w:t>
      </w:r>
      <w:r>
        <w:rPr>
          <w:rFonts w:ascii="Arial" w:cs="Arial" w:eastAsia="Arial" w:hAnsi="Arial"/>
          <w:sz w:val="18"/>
          <w:szCs w:val="18"/>
          <w:i w:val="1"/>
          <w:iCs w:val="1"/>
          <w:color w:val="auto"/>
        </w:rPr>
        <w:t>ter</w:t>
      </w:r>
      <w:r>
        <w:rPr>
          <w:rFonts w:ascii="Arial" w:cs="Arial" w:eastAsia="Arial" w:hAnsi="Arial"/>
          <w:sz w:val="18"/>
          <w:szCs w:val="18"/>
          <w:color w:val="auto"/>
        </w:rPr>
        <w:t xml:space="preserve">, of the issuers’ regulations adopted with CONSOB resolution no. 11971 of 14 May 1999 (the </w:t>
      </w:r>
      <w:r>
        <w:rPr>
          <w:rFonts w:ascii="Arial" w:cs="Arial" w:eastAsia="Arial" w:hAnsi="Arial"/>
          <w:sz w:val="18"/>
          <w:szCs w:val="18"/>
          <w:b w:val="1"/>
          <w:bCs w:val="1"/>
          <w:color w:val="auto"/>
        </w:rPr>
        <w:t>Issuers’ Regulation</w:t>
      </w:r>
      <w:r>
        <w:rPr>
          <w:rFonts w:ascii="Arial" w:cs="Arial" w:eastAsia="Arial" w:hAnsi="Arial"/>
          <w:sz w:val="18"/>
          <w:szCs w:val="18"/>
          <w:color w:val="auto"/>
        </w:rPr>
        <w:t xml:space="preserve">) and section 1, paragraph 4, of Regulation (EU) 2017/1129 (the </w:t>
      </w:r>
      <w:r>
        <w:rPr>
          <w:rFonts w:ascii="Arial" w:cs="Arial" w:eastAsia="Arial" w:hAnsi="Arial"/>
          <w:sz w:val="18"/>
          <w:szCs w:val="18"/>
          <w:b w:val="1"/>
          <w:bCs w:val="1"/>
          <w:color w:val="auto"/>
        </w:rPr>
        <w:t>Prospectus Regulation</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undersigned___________________________ (the </w:t>
      </w:r>
      <w:r>
        <w:rPr>
          <w:rFonts w:ascii="Arial" w:cs="Arial" w:eastAsia="Arial" w:hAnsi="Arial"/>
          <w:sz w:val="18"/>
          <w:szCs w:val="18"/>
          <w:b w:val="1"/>
          <w:bCs w:val="1"/>
          <w:color w:val="auto"/>
        </w:rPr>
        <w:t>Shareholder</w:t>
      </w:r>
      <w:r>
        <w:rPr>
          <w:rFonts w:ascii="Arial" w:cs="Arial" w:eastAsia="Arial" w:hAnsi="Arial"/>
          <w:sz w:val="18"/>
          <w:szCs w:val="18"/>
          <w:color w:val="auto"/>
        </w:rPr>
        <w:t>), fiscal code no.____________________________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REPRESENTS</w:t>
      </w:r>
    </w:p>
    <w:p>
      <w:pPr>
        <w:spacing w:after="0" w:line="229" w:lineRule="exact"/>
        <w:rPr>
          <w:sz w:val="20"/>
          <w:szCs w:val="20"/>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be a Shareholder of the Company;</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be a “</w:t>
      </w:r>
      <w:r>
        <w:rPr>
          <w:rFonts w:ascii="Arial" w:cs="Arial" w:eastAsia="Arial" w:hAnsi="Arial"/>
          <w:sz w:val="18"/>
          <w:szCs w:val="18"/>
          <w:i w:val="1"/>
          <w:iCs w:val="1"/>
          <w:color w:val="auto"/>
        </w:rPr>
        <w:t>qualified investor</w:t>
      </w:r>
      <w:r>
        <w:rPr>
          <w:rFonts w:ascii="Arial" w:cs="Arial" w:eastAsia="Arial" w:hAnsi="Arial"/>
          <w:sz w:val="18"/>
          <w:szCs w:val="18"/>
          <w:color w:val="auto"/>
        </w:rPr>
        <w:t>” as defined in the Prospectus Regulations pursuant to Article 2(e);] [</w:t>
      </w:r>
      <w:r>
        <w:rPr>
          <w:rFonts w:ascii="Arial" w:cs="Arial" w:eastAsia="Arial" w:hAnsi="Arial"/>
          <w:sz w:val="18"/>
          <w:szCs w:val="18"/>
          <w:i w:val="1"/>
          <w:iCs w:val="1"/>
          <w:color w:val="auto"/>
        </w:rPr>
        <w:t>Note: this declaration shall be deleted if the</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 is not a qualified investor</w:t>
      </w:r>
      <w:r>
        <w:rPr>
          <w:rFonts w:ascii="Arial" w:cs="Arial" w:eastAsia="Arial" w:hAnsi="Arial"/>
          <w:sz w:val="18"/>
          <w:szCs w:val="18"/>
          <w:color w:val="auto"/>
        </w:rPr>
        <w:t>]; and</w:t>
      </w:r>
    </w:p>
    <w:p>
      <w:pPr>
        <w:ind w:left="660" w:hanging="328"/>
        <w:spacing w:after="0" w:line="260"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that it has received and understands the contents of the Prospectus by accessing the link </w:t>
      </w:r>
      <w:r>
        <w:rPr>
          <w:rFonts w:ascii="Arial" w:cs="Arial" w:eastAsia="Arial" w:hAnsi="Arial"/>
          <w:sz w:val="18"/>
          <w:szCs w:val="18"/>
          <w:u w:val="single" w:color="auto"/>
          <w:color w:val="auto"/>
        </w:rPr>
        <w:t>https://sec.report/CIK/0001838716</w:t>
      </w:r>
      <w:r>
        <w:rPr>
          <w:rFonts w:ascii="Arial" w:cs="Arial" w:eastAsia="Arial" w:hAnsi="Arial"/>
          <w:sz w:val="18"/>
          <w:szCs w:val="18"/>
          <w:color w:val="auto"/>
        </w:rPr>
        <w:t xml:space="preserve"> and fully accepts the terms and conditions of the Prospectus;</w:t>
      </w:r>
    </w:p>
    <w:p>
      <w:pPr>
        <w:spacing w:after="0" w:line="18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REPRESENTS and UNDERTAKES</w:t>
      </w:r>
    </w:p>
    <w:p>
      <w:pPr>
        <w:spacing w:after="0" w:line="225" w:lineRule="exact"/>
        <w:rPr>
          <w:sz w:val="20"/>
          <w:szCs w:val="20"/>
          <w:color w:val="auto"/>
        </w:rPr>
      </w:pPr>
    </w:p>
    <w:p>
      <w:pPr>
        <w:ind w:left="660" w:right="20" w:hanging="328"/>
        <w:spacing w:after="0" w:line="261"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to subscribe ________ newly issued ordinary shares of the Company, forming part of the Reserved Offering, with no par value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for an aggregate purchase price of EUR ______ (the </w:t>
      </w:r>
      <w:r>
        <w:rPr>
          <w:rFonts w:ascii="Arial" w:cs="Arial" w:eastAsia="Arial" w:hAnsi="Arial"/>
          <w:sz w:val="18"/>
          <w:szCs w:val="18"/>
          <w:b w:val="1"/>
          <w:bCs w:val="1"/>
          <w:color w:val="auto"/>
        </w:rPr>
        <w:t>Aggregate Purchase Price</w:t>
      </w:r>
      <w:r>
        <w:rPr>
          <w:rFonts w:ascii="Arial" w:cs="Arial" w:eastAsia="Arial" w:hAnsi="Arial"/>
          <w:sz w:val="18"/>
          <w:szCs w:val="18"/>
          <w:color w:val="auto"/>
        </w:rPr>
        <w:t>);</w:t>
      </w:r>
    </w:p>
    <w:p>
      <w:pPr>
        <w:ind w:left="660" w:hanging="328"/>
        <w:spacing w:after="0" w:line="260"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pay, with a value date of ______ 2021, the Aggregate Purchase Price by wire transfer to the bank account no. ______________________ held by the Company at ____________IBAN______________________________;</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Shares must be registered as follows:</w:t>
      </w:r>
    </w:p>
    <w:p>
      <w:pPr>
        <w:spacing w:after="0" w:line="225" w:lineRule="exact"/>
        <w:rPr>
          <w:sz w:val="20"/>
          <w:szCs w:val="20"/>
          <w:color w:val="auto"/>
        </w:rPr>
      </w:pPr>
    </w:p>
    <w:p>
      <w:pPr>
        <w:ind w:left="980" w:hanging="324"/>
        <w:spacing w:after="0"/>
        <w:tabs>
          <w:tab w:leader="none" w:pos="9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Fiscal code_____________________________________________</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First name, last name, company name_____________________________________________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Date and place of birth__________________________________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Nationality__________________________________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Domicile or registered office__________________________________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Postal Code__________________________________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20"/>
                <w:szCs w:val="20"/>
                <w:color w:val="auto"/>
              </w:rPr>
            </w:pPr>
            <w:r>
              <w:rPr>
                <w:rFonts w:ascii="Arial" w:cs="Arial" w:eastAsia="Arial" w:hAnsi="Arial"/>
                <w:sz w:val="18"/>
                <w:szCs w:val="18"/>
                <w:color w:val="auto"/>
                <w:w w:val="88"/>
              </w:rPr>
              <w:t>The undersigned</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w w:val="98"/>
              </w:rPr>
              <w:t>REPRESENTS</w:t>
            </w:r>
          </w:p>
        </w:tc>
        <w:tc>
          <w:tcPr>
            <w:tcW w:w="5140" w:type="dxa"/>
            <w:vAlign w:val="bottom"/>
            <w:gridSpan w:val="7"/>
          </w:tcPr>
          <w:p>
            <w:pPr>
              <w:ind w:left="740"/>
              <w:spacing w:after="0"/>
              <w:rPr>
                <w:sz w:val="20"/>
                <w:szCs w:val="20"/>
                <w:color w:val="auto"/>
              </w:rPr>
            </w:pPr>
            <w:r>
              <w:rPr>
                <w:rFonts w:ascii="Arial" w:cs="Arial" w:eastAsia="Arial" w:hAnsi="Arial"/>
                <w:sz w:val="18"/>
                <w:szCs w:val="18"/>
                <w:color w:val="auto"/>
              </w:rPr>
              <w:t>to be informed that this subscription is irrevocable;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20" w:type="dxa"/>
            <w:vAlign w:val="bottom"/>
          </w:tcPr>
          <w:p>
            <w:pPr>
              <w:spacing w:after="0"/>
              <w:rPr>
                <w:sz w:val="20"/>
                <w:szCs w:val="20"/>
                <w:color w:val="auto"/>
              </w:rPr>
            </w:pPr>
            <w:r>
              <w:rPr>
                <w:rFonts w:ascii="Arial" w:cs="Arial" w:eastAsia="Arial" w:hAnsi="Arial"/>
                <w:sz w:val="18"/>
                <w:szCs w:val="18"/>
                <w:b w:val="1"/>
                <w:bCs w:val="1"/>
                <w:color w:val="auto"/>
                <w:w w:val="98"/>
              </w:rPr>
              <w:t>REPRESENTS</w:t>
            </w:r>
          </w:p>
        </w:tc>
        <w:tc>
          <w:tcPr>
            <w:tcW w:w="10020" w:type="dxa"/>
            <w:vAlign w:val="bottom"/>
            <w:gridSpan w:val="14"/>
          </w:tcPr>
          <w:p>
            <w:pPr>
              <w:ind w:left="740"/>
              <w:spacing w:after="0"/>
              <w:rPr>
                <w:sz w:val="20"/>
                <w:szCs w:val="20"/>
                <w:color w:val="auto"/>
              </w:rPr>
            </w:pPr>
            <w:r>
              <w:rPr>
                <w:rFonts w:ascii="Arial" w:cs="Arial" w:eastAsia="Arial" w:hAnsi="Arial"/>
                <w:sz w:val="18"/>
                <w:szCs w:val="18"/>
                <w:color w:val="auto"/>
                <w:w w:val="92"/>
              </w:rPr>
              <w:t>that it has independently evaluated the possibility of subscribing the Shares that are part of the Reserved Offering; (ii) that it is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20" w:type="dxa"/>
            <w:vAlign w:val="bottom"/>
            <w:gridSpan w:val="14"/>
          </w:tcPr>
          <w:p>
            <w:pPr>
              <w:ind w:left="740"/>
              <w:spacing w:after="0"/>
              <w:rPr>
                <w:sz w:val="20"/>
                <w:szCs w:val="20"/>
                <w:color w:val="auto"/>
              </w:rPr>
            </w:pPr>
            <w:r>
              <w:rPr>
                <w:rFonts w:ascii="Arial" w:cs="Arial" w:eastAsia="Arial" w:hAnsi="Arial"/>
                <w:sz w:val="18"/>
                <w:szCs w:val="18"/>
                <w:color w:val="auto"/>
                <w:w w:val="98"/>
              </w:rPr>
              <w:t>not (a) domiciled in the United States of America, (b) a U.S. Person as defined in Regulation S under the United States</w:t>
            </w:r>
          </w:p>
        </w:tc>
        <w:tc>
          <w:tcPr>
            <w:tcW w:w="0" w:type="dxa"/>
            <w:vAlign w:val="bottom"/>
          </w:tcPr>
          <w:p>
            <w:pPr>
              <w:spacing w:after="0"/>
              <w:rPr>
                <w:sz w:val="1"/>
                <w:szCs w:val="1"/>
                <w:color w:val="auto"/>
              </w:rPr>
            </w:pPr>
          </w:p>
        </w:tc>
      </w:tr>
      <w:tr>
        <w:trPr>
          <w:trHeight w:val="216"/>
        </w:trPr>
        <w:tc>
          <w:tcPr>
            <w:tcW w:w="1220" w:type="dxa"/>
            <w:vAlign w:val="bottom"/>
            <w:vMerge w:val="restart"/>
          </w:tcPr>
          <w:p>
            <w:pPr>
              <w:spacing w:after="0"/>
              <w:rPr>
                <w:sz w:val="20"/>
                <w:szCs w:val="20"/>
                <w:color w:val="auto"/>
              </w:rPr>
            </w:pPr>
            <w:r>
              <w:rPr>
                <w:rFonts w:ascii="Arial" w:cs="Arial" w:eastAsia="Arial" w:hAnsi="Arial"/>
                <w:sz w:val="18"/>
                <w:szCs w:val="18"/>
                <w:b w:val="1"/>
                <w:bCs w:val="1"/>
                <w:color w:val="auto"/>
                <w:w w:val="99"/>
              </w:rPr>
              <w:t>RECOGNISES</w:t>
            </w:r>
          </w:p>
        </w:tc>
        <w:tc>
          <w:tcPr>
            <w:tcW w:w="10020" w:type="dxa"/>
            <w:vAlign w:val="bottom"/>
            <w:gridSpan w:val="14"/>
          </w:tcPr>
          <w:p>
            <w:pPr>
              <w:ind w:left="740"/>
              <w:spacing w:after="0"/>
              <w:rPr>
                <w:sz w:val="20"/>
                <w:szCs w:val="20"/>
                <w:color w:val="auto"/>
              </w:rPr>
            </w:pPr>
            <w:r>
              <w:rPr>
                <w:rFonts w:ascii="Arial" w:cs="Arial" w:eastAsia="Arial" w:hAnsi="Arial"/>
                <w:sz w:val="18"/>
                <w:szCs w:val="18"/>
                <w:color w:val="auto"/>
                <w:w w:val="93"/>
              </w:rPr>
              <w:t>Securities Act of 1933, as subsequently amended, and (iii) that it is not acting on behalf of or for the benefit of a U.S. Person;</w:t>
            </w: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0020" w:type="dxa"/>
            <w:vAlign w:val="bottom"/>
            <w:gridSpan w:val="14"/>
          </w:tcPr>
          <w:p>
            <w:pPr>
              <w:ind w:left="740"/>
              <w:spacing w:after="0"/>
              <w:rPr>
                <w:sz w:val="20"/>
                <w:szCs w:val="20"/>
                <w:color w:val="auto"/>
              </w:rPr>
            </w:pPr>
            <w:r>
              <w:rPr>
                <w:rFonts w:ascii="Arial" w:cs="Arial" w:eastAsia="Arial" w:hAnsi="Arial"/>
                <w:sz w:val="18"/>
                <w:szCs w:val="18"/>
                <w:color w:val="auto"/>
                <w:w w:val="98"/>
              </w:rPr>
              <w:t>expressly the right of the Company to reject this subscription without the undersigned having any claim for damages or</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20" w:type="dxa"/>
            <w:vAlign w:val="bottom"/>
            <w:gridSpan w:val="14"/>
          </w:tcPr>
          <w:p>
            <w:pPr>
              <w:ind w:left="740"/>
              <w:spacing w:after="0"/>
              <w:rPr>
                <w:sz w:val="20"/>
                <w:szCs w:val="20"/>
                <w:color w:val="auto"/>
              </w:rPr>
            </w:pPr>
            <w:r>
              <w:rPr>
                <w:rFonts w:ascii="Arial" w:cs="Arial" w:eastAsia="Arial" w:hAnsi="Arial"/>
                <w:sz w:val="18"/>
                <w:szCs w:val="18"/>
                <w:color w:val="auto"/>
                <w:w w:val="91"/>
              </w:rPr>
              <w:t>compensation against the Company, if the Offering is withdrawn for any reason and that this subscription is conditional upon the</w:t>
            </w:r>
          </w:p>
        </w:tc>
        <w:tc>
          <w:tcPr>
            <w:tcW w:w="0" w:type="dxa"/>
            <w:vAlign w:val="bottom"/>
          </w:tcPr>
          <w:p>
            <w:pPr>
              <w:spacing w:after="0"/>
              <w:rPr>
                <w:sz w:val="1"/>
                <w:szCs w:val="1"/>
                <w:color w:val="auto"/>
              </w:rPr>
            </w:pPr>
          </w:p>
        </w:tc>
      </w:tr>
      <w:tr>
        <w:trPr>
          <w:trHeight w:val="216"/>
        </w:trPr>
        <w:tc>
          <w:tcPr>
            <w:tcW w:w="1220" w:type="dxa"/>
            <w:vAlign w:val="bottom"/>
            <w:vMerge w:val="restart"/>
          </w:tcPr>
          <w:p>
            <w:pPr>
              <w:spacing w:after="0"/>
              <w:rPr>
                <w:sz w:val="20"/>
                <w:szCs w:val="20"/>
                <w:color w:val="auto"/>
              </w:rPr>
            </w:pPr>
            <w:r>
              <w:rPr>
                <w:rFonts w:ascii="Arial" w:cs="Arial" w:eastAsia="Arial" w:hAnsi="Arial"/>
                <w:sz w:val="18"/>
                <w:szCs w:val="18"/>
                <w:b w:val="1"/>
                <w:bCs w:val="1"/>
                <w:color w:val="auto"/>
              </w:rPr>
              <w:t>TAKES NOTE</w:t>
            </w:r>
          </w:p>
        </w:tc>
        <w:tc>
          <w:tcPr>
            <w:tcW w:w="3940" w:type="dxa"/>
            <w:vAlign w:val="bottom"/>
            <w:gridSpan w:val="6"/>
          </w:tcPr>
          <w:p>
            <w:pPr>
              <w:ind w:left="740"/>
              <w:spacing w:after="0"/>
              <w:rPr>
                <w:sz w:val="20"/>
                <w:szCs w:val="20"/>
                <w:color w:val="auto"/>
              </w:rPr>
            </w:pPr>
            <w:r>
              <w:rPr>
                <w:rFonts w:ascii="Arial" w:cs="Arial" w:eastAsia="Arial" w:hAnsi="Arial"/>
                <w:sz w:val="18"/>
                <w:szCs w:val="18"/>
                <w:color w:val="auto"/>
              </w:rPr>
              <w:t>successful completion of the Offering;</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20" w:type="dxa"/>
            <w:vAlign w:val="bottom"/>
            <w:vMerge w:val="continue"/>
          </w:tcPr>
          <w:p>
            <w:pPr>
              <w:spacing w:after="0"/>
              <w:rPr>
                <w:sz w:val="18"/>
                <w:szCs w:val="18"/>
                <w:color w:val="auto"/>
              </w:rPr>
            </w:pPr>
          </w:p>
        </w:tc>
        <w:tc>
          <w:tcPr>
            <w:tcW w:w="7780" w:type="dxa"/>
            <w:vAlign w:val="bottom"/>
            <w:gridSpan w:val="11"/>
          </w:tcPr>
          <w:p>
            <w:pPr>
              <w:ind w:left="740"/>
              <w:spacing w:after="0"/>
              <w:rPr>
                <w:sz w:val="20"/>
                <w:szCs w:val="20"/>
                <w:color w:val="auto"/>
              </w:rPr>
            </w:pPr>
            <w:r>
              <w:rPr>
                <w:rFonts w:ascii="Arial" w:cs="Arial" w:eastAsia="Arial" w:hAnsi="Arial"/>
                <w:sz w:val="18"/>
                <w:szCs w:val="18"/>
                <w:color w:val="auto"/>
                <w:w w:val="99"/>
              </w:rPr>
              <w:t>that the allocated Shares will be centralised in dematerialised form at Monte Titoli S.p.A.;</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20" w:type="dxa"/>
            <w:vAlign w:val="bottom"/>
          </w:tcPr>
          <w:p>
            <w:pPr>
              <w:spacing w:after="0"/>
              <w:rPr>
                <w:sz w:val="20"/>
                <w:szCs w:val="20"/>
                <w:color w:val="auto"/>
              </w:rPr>
            </w:pPr>
            <w:r>
              <w:rPr>
                <w:rFonts w:ascii="Arial" w:cs="Arial" w:eastAsia="Arial" w:hAnsi="Arial"/>
                <w:sz w:val="18"/>
                <w:szCs w:val="18"/>
                <w:b w:val="1"/>
                <w:bCs w:val="1"/>
                <w:color w:val="auto"/>
              </w:rPr>
              <w:t>REQUESTS</w:t>
            </w:r>
          </w:p>
        </w:tc>
        <w:tc>
          <w:tcPr>
            <w:tcW w:w="10020" w:type="dxa"/>
            <w:vAlign w:val="bottom"/>
            <w:gridSpan w:val="14"/>
          </w:tcPr>
          <w:p>
            <w:pPr>
              <w:ind w:left="740"/>
              <w:spacing w:after="0"/>
              <w:rPr>
                <w:sz w:val="20"/>
                <w:szCs w:val="20"/>
                <w:color w:val="auto"/>
              </w:rPr>
            </w:pPr>
            <w:r>
              <w:rPr>
                <w:rFonts w:ascii="Arial" w:cs="Arial" w:eastAsia="Arial" w:hAnsi="Arial"/>
                <w:sz w:val="18"/>
                <w:szCs w:val="18"/>
                <w:color w:val="auto"/>
                <w:w w:val="92"/>
              </w:rPr>
              <w:t>that the Shares will be credited to the Monte Titoli account no. _______ opened by the depository intermediary ___________,</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20" w:type="dxa"/>
            <w:vAlign w:val="bottom"/>
            <w:gridSpan w:val="14"/>
          </w:tcPr>
          <w:p>
            <w:pPr>
              <w:ind w:left="740"/>
              <w:spacing w:after="0"/>
              <w:rPr>
                <w:sz w:val="20"/>
                <w:szCs w:val="20"/>
                <w:color w:val="auto"/>
              </w:rPr>
            </w:pPr>
            <w:r>
              <w:rPr>
                <w:rFonts w:ascii="Arial" w:cs="Arial" w:eastAsia="Arial" w:hAnsi="Arial"/>
                <w:sz w:val="18"/>
                <w:szCs w:val="18"/>
                <w:color w:val="auto"/>
              </w:rPr>
              <w:t>crediting  them  to  the  securities  deposit  no.  _________,  ABI  _______  CAB  ___________  in  the  name  of</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20" w:type="dxa"/>
            <w:vAlign w:val="bottom"/>
            <w:gridSpan w:val="14"/>
          </w:tcPr>
          <w:p>
            <w:pPr>
              <w:ind w:left="740"/>
              <w:spacing w:after="0"/>
              <w:rPr>
                <w:sz w:val="20"/>
                <w:szCs w:val="20"/>
                <w:color w:val="auto"/>
              </w:rPr>
            </w:pPr>
            <w:r>
              <w:rPr>
                <w:rFonts w:ascii="Arial" w:cs="Arial" w:eastAsia="Arial" w:hAnsi="Arial"/>
                <w:sz w:val="18"/>
                <w:szCs w:val="18"/>
                <w:color w:val="auto"/>
                <w:w w:val="94"/>
              </w:rPr>
              <w:t>______________________and opened at _____________________ (name of the intermediary with which the Shareholder</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340" w:type="dxa"/>
            <w:vAlign w:val="bottom"/>
          </w:tcPr>
          <w:p>
            <w:pPr>
              <w:ind w:left="740"/>
              <w:spacing w:after="0"/>
              <w:rPr>
                <w:sz w:val="20"/>
                <w:szCs w:val="20"/>
                <w:color w:val="auto"/>
              </w:rPr>
            </w:pPr>
            <w:r>
              <w:rPr>
                <w:rFonts w:ascii="Arial" w:cs="Arial" w:eastAsia="Arial" w:hAnsi="Arial"/>
                <w:sz w:val="18"/>
                <w:szCs w:val="18"/>
                <w:color w:val="auto"/>
              </w:rPr>
              <w:t>holds</w:t>
            </w:r>
          </w:p>
        </w:tc>
        <w:tc>
          <w:tcPr>
            <w:tcW w:w="580" w:type="dxa"/>
            <w:vAlign w:val="bottom"/>
          </w:tcPr>
          <w:p>
            <w:pPr>
              <w:ind w:left="180"/>
              <w:spacing w:after="0"/>
              <w:rPr>
                <w:sz w:val="20"/>
                <w:szCs w:val="20"/>
                <w:color w:val="auto"/>
              </w:rPr>
            </w:pPr>
            <w:r>
              <w:rPr>
                <w:rFonts w:ascii="Arial" w:cs="Arial" w:eastAsia="Arial" w:hAnsi="Arial"/>
                <w:sz w:val="18"/>
                <w:szCs w:val="18"/>
                <w:color w:val="auto"/>
              </w:rPr>
              <w:t>the</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w w:val="84"/>
              </w:rPr>
              <w:t>Shares</w:t>
            </w:r>
          </w:p>
        </w:tc>
        <w:tc>
          <w:tcPr>
            <w:tcW w:w="660" w:type="dxa"/>
            <w:vAlign w:val="bottom"/>
          </w:tcPr>
          <w:p>
            <w:pPr>
              <w:ind w:left="360"/>
              <w:spacing w:after="0"/>
              <w:rPr>
                <w:sz w:val="20"/>
                <w:szCs w:val="20"/>
                <w:color w:val="auto"/>
              </w:rPr>
            </w:pPr>
            <w:r>
              <w:rPr>
                <w:rFonts w:ascii="Arial" w:cs="Arial" w:eastAsia="Arial" w:hAnsi="Arial"/>
                <w:sz w:val="18"/>
                <w:szCs w:val="18"/>
                <w:color w:val="auto"/>
              </w:rPr>
              <w:t>of</w:t>
            </w:r>
          </w:p>
        </w:tc>
        <w:tc>
          <w:tcPr>
            <w:tcW w:w="660" w:type="dxa"/>
            <w:vAlign w:val="bottom"/>
          </w:tcPr>
          <w:p>
            <w:pPr>
              <w:ind w:left="240"/>
              <w:spacing w:after="0"/>
              <w:rPr>
                <w:sz w:val="20"/>
                <w:szCs w:val="20"/>
                <w:color w:val="auto"/>
              </w:rPr>
            </w:pPr>
            <w:r>
              <w:rPr>
                <w:rFonts w:ascii="Arial" w:cs="Arial" w:eastAsia="Arial" w:hAnsi="Arial"/>
                <w:sz w:val="18"/>
                <w:szCs w:val="18"/>
                <w:color w:val="auto"/>
              </w:rPr>
              <w:t>the</w:t>
            </w:r>
          </w:p>
        </w:tc>
        <w:tc>
          <w:tcPr>
            <w:tcW w:w="1200" w:type="dxa"/>
            <w:vAlign w:val="bottom"/>
          </w:tcPr>
          <w:p>
            <w:pPr>
              <w:ind w:left="200"/>
              <w:spacing w:after="0"/>
              <w:rPr>
                <w:sz w:val="20"/>
                <w:szCs w:val="20"/>
                <w:color w:val="auto"/>
              </w:rPr>
            </w:pPr>
            <w:r>
              <w:rPr>
                <w:rFonts w:ascii="Arial" w:cs="Arial" w:eastAsia="Arial" w:hAnsi="Arial"/>
                <w:sz w:val="18"/>
                <w:szCs w:val="18"/>
                <w:color w:val="auto"/>
              </w:rPr>
              <w:t>Company);</w:t>
            </w:r>
          </w:p>
        </w:tc>
        <w:tc>
          <w:tcPr>
            <w:tcW w:w="1080" w:type="dxa"/>
            <w:vAlign w:val="bottom"/>
          </w:tcPr>
          <w:p>
            <w:pPr>
              <w:ind w:left="200"/>
              <w:spacing w:after="0"/>
              <w:rPr>
                <w:sz w:val="20"/>
                <w:szCs w:val="20"/>
                <w:color w:val="auto"/>
              </w:rPr>
            </w:pPr>
            <w:r>
              <w:rPr>
                <w:rFonts w:ascii="Arial" w:cs="Arial" w:eastAsia="Arial" w:hAnsi="Arial"/>
                <w:sz w:val="18"/>
                <w:szCs w:val="18"/>
                <w:color w:val="auto"/>
              </w:rPr>
              <w:t>contact</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person</w:t>
            </w:r>
          </w:p>
        </w:tc>
        <w:tc>
          <w:tcPr>
            <w:tcW w:w="780" w:type="dxa"/>
            <w:vAlign w:val="bottom"/>
          </w:tcPr>
          <w:p>
            <w:pPr>
              <w:ind w:left="100"/>
              <w:spacing w:after="0"/>
              <w:rPr>
                <w:sz w:val="20"/>
                <w:szCs w:val="20"/>
                <w:color w:val="auto"/>
              </w:rPr>
            </w:pPr>
            <w:r>
              <w:rPr>
                <w:rFonts w:ascii="Arial" w:cs="Arial" w:eastAsia="Arial" w:hAnsi="Arial"/>
                <w:sz w:val="18"/>
                <w:szCs w:val="18"/>
                <w:color w:val="auto"/>
              </w:rPr>
              <w:t>details</w:t>
            </w:r>
          </w:p>
        </w:tc>
        <w:tc>
          <w:tcPr>
            <w:tcW w:w="520" w:type="dxa"/>
            <w:vAlign w:val="bottom"/>
          </w:tcPr>
          <w:p>
            <w:pPr>
              <w:ind w:left="180"/>
              <w:spacing w:after="0"/>
              <w:rPr>
                <w:sz w:val="20"/>
                <w:szCs w:val="20"/>
                <w:color w:val="auto"/>
              </w:rPr>
            </w:pPr>
            <w:r>
              <w:rPr>
                <w:rFonts w:ascii="Arial" w:cs="Arial" w:eastAsia="Arial" w:hAnsi="Arial"/>
                <w:sz w:val="18"/>
                <w:szCs w:val="18"/>
                <w:color w:val="auto"/>
              </w:rPr>
              <w:t>at</w:t>
            </w:r>
          </w:p>
        </w:tc>
        <w:tc>
          <w:tcPr>
            <w:tcW w:w="640" w:type="dxa"/>
            <w:vAlign w:val="bottom"/>
          </w:tcPr>
          <w:p>
            <w:pPr>
              <w:ind w:left="180"/>
              <w:spacing w:after="0"/>
              <w:rPr>
                <w:sz w:val="20"/>
                <w:szCs w:val="20"/>
                <w:color w:val="auto"/>
              </w:rPr>
            </w:pPr>
            <w:r>
              <w:rPr>
                <w:rFonts w:ascii="Arial" w:cs="Arial" w:eastAsia="Arial" w:hAnsi="Arial"/>
                <w:sz w:val="18"/>
                <w:szCs w:val="18"/>
                <w:color w:val="auto"/>
              </w:rPr>
              <w:t>the</w:t>
            </w:r>
          </w:p>
        </w:tc>
        <w:tc>
          <w:tcPr>
            <w:tcW w:w="1080" w:type="dxa"/>
            <w:vAlign w:val="bottom"/>
          </w:tcPr>
          <w:p>
            <w:pPr>
              <w:ind w:left="160"/>
              <w:spacing w:after="0"/>
              <w:rPr>
                <w:sz w:val="20"/>
                <w:szCs w:val="20"/>
                <w:color w:val="auto"/>
              </w:rPr>
            </w:pPr>
            <w:r>
              <w:rPr>
                <w:rFonts w:ascii="Arial" w:cs="Arial" w:eastAsia="Arial" w:hAnsi="Arial"/>
                <w:sz w:val="18"/>
                <w:szCs w:val="18"/>
                <w:color w:val="auto"/>
                <w:w w:val="90"/>
              </w:rPr>
              <w:t>intermediary</w:t>
            </w:r>
          </w:p>
        </w:tc>
        <w:tc>
          <w:tcPr>
            <w:tcW w:w="0" w:type="dxa"/>
            <w:vAlign w:val="bottom"/>
          </w:tcPr>
          <w:p>
            <w:pPr>
              <w:spacing w:after="0"/>
              <w:rPr>
                <w:sz w:val="1"/>
                <w:szCs w:val="1"/>
                <w:color w:val="auto"/>
              </w:rPr>
            </w:pPr>
          </w:p>
        </w:tc>
      </w:tr>
      <w:tr>
        <w:trPr>
          <w:trHeight w:val="216"/>
        </w:trPr>
        <w:tc>
          <w:tcPr>
            <w:tcW w:w="1220" w:type="dxa"/>
            <w:vAlign w:val="bottom"/>
            <w:vMerge w:val="restart"/>
          </w:tcPr>
          <w:p>
            <w:pPr>
              <w:spacing w:after="0"/>
              <w:rPr>
                <w:sz w:val="20"/>
                <w:szCs w:val="20"/>
                <w:color w:val="auto"/>
              </w:rPr>
            </w:pPr>
            <w:r>
              <w:rPr>
                <w:rFonts w:ascii="Arial" w:cs="Arial" w:eastAsia="Arial" w:hAnsi="Arial"/>
                <w:sz w:val="18"/>
                <w:szCs w:val="18"/>
                <w:b w:val="1"/>
                <w:bCs w:val="1"/>
                <w:color w:val="auto"/>
              </w:rPr>
              <w:t>CONFIRMS</w:t>
            </w:r>
          </w:p>
        </w:tc>
        <w:tc>
          <w:tcPr>
            <w:tcW w:w="6220" w:type="dxa"/>
            <w:vAlign w:val="bottom"/>
            <w:gridSpan w:val="8"/>
          </w:tcPr>
          <w:p>
            <w:pPr>
              <w:ind w:left="740"/>
              <w:spacing w:after="0"/>
              <w:rPr>
                <w:sz w:val="20"/>
                <w:szCs w:val="20"/>
                <w:color w:val="auto"/>
              </w:rPr>
            </w:pPr>
            <w:r>
              <w:rPr>
                <w:rFonts w:ascii="Arial" w:cs="Arial" w:eastAsia="Arial" w:hAnsi="Arial"/>
                <w:sz w:val="18"/>
                <w:szCs w:val="18"/>
                <w:color w:val="auto"/>
                <w:w w:val="92"/>
              </w:rPr>
              <w:t>___________________________________________________________</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20" w:type="dxa"/>
            <w:vAlign w:val="bottom"/>
            <w:vMerge w:val="continue"/>
          </w:tcPr>
          <w:p>
            <w:pPr>
              <w:spacing w:after="0"/>
              <w:rPr>
                <w:sz w:val="18"/>
                <w:szCs w:val="18"/>
                <w:color w:val="auto"/>
              </w:rPr>
            </w:pPr>
          </w:p>
        </w:tc>
        <w:tc>
          <w:tcPr>
            <w:tcW w:w="8940" w:type="dxa"/>
            <w:vAlign w:val="bottom"/>
            <w:gridSpan w:val="13"/>
          </w:tcPr>
          <w:p>
            <w:pPr>
              <w:ind w:left="740"/>
              <w:spacing w:after="0"/>
              <w:rPr>
                <w:sz w:val="20"/>
                <w:szCs w:val="20"/>
                <w:color w:val="auto"/>
              </w:rPr>
            </w:pPr>
            <w:r>
              <w:rPr>
                <w:rFonts w:ascii="Arial" w:cs="Arial" w:eastAsia="Arial" w:hAnsi="Arial"/>
                <w:sz w:val="18"/>
                <w:szCs w:val="18"/>
                <w:color w:val="auto"/>
                <w:w w:val="93"/>
              </w:rPr>
              <w:t>under its own responsibility, for all legal purposes, the accuracy of the information reported in this subscription;</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b w:val="1"/>
                <w:bCs w:val="1"/>
                <w:color w:val="auto"/>
                <w:w w:val="98"/>
              </w:rPr>
              <w:t>REPRESENTS</w:t>
            </w:r>
          </w:p>
        </w:tc>
        <w:tc>
          <w:tcPr>
            <w:tcW w:w="7000" w:type="dxa"/>
            <w:vAlign w:val="bottom"/>
            <w:gridSpan w:val="10"/>
          </w:tcPr>
          <w:p>
            <w:pPr>
              <w:ind w:left="740"/>
              <w:spacing w:after="0"/>
              <w:rPr>
                <w:sz w:val="20"/>
                <w:szCs w:val="20"/>
                <w:color w:val="auto"/>
              </w:rPr>
            </w:pPr>
            <w:r>
              <w:rPr>
                <w:rFonts w:ascii="Arial" w:cs="Arial" w:eastAsia="Arial" w:hAnsi="Arial"/>
                <w:sz w:val="18"/>
                <w:szCs w:val="18"/>
                <w:color w:val="auto"/>
                <w:w w:val="97"/>
              </w:rPr>
              <w:t>to be informed that any irregularity in this subscription will lead to its cancellation;</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20" w:type="dxa"/>
            <w:vAlign w:val="bottom"/>
          </w:tcPr>
          <w:p>
            <w:pPr>
              <w:spacing w:after="0"/>
              <w:rPr>
                <w:sz w:val="20"/>
                <w:szCs w:val="20"/>
                <w:color w:val="auto"/>
              </w:rPr>
            </w:pPr>
            <w:r>
              <w:rPr>
                <w:rFonts w:ascii="Arial" w:cs="Arial" w:eastAsia="Arial" w:hAnsi="Arial"/>
                <w:sz w:val="18"/>
                <w:szCs w:val="18"/>
                <w:b w:val="1"/>
                <w:bCs w:val="1"/>
                <w:color w:val="auto"/>
              </w:rPr>
              <w:t>CONFIRMS</w:t>
            </w:r>
          </w:p>
        </w:tc>
        <w:tc>
          <w:tcPr>
            <w:tcW w:w="10020" w:type="dxa"/>
            <w:vAlign w:val="bottom"/>
            <w:gridSpan w:val="14"/>
          </w:tcPr>
          <w:p>
            <w:pPr>
              <w:ind w:left="740"/>
              <w:spacing w:after="0"/>
              <w:rPr>
                <w:sz w:val="20"/>
                <w:szCs w:val="20"/>
                <w:color w:val="auto"/>
              </w:rPr>
            </w:pPr>
            <w:r>
              <w:rPr>
                <w:rFonts w:ascii="Arial" w:cs="Arial" w:eastAsia="Arial" w:hAnsi="Arial"/>
                <w:sz w:val="18"/>
                <w:szCs w:val="18"/>
                <w:color w:val="auto"/>
                <w:w w:val="91"/>
              </w:rPr>
              <w:t>that he/she/it has expressly requested that all documents evidencing or relating in any way to the Reserved Offering (other than</w:t>
            </w:r>
          </w:p>
        </w:tc>
        <w:tc>
          <w:tcPr>
            <w:tcW w:w="0" w:type="dxa"/>
            <w:vAlign w:val="bottom"/>
          </w:tcPr>
          <w:p>
            <w:pPr>
              <w:spacing w:after="0"/>
              <w:rPr>
                <w:sz w:val="1"/>
                <w:szCs w:val="1"/>
                <w:color w:val="auto"/>
              </w:rPr>
            </w:pPr>
          </w:p>
        </w:tc>
      </w:tr>
      <w:tr>
        <w:trPr>
          <w:trHeight w:val="216"/>
        </w:trPr>
        <w:tc>
          <w:tcPr>
            <w:tcW w:w="1220" w:type="dxa"/>
            <w:vAlign w:val="bottom"/>
            <w:vMerge w:val="restart"/>
          </w:tcPr>
          <w:p>
            <w:pPr>
              <w:spacing w:after="0"/>
              <w:rPr>
                <w:sz w:val="20"/>
                <w:szCs w:val="20"/>
                <w:color w:val="auto"/>
              </w:rPr>
            </w:pPr>
            <w:r>
              <w:rPr>
                <w:rFonts w:ascii="Arial" w:cs="Arial" w:eastAsia="Arial" w:hAnsi="Arial"/>
                <w:sz w:val="18"/>
                <w:szCs w:val="18"/>
                <w:b w:val="1"/>
                <w:bCs w:val="1"/>
                <w:color w:val="auto"/>
                <w:w w:val="98"/>
              </w:rPr>
              <w:t>REPRESENTS</w:t>
            </w:r>
          </w:p>
        </w:tc>
        <w:tc>
          <w:tcPr>
            <w:tcW w:w="7000" w:type="dxa"/>
            <w:vAlign w:val="bottom"/>
            <w:gridSpan w:val="10"/>
          </w:tcPr>
          <w:p>
            <w:pPr>
              <w:ind w:left="740"/>
              <w:spacing w:after="0"/>
              <w:rPr>
                <w:sz w:val="20"/>
                <w:szCs w:val="20"/>
                <w:color w:val="auto"/>
              </w:rPr>
            </w:pPr>
            <w:r>
              <w:rPr>
                <w:rFonts w:ascii="Arial" w:cs="Arial" w:eastAsia="Arial" w:hAnsi="Arial"/>
                <w:sz w:val="18"/>
                <w:szCs w:val="18"/>
                <w:color w:val="auto"/>
                <w:w w:val="92"/>
              </w:rPr>
              <w:t>this subscription or any related notice) be drawn up in the English language only; and</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0020" w:type="dxa"/>
            <w:vAlign w:val="bottom"/>
            <w:gridSpan w:val="14"/>
          </w:tcPr>
          <w:p>
            <w:pPr>
              <w:ind w:left="740"/>
              <w:spacing w:after="0"/>
              <w:rPr>
                <w:sz w:val="20"/>
                <w:szCs w:val="20"/>
                <w:color w:val="auto"/>
              </w:rPr>
            </w:pPr>
            <w:r>
              <w:rPr>
                <w:rFonts w:ascii="Arial" w:cs="Arial" w:eastAsia="Arial" w:hAnsi="Arial"/>
                <w:sz w:val="18"/>
                <w:szCs w:val="18"/>
                <w:color w:val="auto"/>
                <w:w w:val="93"/>
              </w:rPr>
              <w:t>to be informed that this subscription shall be governed by and interpreted in accordance with Italian law and that any dispute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20" w:type="dxa"/>
            <w:vAlign w:val="bottom"/>
            <w:gridSpan w:val="14"/>
          </w:tcPr>
          <w:p>
            <w:pPr>
              <w:ind w:left="740"/>
              <w:spacing w:after="0"/>
              <w:rPr>
                <w:sz w:val="20"/>
                <w:szCs w:val="20"/>
                <w:color w:val="auto"/>
              </w:rPr>
            </w:pPr>
            <w:r>
              <w:rPr>
                <w:rFonts w:ascii="Arial" w:cs="Arial" w:eastAsia="Arial" w:hAnsi="Arial"/>
                <w:sz w:val="18"/>
                <w:szCs w:val="18"/>
                <w:color w:val="auto"/>
                <w:w w:val="91"/>
              </w:rPr>
              <w:t>arising in connection with the execution and interpretation of this subscription shall be subject to the exclusive jurisdiction of the</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7000" w:type="dxa"/>
            <w:vAlign w:val="bottom"/>
            <w:gridSpan w:val="10"/>
          </w:tcPr>
          <w:p>
            <w:pPr>
              <w:ind w:left="740"/>
              <w:spacing w:after="0"/>
              <w:rPr>
                <w:sz w:val="20"/>
                <w:szCs w:val="20"/>
                <w:color w:val="auto"/>
              </w:rPr>
            </w:pPr>
            <w:r>
              <w:rPr>
                <w:rFonts w:ascii="Arial" w:cs="Arial" w:eastAsia="Arial" w:hAnsi="Arial"/>
                <w:sz w:val="18"/>
                <w:szCs w:val="18"/>
                <w:color w:val="auto"/>
                <w:w w:val="96"/>
              </w:rPr>
              <w:t>Court of Milan, without prejudice to the mandatory jurisdiction established by law.</w:t>
            </w: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(Date and time)</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40" w:type="dxa"/>
            <w:vAlign w:val="bottom"/>
            <w:gridSpan w:val="3"/>
          </w:tcPr>
          <w:p>
            <w:pPr>
              <w:ind w:left="160"/>
              <w:spacing w:after="0"/>
              <w:rPr>
                <w:sz w:val="20"/>
                <w:szCs w:val="20"/>
                <w:color w:val="auto"/>
              </w:rPr>
            </w:pPr>
            <w:r>
              <w:rPr>
                <w:rFonts w:ascii="Arial" w:cs="Arial" w:eastAsia="Arial" w:hAnsi="Arial"/>
                <w:sz w:val="18"/>
                <w:szCs w:val="18"/>
                <w:color w:val="auto"/>
              </w:rPr>
              <w:t>(Signature of the applicant)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20" w:type="dxa"/>
            <w:vAlign w:val="bottom"/>
            <w:gridSpan w:val="4"/>
          </w:tcPr>
          <w:p>
            <w:pPr>
              <w:ind w:left="220"/>
              <w:spacing w:after="0"/>
              <w:rPr>
                <w:sz w:val="20"/>
                <w:szCs w:val="20"/>
                <w:color w:val="auto"/>
              </w:rPr>
            </w:pPr>
            <w:r>
              <w:rPr>
                <w:rFonts w:ascii="Arial" w:cs="Arial" w:eastAsia="Arial" w:hAnsi="Arial"/>
                <w:sz w:val="18"/>
                <w:szCs w:val="18"/>
                <w:color w:val="auto"/>
              </w:rPr>
              <w:t>(Signature of the Company)</w:t>
            </w:r>
          </w:p>
        </w:tc>
        <w:tc>
          <w:tcPr>
            <w:tcW w:w="0" w:type="dxa"/>
            <w:vAlign w:val="bottom"/>
          </w:tcPr>
          <w:p>
            <w:pPr>
              <w:spacing w:after="0"/>
              <w:rPr>
                <w:sz w:val="1"/>
                <w:szCs w:val="1"/>
                <w:color w:val="auto"/>
              </w:rPr>
            </w:pPr>
          </w:p>
        </w:tc>
      </w:tr>
      <w:tr>
        <w:trPr>
          <w:trHeight w:val="425"/>
        </w:trPr>
        <w:tc>
          <w:tcPr>
            <w:tcW w:w="1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313" w:name="page314"/>
    <w:bookmarkEnd w:id="313"/>
    <w:p>
      <w:pPr>
        <w:ind w:left="982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center"/>
        <w:ind w:right="280"/>
        <w:spacing w:after="0" w:line="277" w:lineRule="auto"/>
        <w:rPr>
          <w:sz w:val="20"/>
          <w:szCs w:val="20"/>
          <w:color w:val="auto"/>
        </w:rPr>
      </w:pPr>
      <w:r>
        <w:rPr>
          <w:rFonts w:ascii="Arial" w:cs="Arial" w:eastAsia="Arial" w:hAnsi="Arial"/>
          <w:sz w:val="18"/>
          <w:szCs w:val="18"/>
          <w:color w:val="auto"/>
        </w:rPr>
        <w:t>Certain information in this document indicated with markouts has been omitted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133985</wp:posOffset>
            </wp:positionV>
            <wp:extent cx="7132320" cy="82981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0" w:num="1">
            <w:col w:w="10940"/>
          </w:cols>
          <w:pgMar w:left="620" w:top="355" w:right="339" w:bottom="1440" w:gutter="0" w:footer="0" w:header="0"/>
        </w:sectPr>
      </w:pPr>
    </w:p>
    <w:bookmarkStart w:id="314" w:name="page315"/>
    <w:bookmarkEnd w:id="3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4524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132320" cy="845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1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1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1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81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242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7132320"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242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7132320"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242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7132320"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981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4696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899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89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153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3070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7132320" cy="8307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ind w:left="9820"/>
        <w:spacing w:after="0"/>
        <w:rPr>
          <w:sz w:val="20"/>
          <w:szCs w:val="20"/>
          <w:color w:val="auto"/>
        </w:rPr>
      </w:pPr>
      <w:r>
        <w:rPr>
          <w:rFonts w:ascii="Arial" w:cs="Arial" w:eastAsia="Arial" w:hAnsi="Arial"/>
          <w:sz w:val="19"/>
          <w:szCs w:val="19"/>
          <w:b w:val="1"/>
          <w:bCs w:val="1"/>
          <w:color w:val="auto"/>
        </w:rPr>
        <w:t>Exhibit 10.2</w:t>
      </w:r>
    </w:p>
    <w:p>
      <w:pPr>
        <w:spacing w:after="0" w:line="281" w:lineRule="exact"/>
        <w:rPr>
          <w:sz w:val="20"/>
          <w:szCs w:val="20"/>
          <w:color w:val="auto"/>
        </w:rPr>
      </w:pPr>
    </w:p>
    <w:p>
      <w:pPr>
        <w:jc w:val="center"/>
        <w:ind w:right="280"/>
        <w:spacing w:after="0" w:line="277" w:lineRule="auto"/>
        <w:rPr>
          <w:sz w:val="20"/>
          <w:szCs w:val="20"/>
          <w:color w:val="auto"/>
        </w:rPr>
      </w:pPr>
      <w:r>
        <w:rPr>
          <w:rFonts w:ascii="Arial" w:cs="Arial" w:eastAsia="Arial" w:hAnsi="Arial"/>
          <w:sz w:val="18"/>
          <w:szCs w:val="18"/>
          <w:color w:val="auto"/>
        </w:rPr>
        <w:t>Certain information in this document indicated with markouts has been omitted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133985</wp:posOffset>
            </wp:positionV>
            <wp:extent cx="7132320" cy="84353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0" w:num="1">
            <w:col w:w="10940"/>
          </w:cols>
          <w:pgMar w:left="620" w:top="355" w:right="339" w:bottom="1440"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353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181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7132320" cy="8418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ind w:left="9820"/>
        <w:spacing w:after="0"/>
        <w:rPr>
          <w:sz w:val="20"/>
          <w:szCs w:val="20"/>
          <w:color w:val="auto"/>
        </w:rPr>
      </w:pPr>
      <w:r>
        <w:rPr>
          <w:rFonts w:ascii="Arial" w:cs="Arial" w:eastAsia="Arial" w:hAnsi="Arial"/>
          <w:sz w:val="19"/>
          <w:szCs w:val="19"/>
          <w:b w:val="1"/>
          <w:bCs w:val="1"/>
          <w:color w:val="auto"/>
        </w:rPr>
        <w:t>Exhibit 10.3</w:t>
      </w:r>
    </w:p>
    <w:p>
      <w:pPr>
        <w:spacing w:after="0" w:line="281" w:lineRule="exact"/>
        <w:rPr>
          <w:sz w:val="20"/>
          <w:szCs w:val="20"/>
          <w:color w:val="auto"/>
        </w:rPr>
      </w:pPr>
    </w:p>
    <w:p>
      <w:pPr>
        <w:jc w:val="center"/>
        <w:ind w:right="280"/>
        <w:spacing w:after="0" w:line="277" w:lineRule="auto"/>
        <w:rPr>
          <w:sz w:val="20"/>
          <w:szCs w:val="20"/>
          <w:color w:val="auto"/>
        </w:rPr>
      </w:pPr>
      <w:r>
        <w:rPr>
          <w:rFonts w:ascii="Arial" w:cs="Arial" w:eastAsia="Arial" w:hAnsi="Arial"/>
          <w:sz w:val="18"/>
          <w:szCs w:val="18"/>
          <w:color w:val="auto"/>
        </w:rPr>
        <w:t>Certain information in this document indicated with markouts has been omitted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133985</wp:posOffset>
            </wp:positionV>
            <wp:extent cx="7132320" cy="84270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7132320" cy="8427085"/>
                    </a:xfrm>
                    <a:prstGeom prst="rect">
                      <a:avLst/>
                    </a:prstGeom>
                    <a:noFill/>
                  </pic:spPr>
                </pic:pic>
              </a:graphicData>
            </a:graphic>
          </wp:anchor>
        </w:drawing>
      </w:r>
    </w:p>
    <w:p>
      <w:pPr>
        <w:sectPr>
          <w:pgSz w:w="11900" w:h="16838" w:orient="portrait"/>
          <w:cols w:equalWidth="0" w:num="1">
            <w:col w:w="10940"/>
          </w:cols>
          <w:pgMar w:left="620" w:top="355" w:right="339" w:bottom="1440" w:gutter="0" w:footer="0" w:header="0"/>
        </w:sectPr>
      </w:pPr>
    </w:p>
    <w:bookmarkStart w:id="362" w:name="page363"/>
    <w:bookmarkEnd w:id="3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867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713232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956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132320" cy="849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96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956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7132320" cy="849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956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7132320" cy="849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696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ind w:left="9820"/>
        <w:spacing w:after="0"/>
        <w:rPr>
          <w:sz w:val="20"/>
          <w:szCs w:val="20"/>
          <w:color w:val="auto"/>
        </w:rPr>
      </w:pPr>
      <w:r>
        <w:rPr>
          <w:rFonts w:ascii="Arial" w:cs="Arial" w:eastAsia="Arial" w:hAnsi="Arial"/>
          <w:sz w:val="19"/>
          <w:szCs w:val="19"/>
          <w:b w:val="1"/>
          <w:bCs w:val="1"/>
          <w:color w:val="auto"/>
        </w:rPr>
        <w:t>Exhibit 10.4</w:t>
      </w:r>
    </w:p>
    <w:p>
      <w:pPr>
        <w:spacing w:after="0" w:line="281" w:lineRule="exact"/>
        <w:rPr>
          <w:sz w:val="20"/>
          <w:szCs w:val="20"/>
          <w:color w:val="auto"/>
        </w:rPr>
      </w:pPr>
    </w:p>
    <w:p>
      <w:pPr>
        <w:jc w:val="center"/>
        <w:ind w:right="280"/>
        <w:spacing w:after="0" w:line="277" w:lineRule="auto"/>
        <w:rPr>
          <w:sz w:val="20"/>
          <w:szCs w:val="20"/>
          <w:color w:val="auto"/>
        </w:rPr>
      </w:pPr>
      <w:r>
        <w:rPr>
          <w:rFonts w:ascii="Arial" w:cs="Arial" w:eastAsia="Arial" w:hAnsi="Arial"/>
          <w:sz w:val="18"/>
          <w:szCs w:val="18"/>
          <w:color w:val="auto"/>
        </w:rPr>
        <w:t>Certain information in this document indicated with markouts has been omitted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133985</wp:posOffset>
            </wp:positionV>
            <wp:extent cx="7132320" cy="84353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0" w:num="1">
            <w:col w:w="10940"/>
          </w:cols>
          <w:pgMar w:left="620" w:top="355" w:right="339" w:bottom="1440" w:gutter="0" w:footer="0" w:header="0"/>
        </w:sectPr>
      </w:pPr>
    </w:p>
    <w:bookmarkStart w:id="369" w:name="page370"/>
    <w:bookmarkEnd w:id="3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2" w:name="page373"/>
    <w:bookmarkEnd w:id="3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353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3" w:name="page374"/>
    <w:bookmarkEnd w:id="3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4785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7132320" cy="847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ind w:left="9820"/>
        <w:spacing w:after="0"/>
        <w:rPr>
          <w:sz w:val="20"/>
          <w:szCs w:val="20"/>
          <w:color w:val="auto"/>
        </w:rPr>
      </w:pPr>
      <w:r>
        <w:rPr>
          <w:rFonts w:ascii="Arial" w:cs="Arial" w:eastAsia="Arial" w:hAnsi="Arial"/>
          <w:sz w:val="19"/>
          <w:szCs w:val="19"/>
          <w:b w:val="1"/>
          <w:bCs w:val="1"/>
          <w:color w:val="auto"/>
        </w:rPr>
        <w:t>Exhibit 10.5</w:t>
      </w:r>
    </w:p>
    <w:p>
      <w:pPr>
        <w:spacing w:after="0" w:line="281" w:lineRule="exact"/>
        <w:rPr>
          <w:sz w:val="20"/>
          <w:szCs w:val="20"/>
          <w:color w:val="auto"/>
        </w:rPr>
      </w:pPr>
    </w:p>
    <w:p>
      <w:pPr>
        <w:jc w:val="center"/>
        <w:ind w:right="280"/>
        <w:spacing w:after="0" w:line="277" w:lineRule="auto"/>
        <w:rPr>
          <w:sz w:val="20"/>
          <w:szCs w:val="20"/>
          <w:color w:val="auto"/>
        </w:rPr>
      </w:pPr>
      <w:r>
        <w:rPr>
          <w:rFonts w:ascii="Arial" w:cs="Arial" w:eastAsia="Arial" w:hAnsi="Arial"/>
          <w:sz w:val="18"/>
          <w:szCs w:val="18"/>
          <w:color w:val="auto"/>
        </w:rPr>
        <w:t>Certain information in this document indicated with markouts has been omitted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133985</wp:posOffset>
            </wp:positionV>
            <wp:extent cx="7132320" cy="77666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0" w:num="1">
            <w:col w:w="10940"/>
          </w:cols>
          <w:pgMar w:left="620" w:top="355" w:right="339" w:bottom="1440" w:gutter="0" w:footer="0" w:header="0"/>
        </w:sectPr>
      </w:pPr>
    </w:p>
    <w:bookmarkStart w:id="375" w:name="page376"/>
    <w:bookmarkEnd w:id="3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8095615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8" w:name="page389"/>
    <w:bookmarkEnd w:id="3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9" w:name="page390"/>
    <w:bookmarkEnd w:id="3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0" w:name="page391"/>
    <w:bookmarkEnd w:id="3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8009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132320" cy="780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1" w:name="page392"/>
    <w:bookmarkEnd w:id="3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consent to the inclusion in this Amendment No. 1 to this Registration Statement on Form F-1 and related prospectus of our report dated April 22, 2021, with respect to the financial statements of </w:t>
      </w:r>
      <w:r>
        <w:rPr>
          <w:rFonts w:ascii="Arial" w:cs="Arial" w:eastAsia="Arial" w:hAnsi="Arial"/>
          <w:sz w:val="16"/>
          <w:szCs w:val="16"/>
          <w:b w:val="1"/>
          <w:bCs w:val="1"/>
          <w:color w:val="auto"/>
        </w:rPr>
        <w:t>Genenta Science S.p.A.</w:t>
      </w:r>
      <w:r>
        <w:rPr>
          <w:rFonts w:ascii="Arial" w:cs="Arial" w:eastAsia="Arial" w:hAnsi="Arial"/>
          <w:sz w:val="16"/>
          <w:szCs w:val="16"/>
          <w:color w:val="auto"/>
        </w:rPr>
        <w:t xml:space="preserve"> (formerly Genenta Science S.r.l.) as of December 31, 2020 and 2019, and for the two years then ended, and to the reference to us under the heading “Experts” in this Registration Statement and accompanying prospectus on Form F-1.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A1821B"/>
    <w:multiLevelType w:val="hybridMultilevel"/>
    <w:lvl w:ilvl="0">
      <w:lvlJc w:val="left"/>
      <w:lvlText w:val="(%1)"/>
      <w:numFmt w:val="decimal"/>
      <w:start w:val="1"/>
    </w:lvl>
  </w:abstractNum>
  <w:abstractNum w:abstractNumId="1">
    <w:nsid w:val="7DE67713"/>
    <w:multiLevelType w:val="hybridMultilevel"/>
    <w:lvl w:ilvl="0">
      <w:lvlJc w:val="left"/>
      <w:lvlText w:val="(%1)"/>
      <w:numFmt w:val="decimal"/>
      <w:start w:val="1"/>
    </w:lvl>
  </w:abstractNum>
  <w:abstractNum w:abstractNumId="2">
    <w:nsid w:val="555C55B5"/>
    <w:multiLevelType w:val="hybridMultilevel"/>
    <w:lvl w:ilvl="0">
      <w:lvlJc w:val="left"/>
      <w:lvlText w:val="(%1)"/>
      <w:numFmt w:val="lowerRoman"/>
      <w:start w:val="2"/>
    </w:lvl>
    <w:lvl w:ilvl="1">
      <w:lvlJc w:val="left"/>
      <w:lvlText w:val="●"/>
      <w:numFmt w:val="bullet"/>
      <w:start w:val="1"/>
    </w:lvl>
  </w:abstractNum>
  <w:abstractNum w:abstractNumId="3">
    <w:nsid w:val="3FA62ACA"/>
    <w:multiLevelType w:val="hybridMultilevel"/>
    <w:lvl w:ilvl="0">
      <w:lvlJc w:val="left"/>
      <w:lvlText w:val="●"/>
      <w:numFmt w:val="bullet"/>
      <w:start w:val="1"/>
    </w:lvl>
  </w:abstractNum>
  <w:abstractNum w:abstractNumId="4">
    <w:nsid w:val="14FCE74E"/>
    <w:multiLevelType w:val="hybridMultilevel"/>
    <w:lvl w:ilvl="0">
      <w:lvlJc w:val="left"/>
      <w:lvlText w:val="●"/>
      <w:numFmt w:val="bullet"/>
      <w:start w:val="1"/>
    </w:lvl>
  </w:abstractNum>
  <w:abstractNum w:abstractNumId="5">
    <w:nsid w:val="6A3DD3E8"/>
    <w:multiLevelType w:val="hybridMultilevel"/>
    <w:lvl w:ilvl="0">
      <w:lvlJc w:val="left"/>
      <w:lvlText w:val="●"/>
      <w:numFmt w:val="bullet"/>
      <w:start w:val="1"/>
    </w:lvl>
  </w:abstractNum>
  <w:abstractNum w:abstractNumId="6">
    <w:nsid w:val="71C91298"/>
    <w:multiLevelType w:val="hybridMultilevel"/>
    <w:lvl w:ilvl="0">
      <w:lvlJc w:val="left"/>
      <w:lvlText w:val="●"/>
      <w:numFmt w:val="bullet"/>
      <w:start w:val="1"/>
    </w:lvl>
  </w:abstractNum>
  <w:abstractNum w:abstractNumId="7">
    <w:nsid w:val="9DAF632"/>
    <w:multiLevelType w:val="hybridMultilevel"/>
    <w:lvl w:ilvl="0">
      <w:lvlJc w:val="left"/>
      <w:lvlText w:val="●"/>
      <w:numFmt w:val="bullet"/>
      <w:start w:val="1"/>
    </w:lvl>
  </w:abstractNum>
  <w:abstractNum w:abstractNumId="8">
    <w:nsid w:val="53299938"/>
    <w:multiLevelType w:val="hybridMultilevel"/>
    <w:lvl w:ilvl="0">
      <w:lvlJc w:val="left"/>
      <w:lvlText w:val="●"/>
      <w:numFmt w:val="bullet"/>
      <w:start w:val="1"/>
    </w:lvl>
  </w:abstractNum>
  <w:abstractNum w:abstractNumId="9">
    <w:nsid w:val="1FBFE8E0"/>
    <w:multiLevelType w:val="hybridMultilevel"/>
    <w:lvl w:ilvl="0">
      <w:lvlJc w:val="left"/>
      <w:lvlText w:val="●"/>
      <w:numFmt w:val="bullet"/>
      <w:start w:val="1"/>
    </w:lvl>
  </w:abstractNum>
  <w:abstractNum w:abstractNumId="10">
    <w:nsid w:val="5092CA79"/>
    <w:multiLevelType w:val="hybridMultilevel"/>
    <w:lvl w:ilvl="0">
      <w:lvlJc w:val="left"/>
      <w:lvlText w:val="(%1)"/>
      <w:numFmt w:val="decimal"/>
      <w:start w:val="1"/>
    </w:lvl>
  </w:abstractNum>
  <w:abstractNum w:abstractNumId="11">
    <w:nsid w:val="1D545C4D"/>
    <w:multiLevelType w:val="hybridMultilevel"/>
    <w:lvl w:ilvl="0">
      <w:lvlJc w:val="left"/>
      <w:lvlText w:val="(%1)"/>
      <w:numFmt w:val="decimal"/>
      <w:start w:val="1"/>
    </w:lvl>
  </w:abstractNum>
  <w:abstractNum w:abstractNumId="12">
    <w:nsid w:val="59ADEA3D"/>
    <w:multiLevelType w:val="hybridMultilevel"/>
    <w:lvl w:ilvl="0">
      <w:lvlJc w:val="left"/>
      <w:lvlText w:val="●"/>
      <w:numFmt w:val="bullet"/>
      <w:start w:val="1"/>
    </w:lvl>
  </w:abstractNum>
  <w:abstractNum w:abstractNumId="13">
    <w:nsid w:val="288F1A34"/>
    <w:multiLevelType w:val="hybridMultilevel"/>
    <w:lvl w:ilvl="0">
      <w:lvlJc w:val="left"/>
      <w:lvlText w:val="●"/>
      <w:numFmt w:val="bullet"/>
      <w:start w:val="1"/>
    </w:lvl>
  </w:abstractNum>
  <w:abstractNum w:abstractNumId="14">
    <w:nsid w:val="2A155DBC"/>
    <w:multiLevelType w:val="hybridMultilevel"/>
    <w:lvl w:ilvl="0">
      <w:lvlJc w:val="left"/>
      <w:lvlText w:val="●"/>
      <w:numFmt w:val="bullet"/>
      <w:start w:val="1"/>
    </w:lvl>
  </w:abstractNum>
  <w:abstractNum w:abstractNumId="15">
    <w:nsid w:val="1D9F6E5F"/>
    <w:multiLevelType w:val="hybridMultilevel"/>
    <w:lvl w:ilvl="0">
      <w:lvlJc w:val="left"/>
      <w:lvlText w:val="●"/>
      <w:numFmt w:val="bullet"/>
      <w:start w:val="1"/>
    </w:lvl>
  </w:abstractNum>
  <w:abstractNum w:abstractNumId="16">
    <w:nsid w:val="97E1B4E"/>
    <w:multiLevelType w:val="hybridMultilevel"/>
    <w:lvl w:ilvl="0">
      <w:lvlJc w:val="left"/>
      <w:lvlText w:val="●"/>
      <w:numFmt w:val="bullet"/>
      <w:start w:val="1"/>
    </w:lvl>
  </w:abstractNum>
  <w:abstractNum w:abstractNumId="17">
    <w:nsid w:val="51088277"/>
    <w:multiLevelType w:val="hybridMultilevel"/>
    <w:lvl w:ilvl="0">
      <w:lvlJc w:val="left"/>
      <w:lvlText w:val="●"/>
      <w:numFmt w:val="bullet"/>
      <w:start w:val="1"/>
    </w:lvl>
  </w:abstractNum>
  <w:abstractNum w:abstractNumId="18">
    <w:nsid w:val="1CA0C5FA"/>
    <w:multiLevelType w:val="hybridMultilevel"/>
    <w:lvl w:ilvl="0">
      <w:lvlJc w:val="left"/>
      <w:lvlText w:val="●"/>
      <w:numFmt w:val="bullet"/>
      <w:start w:val="1"/>
    </w:lvl>
  </w:abstractNum>
  <w:abstractNum w:abstractNumId="19">
    <w:nsid w:val="53584BCB"/>
    <w:multiLevelType w:val="hybridMultilevel"/>
    <w:lvl w:ilvl="0">
      <w:lvlJc w:val="left"/>
      <w:lvlText w:val="●"/>
      <w:numFmt w:val="bullet"/>
      <w:start w:val="1"/>
    </w:lvl>
  </w:abstractNum>
  <w:abstractNum w:abstractNumId="20">
    <w:nsid w:val="415E286C"/>
    <w:multiLevelType w:val="hybridMultilevel"/>
    <w:lvl w:ilvl="0">
      <w:lvlJc w:val="left"/>
      <w:lvlText w:val="●"/>
      <w:numFmt w:val="bullet"/>
      <w:start w:val="1"/>
    </w:lvl>
  </w:abstractNum>
  <w:abstractNum w:abstractNumId="21">
    <w:nsid w:val="7C58FD05"/>
    <w:multiLevelType w:val="hybridMultilevel"/>
    <w:lvl w:ilvl="0">
      <w:lvlJc w:val="left"/>
      <w:lvlText w:val="●"/>
      <w:numFmt w:val="bullet"/>
      <w:start w:val="1"/>
    </w:lvl>
  </w:abstractNum>
  <w:abstractNum w:abstractNumId="22">
    <w:nsid w:val="23D86AAC"/>
    <w:multiLevelType w:val="hybridMultilevel"/>
    <w:lvl w:ilvl="0">
      <w:lvlJc w:val="left"/>
      <w:lvlText w:val="●"/>
      <w:numFmt w:val="bullet"/>
      <w:start w:val="1"/>
    </w:lvl>
  </w:abstractNum>
  <w:abstractNum w:abstractNumId="23">
    <w:nsid w:val="45E6D486"/>
    <w:multiLevelType w:val="hybridMultilevel"/>
    <w:lvl w:ilvl="0">
      <w:lvlJc w:val="left"/>
      <w:lvlText w:val="●"/>
      <w:numFmt w:val="bullet"/>
      <w:start w:val="1"/>
    </w:lvl>
  </w:abstractNum>
  <w:abstractNum w:abstractNumId="24">
    <w:nsid w:val="5C10FE21"/>
    <w:multiLevelType w:val="hybridMultilevel"/>
    <w:lvl w:ilvl="0">
      <w:lvlJc w:val="left"/>
      <w:lvlText w:val="●"/>
      <w:numFmt w:val="bullet"/>
      <w:start w:val="1"/>
    </w:lvl>
  </w:abstractNum>
  <w:abstractNum w:abstractNumId="25">
    <w:nsid w:val="E7FFA2B"/>
    <w:multiLevelType w:val="hybridMultilevel"/>
    <w:lvl w:ilvl="0">
      <w:lvlJc w:val="left"/>
      <w:lvlText w:val="●"/>
      <w:numFmt w:val="bullet"/>
      <w:start w:val="1"/>
    </w:lvl>
  </w:abstractNum>
  <w:abstractNum w:abstractNumId="26">
    <w:nsid w:val="3C5991AA"/>
    <w:multiLevelType w:val="hybridMultilevel"/>
    <w:lvl w:ilvl="0">
      <w:lvlJc w:val="left"/>
      <w:lvlText w:val="●"/>
      <w:numFmt w:val="bullet"/>
      <w:start w:val="1"/>
    </w:lvl>
  </w:abstractNum>
  <w:abstractNum w:abstractNumId="27">
    <w:nsid w:val="4BD8591A"/>
    <w:multiLevelType w:val="hybridMultilevel"/>
    <w:lvl w:ilvl="0">
      <w:lvlJc w:val="left"/>
      <w:lvlText w:val="●"/>
      <w:numFmt w:val="bullet"/>
      <w:start w:val="1"/>
    </w:lvl>
  </w:abstractNum>
  <w:abstractNum w:abstractNumId="28">
    <w:nsid w:val="78DF6A55"/>
    <w:multiLevelType w:val="hybridMultilevel"/>
    <w:lvl w:ilvl="0">
      <w:lvlJc w:val="left"/>
      <w:lvlText w:val="●"/>
      <w:numFmt w:val="bullet"/>
      <w:start w:val="1"/>
    </w:lvl>
  </w:abstractNum>
  <w:abstractNum w:abstractNumId="29">
    <w:nsid w:val="39B7AAA2"/>
    <w:multiLevelType w:val="hybridMultilevel"/>
    <w:lvl w:ilvl="0">
      <w:lvlJc w:val="left"/>
      <w:lvlText w:val="●"/>
      <w:numFmt w:val="bullet"/>
      <w:start w:val="1"/>
    </w:lvl>
  </w:abstractNum>
  <w:abstractNum w:abstractNumId="30">
    <w:nsid w:val="2B0D8DBE"/>
    <w:multiLevelType w:val="hybridMultilevel"/>
    <w:lvl w:ilvl="0">
      <w:lvlJc w:val="left"/>
      <w:lvlText w:val="●"/>
      <w:numFmt w:val="bullet"/>
      <w:start w:val="1"/>
    </w:lvl>
  </w:abstractNum>
  <w:abstractNum w:abstractNumId="31">
    <w:nsid w:val="6C80EC70"/>
    <w:multiLevelType w:val="hybridMultilevel"/>
    <w:lvl w:ilvl="0">
      <w:lvlJc w:val="left"/>
      <w:lvlText w:val="●"/>
      <w:numFmt w:val="bullet"/>
      <w:start w:val="1"/>
    </w:lvl>
  </w:abstractNum>
  <w:abstractNum w:abstractNumId="32">
    <w:nsid w:val="379E21B5"/>
    <w:multiLevelType w:val="hybridMultilevel"/>
    <w:lvl w:ilvl="0">
      <w:lvlJc w:val="left"/>
      <w:lvlText w:val="●"/>
      <w:numFmt w:val="bullet"/>
      <w:start w:val="1"/>
    </w:lvl>
  </w:abstractNum>
  <w:abstractNum w:abstractNumId="33">
    <w:nsid w:val="69E373"/>
    <w:multiLevelType w:val="hybridMultilevel"/>
    <w:lvl w:ilvl="0">
      <w:lvlJc w:val="left"/>
      <w:lvlText w:val="●"/>
      <w:numFmt w:val="bullet"/>
      <w:start w:val="1"/>
    </w:lvl>
  </w:abstractNum>
  <w:abstractNum w:abstractNumId="34">
    <w:nsid w:val="2C27173B"/>
    <w:multiLevelType w:val="hybridMultilevel"/>
    <w:lvl w:ilvl="0">
      <w:lvlJc w:val="left"/>
      <w:lvlText w:val="●"/>
      <w:numFmt w:val="bullet"/>
      <w:start w:val="1"/>
    </w:lvl>
  </w:abstractNum>
  <w:abstractNum w:abstractNumId="35">
    <w:nsid w:val="4C9B0904"/>
    <w:multiLevelType w:val="hybridMultilevel"/>
    <w:lvl w:ilvl="0">
      <w:lvlJc w:val="left"/>
      <w:lvlText w:val="●"/>
      <w:numFmt w:val="bullet"/>
      <w:start w:val="1"/>
    </w:lvl>
  </w:abstractNum>
  <w:abstractNum w:abstractNumId="36">
    <w:nsid w:val="6AA7B75C"/>
    <w:multiLevelType w:val="hybridMultilevel"/>
    <w:lvl w:ilvl="0">
      <w:lvlJc w:val="left"/>
      <w:lvlText w:val="●"/>
      <w:numFmt w:val="bullet"/>
      <w:start w:val="1"/>
    </w:lvl>
  </w:abstractNum>
  <w:abstractNum w:abstractNumId="37">
    <w:nsid w:val="1DF029D3"/>
    <w:multiLevelType w:val="hybridMultilevel"/>
    <w:lvl w:ilvl="0">
      <w:lvlJc w:val="left"/>
      <w:lvlText w:val="●"/>
      <w:numFmt w:val="bullet"/>
      <w:start w:val="1"/>
    </w:lvl>
  </w:abstractNum>
  <w:abstractNum w:abstractNumId="38">
    <w:nsid w:val="5675FF36"/>
    <w:multiLevelType w:val="hybridMultilevel"/>
    <w:lvl w:ilvl="0">
      <w:lvlJc w:val="left"/>
      <w:lvlText w:val="●"/>
      <w:numFmt w:val="bullet"/>
      <w:start w:val="1"/>
    </w:lvl>
  </w:abstractNum>
  <w:abstractNum w:abstractNumId="39">
    <w:nsid w:val="3DD15094"/>
    <w:multiLevelType w:val="hybridMultilevel"/>
    <w:lvl w:ilvl="0">
      <w:lvlJc w:val="left"/>
      <w:lvlText w:val="●"/>
      <w:numFmt w:val="bullet"/>
      <w:start w:val="1"/>
    </w:lvl>
  </w:abstractNum>
  <w:abstractNum w:abstractNumId="40">
    <w:nsid w:val="3DB012B3"/>
    <w:multiLevelType w:val="hybridMultilevel"/>
    <w:lvl w:ilvl="0">
      <w:lvlJc w:val="left"/>
      <w:lvlText w:val="●"/>
      <w:numFmt w:val="bullet"/>
      <w:start w:val="1"/>
    </w:lvl>
  </w:abstractNum>
  <w:abstractNum w:abstractNumId="41">
    <w:nsid w:val="2708C9AF"/>
    <w:multiLevelType w:val="hybridMultilevel"/>
    <w:lvl w:ilvl="0">
      <w:lvlJc w:val="left"/>
      <w:lvlText w:val="●"/>
      <w:numFmt w:val="bullet"/>
      <w:start w:val="1"/>
    </w:lvl>
  </w:abstractNum>
  <w:abstractNum w:abstractNumId="42">
    <w:nsid w:val="5B25ACE2"/>
    <w:multiLevelType w:val="hybridMultilevel"/>
    <w:lvl w:ilvl="0">
      <w:lvlJc w:val="left"/>
      <w:lvlText w:val="●"/>
      <w:numFmt w:val="bullet"/>
      <w:start w:val="1"/>
    </w:lvl>
  </w:abstractNum>
  <w:abstractNum w:abstractNumId="43">
    <w:nsid w:val="175DFCF0"/>
    <w:multiLevelType w:val="hybridMultilevel"/>
    <w:lvl w:ilvl="0">
      <w:lvlJc w:val="left"/>
      <w:lvlText w:val="●"/>
      <w:numFmt w:val="bullet"/>
      <w:start w:val="1"/>
    </w:lvl>
  </w:abstractNum>
  <w:abstractNum w:abstractNumId="44">
    <w:nsid w:val="4F97E3E4"/>
    <w:multiLevelType w:val="hybridMultilevel"/>
    <w:lvl w:ilvl="0">
      <w:lvlJc w:val="left"/>
      <w:lvlText w:val="●"/>
      <w:numFmt w:val="bullet"/>
      <w:start w:val="1"/>
    </w:lvl>
  </w:abstractNum>
  <w:abstractNum w:abstractNumId="45">
    <w:nsid w:val="53B0A9E"/>
    <w:multiLevelType w:val="hybridMultilevel"/>
    <w:lvl w:ilvl="0">
      <w:lvlJc w:val="left"/>
      <w:lvlText w:val="-"/>
      <w:numFmt w:val="bullet"/>
      <w:start w:val="1"/>
    </w:lvl>
  </w:abstractNum>
  <w:abstractNum w:abstractNumId="46">
    <w:nsid w:val="34FD6B4F"/>
    <w:multiLevelType w:val="hybridMultilevel"/>
    <w:lvl w:ilvl="0">
      <w:lvlJc w:val="left"/>
      <w:lvlText w:val="●"/>
      <w:numFmt w:val="bullet"/>
      <w:start w:val="1"/>
    </w:lvl>
  </w:abstractNum>
  <w:abstractNum w:abstractNumId="47">
    <w:nsid w:val="5915FF32"/>
    <w:multiLevelType w:val="hybridMultilevel"/>
    <w:lvl w:ilvl="0">
      <w:lvlJc w:val="left"/>
      <w:lvlText w:val="●"/>
      <w:numFmt w:val="bullet"/>
      <w:start w:val="1"/>
    </w:lvl>
  </w:abstractNum>
  <w:abstractNum w:abstractNumId="48">
    <w:nsid w:val="56438D15"/>
    <w:multiLevelType w:val="hybridMultilevel"/>
    <w:lvl w:ilvl="0">
      <w:lvlJc w:val="left"/>
      <w:lvlText w:val="●"/>
      <w:numFmt w:val="bullet"/>
      <w:start w:val="1"/>
    </w:lvl>
  </w:abstractNum>
  <w:abstractNum w:abstractNumId="49">
    <w:nsid w:val="519E3149"/>
    <w:multiLevelType w:val="hybridMultilevel"/>
    <w:lvl w:ilvl="0">
      <w:lvlJc w:val="left"/>
      <w:lvlText w:val="●"/>
      <w:numFmt w:val="bullet"/>
      <w:start w:val="1"/>
    </w:lvl>
  </w:abstractNum>
  <w:abstractNum w:abstractNumId="50">
    <w:nsid w:val="2C6E4AFD"/>
    <w:multiLevelType w:val="hybridMultilevel"/>
    <w:lvl w:ilvl="0">
      <w:lvlJc w:val="left"/>
      <w:lvlText w:val="●"/>
      <w:numFmt w:val="bullet"/>
      <w:start w:val="1"/>
    </w:lvl>
  </w:abstractNum>
  <w:abstractNum w:abstractNumId="51">
    <w:nsid w:val="17A1B582"/>
    <w:multiLevelType w:val="hybridMultilevel"/>
    <w:lvl w:ilvl="0">
      <w:lvlJc w:val="left"/>
      <w:lvlText w:val="●"/>
      <w:numFmt w:val="bullet"/>
      <w:start w:val="1"/>
    </w:lvl>
  </w:abstractNum>
  <w:abstractNum w:abstractNumId="52">
    <w:nsid w:val="4DF72E4E"/>
    <w:multiLevelType w:val="hybridMultilevel"/>
    <w:lvl w:ilvl="0">
      <w:lvlJc w:val="left"/>
      <w:lvlText w:val="(%1)"/>
      <w:numFmt w:val="decimal"/>
      <w:start w:val="1"/>
    </w:lvl>
  </w:abstractNum>
  <w:abstractNum w:abstractNumId="53">
    <w:nsid w:val="5046B5A9"/>
    <w:multiLevelType w:val="hybridMultilevel"/>
    <w:lvl w:ilvl="0">
      <w:lvlJc w:val="left"/>
      <w:lvlText w:val="●"/>
      <w:numFmt w:val="bullet"/>
      <w:start w:val="1"/>
    </w:lvl>
  </w:abstractNum>
  <w:abstractNum w:abstractNumId="54">
    <w:nsid w:val="5D888A08"/>
    <w:multiLevelType w:val="hybridMultilevel"/>
    <w:lvl w:ilvl="0">
      <w:lvlJc w:val="left"/>
      <w:lvlText w:val="●"/>
      <w:numFmt w:val="bullet"/>
      <w:start w:val="1"/>
    </w:lvl>
  </w:abstractNum>
  <w:abstractNum w:abstractNumId="55">
    <w:nsid w:val="2A082C70"/>
    <w:multiLevelType w:val="hybridMultilevel"/>
    <w:lvl w:ilvl="0">
      <w:lvlJc w:val="left"/>
      <w:lvlText w:val="●"/>
      <w:numFmt w:val="bullet"/>
      <w:start w:val="1"/>
    </w:lvl>
  </w:abstractNum>
  <w:abstractNum w:abstractNumId="56">
    <w:nsid w:val="5EC6AFD4"/>
    <w:multiLevelType w:val="hybridMultilevel"/>
    <w:lvl w:ilvl="0">
      <w:lvlJc w:val="left"/>
      <w:lvlText w:val="1"/>
      <w:numFmt w:val="bullet"/>
      <w:start w:val="1"/>
    </w:lvl>
  </w:abstractNum>
  <w:abstractNum w:abstractNumId="57">
    <w:nsid w:val="19E21BB2"/>
    <w:multiLevelType w:val="hybridMultilevel"/>
    <w:lvl w:ilvl="0">
      <w:lvlJc w:val="left"/>
      <w:lvlText w:val="●"/>
      <w:numFmt w:val="bullet"/>
      <w:start w:val="1"/>
    </w:lvl>
  </w:abstractNum>
  <w:abstractNum w:abstractNumId="58">
    <w:nsid w:val="75E0858A"/>
    <w:multiLevelType w:val="hybridMultilevel"/>
    <w:lvl w:ilvl="0">
      <w:lvlJc w:val="left"/>
      <w:lvlText w:val="●"/>
      <w:numFmt w:val="bullet"/>
      <w:start w:val="1"/>
    </w:lvl>
  </w:abstractNum>
  <w:abstractNum w:abstractNumId="59">
    <w:nsid w:val="57A61A29"/>
    <w:multiLevelType w:val="hybridMultilevel"/>
    <w:lvl w:ilvl="0">
      <w:lvlJc w:val="left"/>
      <w:lvlText w:val="●"/>
      <w:numFmt w:val="bullet"/>
      <w:start w:val="1"/>
    </w:lvl>
  </w:abstractNum>
  <w:abstractNum w:abstractNumId="60">
    <w:nsid w:val="5399C654"/>
    <w:multiLevelType w:val="hybridMultilevel"/>
    <w:lvl w:ilvl="0">
      <w:lvlJc w:val="left"/>
      <w:lvlText w:val="●"/>
      <w:numFmt w:val="bullet"/>
      <w:start w:val="1"/>
    </w:lvl>
  </w:abstractNum>
  <w:abstractNum w:abstractNumId="61">
    <w:nsid w:val="20EE1348"/>
    <w:multiLevelType w:val="hybridMultilevel"/>
    <w:lvl w:ilvl="0">
      <w:lvlJc w:val="left"/>
      <w:lvlText w:val="●"/>
      <w:numFmt w:val="bullet"/>
      <w:start w:val="1"/>
    </w:lvl>
  </w:abstractNum>
  <w:abstractNum w:abstractNumId="62">
    <w:nsid w:val="4427069A"/>
    <w:multiLevelType w:val="hybridMultilevel"/>
    <w:lvl w:ilvl="0">
      <w:lvlJc w:val="left"/>
      <w:lvlText w:val="●"/>
      <w:numFmt w:val="bullet"/>
      <w:start w:val="1"/>
    </w:lvl>
  </w:abstractNum>
  <w:abstractNum w:abstractNumId="63">
    <w:nsid w:val="B37E80A"/>
    <w:multiLevelType w:val="hybridMultilevel"/>
    <w:lvl w:ilvl="0">
      <w:lvlJc w:val="left"/>
      <w:lvlText w:val="●"/>
      <w:numFmt w:val="bullet"/>
      <w:start w:val="1"/>
    </w:lvl>
  </w:abstractNum>
  <w:abstractNum w:abstractNumId="64">
    <w:nsid w:val="2157F6BC"/>
    <w:multiLevelType w:val="hybridMultilevel"/>
    <w:lvl w:ilvl="0">
      <w:lvlJc w:val="left"/>
      <w:lvlText w:val="●"/>
      <w:numFmt w:val="bullet"/>
      <w:start w:val="1"/>
    </w:lvl>
  </w:abstractNum>
  <w:abstractNum w:abstractNumId="65">
    <w:nsid w:val="704E1DD5"/>
    <w:multiLevelType w:val="hybridMultilevel"/>
    <w:lvl w:ilvl="0">
      <w:lvlJc w:val="left"/>
      <w:lvlText w:val="●"/>
      <w:numFmt w:val="bullet"/>
      <w:start w:val="1"/>
    </w:lvl>
  </w:abstractNum>
  <w:abstractNum w:abstractNumId="66">
    <w:nsid w:val="57D2F10E"/>
    <w:multiLevelType w:val="hybridMultilevel"/>
    <w:lvl w:ilvl="0">
      <w:lvlJc w:val="left"/>
      <w:lvlText w:val="●"/>
      <w:numFmt w:val="bullet"/>
      <w:start w:val="1"/>
    </w:lvl>
  </w:abstractNum>
  <w:abstractNum w:abstractNumId="67">
    <w:nsid w:val="BFFAE18"/>
    <w:multiLevelType w:val="hybridMultilevel"/>
    <w:lvl w:ilvl="0">
      <w:lvlJc w:val="left"/>
      <w:lvlText w:val="●"/>
      <w:numFmt w:val="bullet"/>
      <w:start w:val="1"/>
    </w:lvl>
  </w:abstractNum>
  <w:abstractNum w:abstractNumId="68">
    <w:nsid w:val="E3E47A8"/>
    <w:multiLevelType w:val="hybridMultilevel"/>
    <w:lvl w:ilvl="0">
      <w:lvlJc w:val="left"/>
      <w:lvlText w:val="●"/>
      <w:numFmt w:val="bullet"/>
      <w:start w:val="1"/>
    </w:lvl>
  </w:abstractNum>
  <w:abstractNum w:abstractNumId="69">
    <w:nsid w:val="2E48F044"/>
    <w:multiLevelType w:val="hybridMultilevel"/>
    <w:lvl w:ilvl="0">
      <w:lvlJc w:val="left"/>
      <w:lvlText w:val="%1."/>
      <w:numFmt w:val="decimal"/>
      <w:start w:val="1"/>
    </w:lvl>
  </w:abstractNum>
  <w:abstractNum w:abstractNumId="70">
    <w:nsid w:val="49D0FEAC"/>
    <w:multiLevelType w:val="hybridMultilevel"/>
    <w:lvl w:ilvl="0">
      <w:lvlJc w:val="left"/>
      <w:lvlText w:val="%1)"/>
      <w:numFmt w:val="lowerLetter"/>
      <w:start w:val="1"/>
    </w:lvl>
  </w:abstractNum>
  <w:abstractNum w:abstractNumId="71">
    <w:nsid w:val="4BEE5A5B"/>
    <w:multiLevelType w:val="hybridMultilevel"/>
    <w:lvl w:ilvl="0">
      <w:lvlJc w:val="left"/>
      <w:lvlText w:val="(%1)"/>
      <w:numFmt w:val="decimal"/>
      <w:start w:val="1"/>
    </w:lvl>
  </w:abstractNum>
  <w:abstractNum w:abstractNumId="72">
    <w:nsid w:val="5551B9F3"/>
    <w:multiLevelType w:val="hybridMultilevel"/>
    <w:lvl w:ilvl="0">
      <w:lvlJc w:val="left"/>
      <w:lvlText w:val="(%1)"/>
      <w:numFmt w:val="lowerRoman"/>
      <w:start w:val="1"/>
    </w:lvl>
  </w:abstractNum>
  <w:abstractNum w:abstractNumId="73">
    <w:nsid w:val="24F6AB8E"/>
    <w:multiLevelType w:val="hybridMultilevel"/>
    <w:lvl w:ilvl="0">
      <w:lvlJc w:val="left"/>
      <w:lvlText w:val="%1"/>
      <w:numFmt w:val="upperLetter"/>
      <w:start w:val="1"/>
    </w:lvl>
    <w:lvl w:ilvl="1">
      <w:lvlJc w:val="left"/>
      <w:lvlText w:val="%2)"/>
      <w:numFmt w:val="upperLetter"/>
      <w:start w:val="1"/>
    </w:lvl>
  </w:abstractNum>
  <w:abstractNum w:abstractNumId="74">
    <w:nsid w:val="634C574C"/>
    <w:multiLevelType w:val="hybridMultilevel"/>
    <w:lvl w:ilvl="0">
      <w:lvlJc w:val="left"/>
      <w:lvlText w:val="%1)"/>
      <w:numFmt w:val="upperLetter"/>
      <w:start w:val="2"/>
    </w:lvl>
    <w:lvl w:ilvl="1">
      <w:lvlJc w:val="left"/>
      <w:lvlText w:val="%2"/>
      <w:numFmt w:val="upperLetter"/>
      <w:start w:val="1"/>
    </w:lvl>
  </w:abstractNum>
  <w:abstractNum w:abstractNumId="75">
    <w:nsid w:val="24E99DD7"/>
    <w:multiLevelType w:val="hybridMultilevel"/>
    <w:lvl w:ilvl="0">
      <w:lvlJc w:val="left"/>
      <w:lvlText w:val="●"/>
      <w:numFmt w:val="bullet"/>
      <w:start w:val="1"/>
    </w:lvl>
  </w:abstractNum>
  <w:abstractNum w:abstractNumId="76">
    <w:nsid w:val="2A31B62D"/>
    <w:multiLevelType w:val="hybridMultilevel"/>
    <w:lvl w:ilvl="0">
      <w:lvlJc w:val="left"/>
      <w:lvlText w:val="●"/>
      <w:numFmt w:val="bullet"/>
      <w:start w:val="1"/>
    </w:lvl>
  </w:abstractNum>
  <w:abstractNum w:abstractNumId="77">
    <w:nsid w:val="1849C29B"/>
    <w:multiLevelType w:val="hybridMultilevel"/>
    <w:lvl w:ilvl="0">
      <w:lvlJc w:val="left"/>
      <w:lvlText w:val="●"/>
      <w:numFmt w:val="bullet"/>
      <w:start w:val="1"/>
    </w:lvl>
  </w:abstractNum>
  <w:abstractNum w:abstractNumId="78">
    <w:nsid w:val="7DFF9D09"/>
    <w:multiLevelType w:val="hybridMultilevel"/>
    <w:lvl w:ilvl="0">
      <w:lvlJc w:val="left"/>
      <w:lvlText w:val="●"/>
      <w:numFmt w:val="bullet"/>
      <w:start w:val="1"/>
    </w:lvl>
  </w:abstractNum>
  <w:abstractNum w:abstractNumId="79">
    <w:nsid w:val="754342"/>
    <w:multiLevelType w:val="hybridMultilevel"/>
    <w:lvl w:ilvl="0">
      <w:lvlJc w:val="left"/>
      <w:lvlText w:val="●"/>
      <w:numFmt w:val="bullet"/>
      <w:start w:val="1"/>
    </w:lvl>
  </w:abstractNum>
  <w:abstractNum w:abstractNumId="80">
    <w:nsid w:val="69E7F3E5"/>
    <w:multiLevelType w:val="hybridMultilevel"/>
    <w:lvl w:ilvl="0">
      <w:lvlJc w:val="left"/>
      <w:lvlText w:val="●"/>
      <w:numFmt w:val="bullet"/>
      <w:start w:val="1"/>
    </w:lvl>
  </w:abstractNum>
  <w:abstractNum w:abstractNumId="81">
    <w:nsid w:val="2A6DE806"/>
    <w:multiLevelType w:val="hybridMultilevel"/>
    <w:lvl w:ilvl="0">
      <w:lvlJc w:val="left"/>
      <w:lvlText w:val="●"/>
      <w:numFmt w:val="bullet"/>
      <w:start w:val="1"/>
    </w:lvl>
  </w:abstractNum>
  <w:abstractNum w:abstractNumId="82">
    <w:nsid w:val="1816F8C4"/>
    <w:multiLevelType w:val="hybridMultilevel"/>
    <w:lvl w:ilvl="0">
      <w:lvlJc w:val="left"/>
      <w:lvlText w:val="●"/>
      <w:numFmt w:val="bullet"/>
      <w:start w:val="1"/>
    </w:lvl>
    <w:lvl w:ilvl="1">
      <w:lvlJc w:val="left"/>
      <w:lvlText w:val="○"/>
      <w:numFmt w:val="bullet"/>
      <w:start w:val="1"/>
    </w:lvl>
  </w:abstractNum>
  <w:abstractNum w:abstractNumId="83">
    <w:nsid w:val="37DF2233"/>
    <w:multiLevelType w:val="hybridMultilevel"/>
    <w:lvl w:ilvl="0">
      <w:lvlJc w:val="left"/>
      <w:lvlText w:val="●"/>
      <w:numFmt w:val="bullet"/>
      <w:start w:val="1"/>
    </w:lvl>
  </w:abstractNum>
  <w:abstractNum w:abstractNumId="84">
    <w:nsid w:val="7AB49DAF"/>
    <w:multiLevelType w:val="hybridMultilevel"/>
    <w:lvl w:ilvl="0">
      <w:lvlJc w:val="left"/>
      <w:lvlText w:val="●"/>
      <w:numFmt w:val="bullet"/>
      <w:start w:val="1"/>
    </w:lvl>
  </w:abstractNum>
  <w:abstractNum w:abstractNumId="85">
    <w:nsid w:val="759F82CD"/>
    <w:multiLevelType w:val="hybridMultilevel"/>
    <w:lvl w:ilvl="0">
      <w:lvlJc w:val="left"/>
      <w:lvlText w:val="●"/>
      <w:numFmt w:val="bullet"/>
      <w:start w:val="1"/>
    </w:lvl>
  </w:abstractNum>
  <w:abstractNum w:abstractNumId="86">
    <w:nsid w:val="61E74EA3"/>
    <w:multiLevelType w:val="hybridMultilevel"/>
    <w:lvl w:ilvl="0">
      <w:lvlJc w:val="left"/>
      <w:lvlText w:val="●"/>
      <w:numFmt w:val="bullet"/>
      <w:start w:val="1"/>
    </w:lvl>
  </w:abstractNum>
  <w:abstractNum w:abstractNumId="87">
    <w:nsid w:val="597B4D84"/>
    <w:multiLevelType w:val="hybridMultilevel"/>
    <w:lvl w:ilvl="0">
      <w:lvlJc w:val="left"/>
      <w:lvlText w:val="%1."/>
      <w:numFmt w:val="decimal"/>
      <w:start w:val="1"/>
    </w:lvl>
  </w:abstractNum>
  <w:abstractNum w:abstractNumId="88">
    <w:nsid w:val="F819E7F"/>
    <w:multiLevelType w:val="hybridMultilevel"/>
    <w:lvl w:ilvl="0">
      <w:lvlJc w:val="left"/>
      <w:lvlText w:val="*"/>
      <w:numFmt w:val="bullet"/>
      <w:start w:val="1"/>
    </w:lvl>
  </w:abstractNum>
  <w:abstractNum w:abstractNumId="89">
    <w:nsid w:val="57C7D42D"/>
    <w:multiLevelType w:val="hybridMultilevel"/>
    <w:lvl w:ilvl="0">
      <w:lvlJc w:val="left"/>
      <w:lvlText w:val="(%1)"/>
      <w:numFmt w:val="lowerLetter"/>
      <w:start w:val="1"/>
    </w:lvl>
  </w:abstractNum>
  <w:abstractNum w:abstractNumId="90">
    <w:nsid w:val="312167AD"/>
    <w:multiLevelType w:val="hybridMultilevel"/>
    <w:lvl w:ilvl="0">
      <w:lvlJc w:val="left"/>
      <w:lvlText w:val="●"/>
      <w:numFmt w:val="bullet"/>
      <w:start w:val="1"/>
    </w:lvl>
  </w:abstractNum>
  <w:abstractNum w:abstractNumId="91">
    <w:nsid w:val="631B64D4"/>
    <w:multiLevelType w:val="hybridMultilevel"/>
    <w:lvl w:ilvl="0">
      <w:lvlJc w:val="left"/>
      <w:lvlText w:val="●"/>
      <w:numFmt w:val="bullet"/>
      <w:start w:val="1"/>
    </w:lvl>
  </w:abstractNum>
  <w:abstractNum w:abstractNumId="92">
    <w:nsid w:val="78B5E776"/>
    <w:multiLevelType w:val="hybridMultilevel"/>
    <w:lvl w:ilvl="0">
      <w:lvlJc w:val="left"/>
      <w:lvlText w:val="●"/>
      <w:numFmt w:val="bullet"/>
      <w:start w:val="1"/>
    </w:lvl>
  </w:abstractNum>
  <w:abstractNum w:abstractNumId="93">
    <w:nsid w:val="75486E47"/>
    <w:multiLevelType w:val="hybridMultilevel"/>
    <w:lvl w:ilvl="0">
      <w:lvlJc w:val="left"/>
      <w:lvlText w:val="●"/>
      <w:numFmt w:val="bullet"/>
      <w:start w:val="1"/>
    </w:lvl>
  </w:abstractNum>
  <w:abstractNum w:abstractNumId="94">
    <w:nsid w:val="6E534CDE"/>
    <w:multiLevelType w:val="hybridMultilevel"/>
    <w:lvl w:ilvl="0">
      <w:lvlJc w:val="left"/>
      <w:lvlText w:val="●"/>
      <w:numFmt w:val="bullet"/>
      <w:start w:val="1"/>
    </w:lvl>
  </w:abstractNum>
  <w:abstractNum w:abstractNumId="95">
    <w:nsid w:val="1A0DDE32"/>
    <w:multiLevelType w:val="hybridMultilevel"/>
    <w:lvl w:ilvl="0">
      <w:lvlJc w:val="left"/>
      <w:lvlText w:val="●"/>
      <w:numFmt w:val="bullet"/>
      <w:start w:val="1"/>
    </w:lvl>
  </w:abstractNum>
  <w:abstractNum w:abstractNumId="96">
    <w:nsid w:val="65968C1C"/>
    <w:multiLevelType w:val="hybridMultilevel"/>
    <w:lvl w:ilvl="0">
      <w:lvlJc w:val="left"/>
      <w:lvlText w:val="●"/>
      <w:numFmt w:val="bullet"/>
      <w:start w:val="1"/>
    </w:lvl>
  </w:abstractNum>
  <w:abstractNum w:abstractNumId="97">
    <w:nsid w:val="46263DEC"/>
    <w:multiLevelType w:val="hybridMultilevel"/>
    <w:lvl w:ilvl="0">
      <w:lvlJc w:val="left"/>
      <w:lvlText w:val="(%1)"/>
      <w:numFmt w:val="decimal"/>
      <w:start w:val="1"/>
    </w:lvl>
  </w:abstractNum>
  <w:abstractNum w:abstractNumId="98">
    <w:nsid w:val="260D8C4A"/>
    <w:multiLevelType w:val="hybridMultilevel"/>
    <w:lvl w:ilvl="0">
      <w:lvlJc w:val="left"/>
      <w:lvlText w:val="●"/>
      <w:numFmt w:val="bullet"/>
      <w:start w:val="1"/>
    </w:lvl>
  </w:abstractNum>
  <w:abstractNum w:abstractNumId="99">
    <w:nsid w:val="73D4D3C4"/>
    <w:multiLevelType w:val="hybridMultilevel"/>
    <w:lvl w:ilvl="0">
      <w:lvlJc w:val="left"/>
      <w:lvlText w:val="●"/>
      <w:numFmt w:val="bullet"/>
      <w:start w:val="1"/>
    </w:lvl>
  </w:abstractNum>
  <w:abstractNum w:abstractNumId="100">
    <w:nsid w:val="746F2E30"/>
    <w:multiLevelType w:val="hybridMultilevel"/>
    <w:lvl w:ilvl="0">
      <w:lvlJc w:val="left"/>
      <w:lvlText w:val="(%1)"/>
      <w:numFmt w:val="lowerRoman"/>
      <w:start w:val="1"/>
    </w:lvl>
  </w:abstractNum>
  <w:abstractNum w:abstractNumId="101">
    <w:nsid w:val="6FDE8AF6"/>
    <w:multiLevelType w:val="hybridMultilevel"/>
    <w:lvl w:ilvl="0">
      <w:lvlJc w:val="left"/>
      <w:lvlText w:val="●"/>
      <w:numFmt w:val="bullet"/>
      <w:start w:val="1"/>
    </w:lvl>
  </w:abstractNum>
  <w:abstractNum w:abstractNumId="102">
    <w:nsid w:val="3FC32E20"/>
    <w:multiLevelType w:val="hybridMultilevel"/>
    <w:lvl w:ilvl="0">
      <w:lvlJc w:val="left"/>
      <w:lvlText w:val="●"/>
      <w:numFmt w:val="bullet"/>
      <w:start w:val="1"/>
    </w:lvl>
  </w:abstractNum>
  <w:abstractNum w:abstractNumId="103">
    <w:nsid w:val="49C0E823"/>
    <w:multiLevelType w:val="hybridMultilevel"/>
    <w:lvl w:ilvl="0">
      <w:lvlJc w:val="left"/>
      <w:lvlText w:val="●"/>
      <w:numFmt w:val="bullet"/>
      <w:start w:val="1"/>
    </w:lvl>
  </w:abstractNum>
  <w:abstractNum w:abstractNumId="104">
    <w:nsid w:val="14D53685"/>
    <w:multiLevelType w:val="hybridMultilevel"/>
    <w:lvl w:ilvl="0">
      <w:lvlJc w:val="left"/>
      <w:lvlText w:val="(%1)"/>
      <w:numFmt w:val="decimal"/>
      <w:start w:val="1"/>
    </w:lvl>
  </w:abstractNum>
  <w:abstractNum w:abstractNumId="105">
    <w:nsid w:val="230F856C"/>
    <w:multiLevelType w:val="hybridMultilevel"/>
    <w:lvl w:ilvl="0">
      <w:lvlJc w:val="left"/>
      <w:lvlText w:val="(%1)"/>
      <w:numFmt w:val="lowerLetter"/>
      <w:start w:val="1"/>
    </w:lvl>
  </w:abstractNum>
  <w:abstractNum w:abstractNumId="106">
    <w:nsid w:val="6EAA85FB"/>
    <w:multiLevelType w:val="hybridMultilevel"/>
    <w:lvl w:ilvl="0">
      <w:lvlJc w:val="left"/>
      <w:lvlText w:val="(%1)"/>
      <w:numFmt w:val="lowerLetter"/>
      <w:start w:val="1"/>
    </w:lvl>
  </w:abstractNum>
  <w:abstractNum w:abstractNumId="107">
    <w:nsid w:val="3F06ECB2"/>
    <w:multiLevelType w:val="hybridMultilevel"/>
    <w:lvl w:ilvl="0">
      <w:lvlJc w:val="left"/>
      <w:lvlText w:val="●"/>
      <w:numFmt w:val="bullet"/>
      <w:start w:val="1"/>
    </w:lvl>
  </w:abstractNum>
  <w:abstractNum w:abstractNumId="108">
    <w:nsid w:val="3B594807"/>
    <w:multiLevelType w:val="hybridMultilevel"/>
    <w:lvl w:ilvl="0">
      <w:lvlJc w:val="left"/>
      <w:lvlText w:val="●"/>
      <w:numFmt w:val="bullet"/>
      <w:start w:val="1"/>
    </w:lvl>
  </w:abstractNum>
  <w:abstractNum w:abstractNumId="109">
    <w:nsid w:val="6CAA2304"/>
    <w:multiLevelType w:val="hybridMultilevel"/>
    <w:lvl w:ilvl="0">
      <w:lvlJc w:val="left"/>
      <w:lvlText w:val="●"/>
      <w:numFmt w:val="bullet"/>
      <w:start w:val="1"/>
    </w:lvl>
  </w:abstractNum>
  <w:abstractNum w:abstractNumId="110">
    <w:nsid w:val="3F7C2FF4"/>
    <w:multiLevelType w:val="hybridMultilevel"/>
    <w:lvl w:ilvl="0">
      <w:lvlJc w:val="left"/>
      <w:lvlText w:val="●"/>
      <w:numFmt w:val="bullet"/>
      <w:start w:val="1"/>
    </w:lvl>
  </w:abstractNum>
  <w:abstractNum w:abstractNumId="111">
    <w:nsid w:val="25413BEC"/>
    <w:multiLevelType w:val="hybridMultilevel"/>
    <w:lvl w:ilvl="0">
      <w:lvlJc w:val="left"/>
      <w:lvlText w:val="(%1)"/>
      <w:numFmt w:val="lowerRoman"/>
      <w:start w:val="1"/>
    </w:lvl>
  </w:abstractNum>
  <w:abstractNum w:abstractNumId="112">
    <w:nsid w:val="17180B0B"/>
    <w:multiLevelType w:val="hybridMultilevel"/>
    <w:lvl w:ilvl="0">
      <w:lvlJc w:val="left"/>
      <w:lvlText w:val="%1)"/>
      <w:numFmt w:val="lowerLetter"/>
      <w:start w:val="1"/>
    </w:lvl>
    <w:lvl w:ilvl="1">
      <w:lvlJc w:val="left"/>
      <w:lvlText w:val="-"/>
      <w:numFmt w:val="bullet"/>
      <w:start w:val="1"/>
    </w:lvl>
  </w:abstractNum>
  <w:abstractNum w:abstractNumId="113">
    <w:nsid w:val="579328B9"/>
    <w:multiLevelType w:val="hybridMultilevel"/>
    <w:lvl w:ilvl="0">
      <w:lvlJc w:val="left"/>
      <w:lvlText w:val="●"/>
      <w:numFmt w:val="bullet"/>
      <w:start w:val="1"/>
    </w:lvl>
    <w:lvl w:ilvl="1">
      <w:lvlJc w:val="left"/>
      <w:lvlText w:val="●"/>
      <w:numFmt w:val="bullet"/>
      <w:start w:val="1"/>
    </w:lvl>
  </w:abstractNum>
  <w:abstractNum w:abstractNumId="114">
    <w:nsid w:val="5D205E20"/>
    <w:multiLevelType w:val="hybridMultilevel"/>
    <w:lvl w:ilvl="0">
      <w:lvlJc w:val="left"/>
      <w:lvlText w:val="●"/>
      <w:numFmt w:val="bullet"/>
      <w:start w:val="1"/>
    </w:lvl>
  </w:abstractNum>
  <w:abstractNum w:abstractNumId="115">
    <w:nsid w:val="11CCA8BA"/>
    <w:multiLevelType w:val="hybridMultilevel"/>
    <w:lvl w:ilvl="0">
      <w:lvlJc w:val="left"/>
      <w:lvlText w:val="●"/>
      <w:numFmt w:val="bullet"/>
      <w:start w:val="1"/>
    </w:lvl>
  </w:abstractNum>
  <w:abstractNum w:abstractNumId="116">
    <w:nsid w:val="4D32AB86"/>
    <w:multiLevelType w:val="hybridMultilevel"/>
    <w:lvl w:ilvl="0">
      <w:lvlJc w:val="left"/>
      <w:lvlText w:val="●"/>
      <w:numFmt w:val="bullet"/>
      <w:start w:val="1"/>
    </w:lvl>
  </w:abstractNum>
  <w:abstractNum w:abstractNumId="117">
    <w:nsid w:val="3F07ACC3"/>
    <w:multiLevelType w:val="hybridMultilevel"/>
    <w:lvl w:ilvl="0">
      <w:lvlJc w:val="left"/>
      <w:lvlText w:val="●"/>
      <w:numFmt w:val="bullet"/>
      <w:start w:val="1"/>
    </w:lvl>
  </w:abstractNum>
  <w:abstractNum w:abstractNumId="118">
    <w:nsid w:val="6B47F63E"/>
    <w:multiLevelType w:val="hybridMultilevel"/>
    <w:lvl w:ilvl="0">
      <w:lvlJc w:val="left"/>
      <w:lvlText w:val="●"/>
      <w:numFmt w:val="bullet"/>
      <w:start w:val="1"/>
    </w:lvl>
  </w:abstractNum>
  <w:abstractNum w:abstractNumId="119">
    <w:nsid w:val="5CB44A05"/>
    <w:multiLevelType w:val="hybridMultilevel"/>
    <w:lvl w:ilvl="0">
      <w:lvlJc w:val="left"/>
      <w:lvlText w:val="●"/>
      <w:numFmt w:val="bullet"/>
      <w:start w:val="1"/>
    </w:lvl>
  </w:abstractNum>
  <w:abstractNum w:abstractNumId="120">
    <w:nsid w:val="16CF80F1"/>
    <w:multiLevelType w:val="hybridMultilevel"/>
    <w:lvl w:ilvl="0">
      <w:lvlJc w:val="left"/>
      <w:lvlText w:val="(%1)"/>
      <w:numFmt w:val="lowerRoman"/>
      <w:start w:val="2"/>
    </w:lvl>
  </w:abstractNum>
  <w:abstractNum w:abstractNumId="121">
    <w:nsid w:val="1C695DEC"/>
    <w:multiLevelType w:val="hybridMultilevel"/>
    <w:lvl w:ilvl="0">
      <w:lvlJc w:val="left"/>
      <w:lvlText w:val="●"/>
      <w:numFmt w:val="bullet"/>
      <w:start w:val="1"/>
    </w:lvl>
  </w:abstractNum>
  <w:abstractNum w:abstractNumId="122">
    <w:nsid w:val="3FCFAED9"/>
    <w:multiLevelType w:val="hybridMultilevel"/>
    <w:lvl w:ilvl="0">
      <w:lvlJc w:val="left"/>
      <w:lvlText w:val="(%1)"/>
      <w:numFmt w:val="lowerLetter"/>
      <w:start w:val="1"/>
    </w:lvl>
  </w:abstractNum>
  <w:abstractNum w:abstractNumId="123">
    <w:nsid w:val="F856867"/>
    <w:multiLevelType w:val="hybridMultilevel"/>
    <w:lvl w:ilvl="0">
      <w:lvlJc w:val="left"/>
      <w:lvlText w:val="(%1)"/>
      <w:numFmt w:val="decimal"/>
      <w:start w:val="3"/>
    </w:lvl>
  </w:abstractNum>
  <w:abstractNum w:abstractNumId="124">
    <w:nsid w:val="11B1CC33"/>
    <w:multiLevelType w:val="hybridMultilevel"/>
    <w:lvl w:ilvl="0">
      <w:lvlJc w:val="left"/>
      <w:lvlText w:val="●"/>
      <w:numFmt w:val="bullet"/>
      <w:start w:val="1"/>
    </w:lvl>
  </w:abstractNum>
  <w:abstractNum w:abstractNumId="125">
    <w:nsid w:val="2E22FBB7"/>
    <w:multiLevelType w:val="hybridMultilevel"/>
    <w:lvl w:ilvl="0">
      <w:lvlJc w:val="left"/>
      <w:lvlText w:val="(%1)"/>
      <w:numFmt w:val="decimal"/>
      <w:start w:val="1"/>
    </w:lvl>
  </w:abstractNum>
  <w:abstractNum w:abstractNumId="126">
    <w:nsid w:val="29934699"/>
    <w:multiLevelType w:val="hybridMultilevel"/>
    <w:lvl w:ilvl="0">
      <w:lvlJc w:val="left"/>
      <w:lvlText w:val="•"/>
      <w:numFmt w:val="bullet"/>
      <w:start w:val="1"/>
    </w:lvl>
  </w:abstractNum>
  <w:abstractNum w:abstractNumId="127">
    <w:nsid w:val="77485850"/>
    <w:multiLevelType w:val="hybridMultilevel"/>
    <w:lvl w:ilvl="0">
      <w:lvlJc w:val="left"/>
      <w:lvlText w:val="%1)"/>
      <w:numFmt w:val="lowerLetter"/>
      <w:start w:val="1"/>
    </w:lvl>
  </w:abstractNum>
  <w:abstractNum w:abstractNumId="128">
    <w:nsid w:val="744939A3"/>
    <w:multiLevelType w:val="hybridMultilevel"/>
    <w:lvl w:ilvl="0">
      <w:lvlJc w:val="left"/>
      <w:lvlText w:val="●"/>
      <w:numFmt w:val="bullet"/>
      <w:start w:val="1"/>
    </w:lvl>
  </w:abstractNum>
  <w:abstractNum w:abstractNumId="129">
    <w:nsid w:val="4FA0D2E3"/>
    <w:multiLevelType w:val="hybridMultilevel"/>
    <w:lvl w:ilvl="0">
      <w:lvlJc w:val="left"/>
      <w:lvlText w:val="%1)"/>
      <w:numFmt w:val="lowerLetter"/>
      <w:start w:val="17"/>
    </w:lvl>
  </w:abstractNum>
  <w:abstractNum w:abstractNumId="130">
    <w:nsid w:val="6B1D2C14"/>
    <w:multiLevelType w:val="hybridMultilevel"/>
    <w:lvl w:ilvl="0">
      <w:lvlJc w:val="left"/>
      <w:lvlText w:val="●"/>
      <w:numFmt w:val="bullet"/>
      <w:start w:val="1"/>
    </w:lvl>
  </w:abstractNum>
  <w:abstractNum w:abstractNumId="131">
    <w:nsid w:val="68B867D3"/>
    <w:multiLevelType w:val="hybridMultilevel"/>
    <w:lvl w:ilvl="0">
      <w:lvlJc w:val="left"/>
      <w:lvlText w:val="-"/>
      <w:numFmt w:val="bullet"/>
      <w:start w:val="1"/>
    </w:lvl>
  </w:abstractNum>
  <w:abstractNum w:abstractNumId="132">
    <w:nsid w:val="3F7F5DD9"/>
    <w:multiLevelType w:val="hybridMultilevel"/>
    <w:lvl w:ilvl="0">
      <w:lvlJc w:val="left"/>
      <w:lvlText w:val="●"/>
      <w:numFmt w:val="bullet"/>
      <w:start w:val="1"/>
    </w:lvl>
  </w:abstractNum>
  <w:abstractNum w:abstractNumId="133">
    <w:nsid w:val="2AE05A34"/>
    <w:multiLevelType w:val="hybridMultilevel"/>
    <w:lvl w:ilvl="0">
      <w:lvlJc w:val="left"/>
      <w:lvlText w:val="%1."/>
      <w:numFmt w:val="decimal"/>
      <w:start w:val="10"/>
    </w:lvl>
    <w:lvl w:ilvl="1">
      <w:lvlJc w:val="left"/>
      <w:lvlText w:val="●"/>
      <w:numFmt w:val="bullet"/>
      <w:start w:val="1"/>
    </w:lvl>
  </w:abstractNum>
  <w:abstractNum w:abstractNumId="134">
    <w:nsid w:val="32794FF7"/>
    <w:multiLevelType w:val="hybridMultilevel"/>
    <w:lvl w:ilvl="0">
      <w:lvlJc w:val="left"/>
      <w:lvlText w:val="●"/>
      <w:numFmt w:val="bullet"/>
      <w:start w:val="1"/>
    </w:lvl>
  </w:abstractNum>
  <w:abstractNum w:abstractNumId="135">
    <w:nsid w:val="5454945E"/>
    <w:multiLevelType w:val="hybridMultilevel"/>
    <w:lvl w:ilvl="0">
      <w:lvlJc w:val="left"/>
      <w:lvlText w:val="●"/>
      <w:numFmt w:val="bullet"/>
      <w:start w:val="1"/>
    </w:lvl>
  </w:abstractNum>
  <w:abstractNum w:abstractNumId="136">
    <w:nsid w:val="4DEFDFA0"/>
    <w:multiLevelType w:val="hybridMultilevel"/>
    <w:lvl w:ilvl="0">
      <w:lvlJc w:val="left"/>
      <w:lvlText w:val="%1)"/>
      <w:numFmt w:val="lowerLetter"/>
      <w:start w:val="1"/>
    </w:lvl>
  </w:abstractNum>
  <w:abstractNum w:abstractNumId="137">
    <w:nsid w:val="2123D5F2"/>
    <w:multiLevelType w:val="hybridMultilevel"/>
    <w:lvl w:ilvl="0">
      <w:lvlJc w:val="left"/>
      <w:lvlText w:val="●"/>
      <w:numFmt w:val="bullet"/>
      <w:start w:val="1"/>
    </w:lvl>
  </w:abstractNum>
  <w:abstractNum w:abstractNumId="138">
    <w:nsid w:val="135B8110"/>
    <w:multiLevelType w:val="hybridMultilevel"/>
    <w:lvl w:ilvl="0">
      <w:lvlJc w:val="left"/>
      <w:lvlText w:val="●"/>
      <w:numFmt w:val="bullet"/>
      <w:start w:val="1"/>
    </w:lvl>
  </w:abstractNum>
  <w:abstractNum w:abstractNumId="139">
    <w:nsid w:val="94927A8"/>
    <w:multiLevelType w:val="hybridMultilevel"/>
    <w:lvl w:ilvl="0">
      <w:lvlJc w:val="left"/>
      <w:lvlText w:val="●"/>
      <w:numFmt w:val="bullet"/>
      <w:start w:val="1"/>
    </w:lvl>
  </w:abstractNum>
  <w:abstractNum w:abstractNumId="140">
    <w:nsid w:val="DCDF8F6"/>
    <w:multiLevelType w:val="hybridMultilevel"/>
    <w:lvl w:ilvl="0">
      <w:lvlJc w:val="left"/>
      <w:lvlText w:val="%1)"/>
      <w:numFmt w:val="lowerLetter"/>
      <w:start w:val="17"/>
    </w:lvl>
    <w:lvl w:ilvl="1">
      <w:lvlJc w:val="left"/>
      <w:lvlText w:val="●"/>
      <w:numFmt w:val="bullet"/>
      <w:start w:val="1"/>
    </w:lvl>
  </w:abstractNum>
  <w:abstractNum w:abstractNumId="141">
    <w:nsid w:val="52D7B105"/>
    <w:multiLevelType w:val="hybridMultilevel"/>
    <w:lvl w:ilvl="0">
      <w:lvlJc w:val="left"/>
      <w:lvlText w:val="●"/>
      <w:numFmt w:val="bullet"/>
      <w:start w:val="1"/>
    </w:lvl>
  </w:abstractNum>
  <w:abstractNum w:abstractNumId="142">
    <w:nsid w:val="2E8A6394"/>
    <w:multiLevelType w:val="hybridMultilevel"/>
    <w:lvl w:ilvl="0">
      <w:lvlJc w:val="left"/>
      <w:lvlText w:val="●"/>
      <w:numFmt w:val="bullet"/>
      <w:start w:val="1"/>
    </w:lvl>
  </w:abstractNum>
  <w:abstractNum w:abstractNumId="143">
    <w:nsid w:val="24E60401"/>
    <w:multiLevelType w:val="hybridMultilevel"/>
    <w:lvl w:ilvl="0">
      <w:lvlJc w:val="left"/>
      <w:lvlText w:val="●"/>
      <w:numFmt w:val="bullet"/>
      <w:start w:val="1"/>
    </w:lvl>
  </w:abstractNum>
  <w:abstractNum w:abstractNumId="144">
    <w:nsid w:val="2A6AD9BE"/>
    <w:multiLevelType w:val="hybridMultilevel"/>
    <w:lvl w:ilvl="0">
      <w:lvlJc w:val="left"/>
      <w:lvlText w:val="●"/>
      <w:numFmt w:val="bullet"/>
      <w:start w:val="1"/>
    </w:lvl>
  </w:abstractNum>
  <w:abstractNum w:abstractNumId="145">
    <w:nsid w:val="BAAC1B4"/>
    <w:multiLevelType w:val="hybridMultilevel"/>
    <w:lvl w:ilvl="0">
      <w:lvlJc w:val="left"/>
      <w:lvlText w:val="●"/>
      <w:numFmt w:val="bullet"/>
      <w:start w:val="1"/>
    </w:lvl>
  </w:abstractNum>
  <w:abstractNum w:abstractNumId="146">
    <w:nsid w:val="36B2ACBC"/>
    <w:multiLevelType w:val="hybridMultilevel"/>
    <w:lvl w:ilvl="0">
      <w:lvlJc w:val="left"/>
      <w:lvlText w:val="%1)"/>
      <w:numFmt w:val="lowerLetter"/>
      <w:start w:val="1"/>
    </w:lvl>
  </w:abstractNum>
  <w:abstractNum w:abstractNumId="147">
    <w:nsid w:val="779D8544"/>
    <w:multiLevelType w:val="hybridMultilevel"/>
    <w:lvl w:ilvl="0">
      <w:lvlJc w:val="left"/>
      <w:lvlText w:val="●"/>
      <w:numFmt w:val="bullet"/>
      <w:start w:val="1"/>
    </w:lvl>
  </w:abstractNum>
  <w:abstractNum w:abstractNumId="148">
    <w:nsid w:val="4AB26E78"/>
    <w:multiLevelType w:val="hybridMultilevel"/>
    <w:lvl w:ilvl="0">
      <w:lvlJc w:val="left"/>
      <w:lvlText w:val="1"/>
      <w:numFmt w:val="bullet"/>
      <w:start w:val="1"/>
    </w:lvl>
  </w:abstractNum>
  <w:abstractNum w:abstractNumId="149">
    <w:nsid w:val="21FAA2FA"/>
    <w:multiLevelType w:val="hybridMultilevel"/>
    <w:lvl w:ilvl="0">
      <w:lvlJc w:val="left"/>
      <w:lvlText w:val="-"/>
      <w:numFmt w:val="bullet"/>
      <w:start w:val="1"/>
    </w:lvl>
  </w:abstractNum>
  <w:abstractNum w:abstractNumId="150">
    <w:nsid w:val="5451CF49"/>
    <w:multiLevelType w:val="hybridMultilevel"/>
    <w:lvl w:ilvl="0">
      <w:lvlJc w:val="left"/>
      <w:lvlText w:val="●"/>
      <w:numFmt w:val="bullet"/>
      <w:start w:val="1"/>
    </w:lvl>
  </w:abstractNum>
  <w:abstractNum w:abstractNumId="151">
    <w:nsid w:val="6181EF69"/>
    <w:multiLevelType w:val="hybridMultilevel"/>
    <w:lvl w:ilvl="0">
      <w:lvlJc w:val="left"/>
      <w:lvlText w:val="●"/>
      <w:numFmt w:val="bullet"/>
      <w:start w:val="1"/>
    </w:lvl>
  </w:abstractNum>
  <w:abstractNum w:abstractNumId="152">
    <w:nsid w:val="3E6400E6"/>
    <w:multiLevelType w:val="hybridMultilevel"/>
    <w:lvl w:ilvl="0">
      <w:lvlJc w:val="left"/>
      <w:lvlText w:val="*"/>
      <w:numFmt w:val="bullet"/>
      <w:start w:val="1"/>
    </w:lvl>
  </w:abstractNum>
  <w:abstractNum w:abstractNumId="153">
    <w:nsid w:val="14217E23"/>
    <w:multiLevelType w:val="hybridMultilevel"/>
    <w:lvl w:ilvl="0">
      <w:lvlJc w:val="left"/>
      <w:lvlText w:val="(%1)"/>
      <w:numFmt w:val="lowerLetter"/>
      <w:start w:val="1"/>
    </w:lvl>
    <w:lvl w:ilvl="1">
      <w:lvlJc w:val="left"/>
      <w:lvlText w:val="(%2)"/>
      <w:numFmt w:val="decimal"/>
      <w:start w:val="1"/>
    </w:lvl>
  </w:abstractNum>
  <w:abstractNum w:abstractNumId="154">
    <w:nsid w:val="710757D0"/>
    <w:multiLevelType w:val="hybridMultilevel"/>
    <w:lvl w:ilvl="0">
      <w:lvlJc w:val="left"/>
      <w:lvlText w:val="%1."/>
      <w:numFmt w:val="decimal"/>
      <w:start w:val="1"/>
    </w:lvl>
  </w:abstractNum>
  <w:abstractNum w:abstractNumId="155">
    <w:nsid w:val="5015CD1A"/>
    <w:multiLevelType w:val="hybridMultilevel"/>
    <w:lvl w:ilvl="0">
      <w:lvlJc w:val="left"/>
      <w:lvlText w:val="(%1)"/>
      <w:numFmt w:val="lowerLetter"/>
      <w:start w:val="1"/>
    </w:lvl>
  </w:abstractNum>
  <w:abstractNum w:abstractNumId="156">
    <w:nsid w:val="424479DA"/>
    <w:multiLevelType w:val="hybridMultilevel"/>
    <w:lvl w:ilvl="0">
      <w:lvlJc w:val="left"/>
      <w:lvlText w:val="(%1)"/>
      <w:numFmt w:val="lowerLetter"/>
      <w:start w:val="3"/>
    </w:lvl>
  </w:abstractNum>
  <w:abstractNum w:abstractNumId="157">
    <w:nsid w:val="1A9A9E69"/>
    <w:multiLevelType w:val="hybridMultilevel"/>
    <w:lvl w:ilvl="0">
      <w:lvlJc w:val="left"/>
      <w:lvlText w:val="(%1)"/>
      <w:numFmt w:val="lowerLetter"/>
      <w:start w:val="9"/>
    </w:lvl>
  </w:abstractNum>
  <w:abstractNum w:abstractNumId="158">
    <w:nsid w:val="475E256A"/>
    <w:multiLevelType w:val="hybridMultilevel"/>
    <w:lvl w:ilvl="0">
      <w:lvlJc w:val="left"/>
      <w:lvlText w:val="(%1)"/>
      <w:numFmt w:val="lowerLetter"/>
      <w:start w:val="13"/>
    </w:lvl>
  </w:abstractNum>
  <w:abstractNum w:abstractNumId="159">
    <w:nsid w:val="368DB37E"/>
    <w:multiLevelType w:val="hybridMultilevel"/>
    <w:lvl w:ilvl="0">
      <w:lvlJc w:val="left"/>
      <w:lvlText w:val="(%1)"/>
      <w:numFmt w:val="lowerLetter"/>
      <w:start w:val="19"/>
    </w:lvl>
  </w:abstractNum>
  <w:abstractNum w:abstractNumId="160">
    <w:nsid w:val="6A3B714C"/>
    <w:multiLevelType w:val="hybridMultilevel"/>
    <w:lvl w:ilvl="0">
      <w:lvlJc w:val="left"/>
      <w:lvlText w:val="(%1)"/>
      <w:numFmt w:val="lowerLetter"/>
      <w:start w:val="24"/>
    </w:lvl>
  </w:abstractNum>
  <w:abstractNum w:abstractNumId="161">
    <w:nsid w:val="327B517E"/>
    <w:multiLevelType w:val="hybridMultilevel"/>
    <w:lvl w:ilvl="0">
      <w:lvlJc w:val="left"/>
      <w:lvlText w:val="(%1)"/>
      <w:numFmt w:val="lowerLetter"/>
      <w:start w:val="27"/>
    </w:lvl>
  </w:abstractNum>
  <w:abstractNum w:abstractNumId="162">
    <w:nsid w:val="1F461B51"/>
    <w:multiLevelType w:val="hybridMultilevel"/>
    <w:lvl w:ilvl="0">
      <w:lvlJc w:val="left"/>
      <w:lvlText w:val="(%1)"/>
      <w:numFmt w:val="lowerLetter"/>
      <w:start w:val="29"/>
    </w:lvl>
  </w:abstractNum>
  <w:abstractNum w:abstractNumId="163">
    <w:nsid w:val="29BACF25"/>
    <w:multiLevelType w:val="hybridMultilevel"/>
    <w:lvl w:ilvl="0">
      <w:lvlJc w:val="left"/>
      <w:lvlText w:val="(%1)"/>
      <w:numFmt w:val="lowerLetter"/>
      <w:start w:val="33"/>
    </w:lvl>
  </w:abstractNum>
  <w:abstractNum w:abstractNumId="164">
    <w:nsid w:val="5D5BABB3"/>
    <w:multiLevelType w:val="hybridMultilevel"/>
    <w:lvl w:ilvl="0">
      <w:lvlJc w:val="left"/>
      <w:lvlText w:val="(%1)"/>
      <w:numFmt w:val="lowerLetter"/>
      <w:start w:val="37"/>
    </w:lvl>
  </w:abstractNum>
  <w:abstractNum w:abstractNumId="165">
    <w:nsid w:val="51BF6B48"/>
    <w:multiLevelType w:val="hybridMultilevel"/>
    <w:lvl w:ilvl="0">
      <w:lvlJc w:val="left"/>
      <w:lvlText w:val="%1"/>
      <w:numFmt w:val="lowerRoman"/>
      <w:start w:val="1"/>
    </w:lvl>
    <w:lvl w:ilvl="1">
      <w:lvlJc w:val="left"/>
      <w:lvlText w:val="(%2)"/>
      <w:numFmt w:val="lowerLetter"/>
      <w:start w:val="40"/>
    </w:lvl>
  </w:abstractNum>
  <w:abstractNum w:abstractNumId="166">
    <w:nsid w:val="7E0F6384"/>
    <w:multiLevelType w:val="hybridMultilevel"/>
    <w:lvl w:ilvl="0">
      <w:lvlJc w:val="left"/>
      <w:lvlText w:val="(%1)"/>
      <w:numFmt w:val="lowerRoman"/>
      <w:start w:val="6"/>
    </w:lvl>
    <w:lvl w:ilvl="1">
      <w:lvlJc w:val="left"/>
      <w:lvlText w:val="%2"/>
      <w:numFmt w:val="lowerLetter"/>
      <w:start w:val="1"/>
    </w:lvl>
  </w:abstractNum>
  <w:abstractNum w:abstractNumId="167">
    <w:nsid w:val="2B4B8B53"/>
    <w:multiLevelType w:val="hybridMultilevel"/>
    <w:lvl w:ilvl="0">
      <w:lvlJc w:val="left"/>
      <w:lvlText w:val="(%1)"/>
      <w:numFmt w:val="lowerLetter"/>
      <w:start w:val="43"/>
    </w:lvl>
  </w:abstractNum>
  <w:abstractNum w:abstractNumId="168">
    <w:nsid w:val="72E3413A"/>
    <w:multiLevelType w:val="hybridMultilevel"/>
    <w:lvl w:ilvl="0">
      <w:lvlJc w:val="left"/>
      <w:lvlText w:val="(%1)"/>
      <w:numFmt w:val="lowerLetter"/>
      <w:start w:val="44"/>
    </w:lvl>
  </w:abstractNum>
  <w:abstractNum w:abstractNumId="169">
    <w:nsid w:val="116AE494"/>
    <w:multiLevelType w:val="hybridMultilevel"/>
    <w:lvl w:ilvl="0">
      <w:lvlJc w:val="left"/>
      <w:lvlText w:val="(%1)"/>
      <w:numFmt w:val="lowerLetter"/>
      <w:start w:val="46"/>
    </w:lvl>
  </w:abstractNum>
  <w:abstractNum w:abstractNumId="170">
    <w:nsid w:val="3494B2FB"/>
    <w:multiLevelType w:val="hybridMultilevel"/>
    <w:lvl w:ilvl="0">
      <w:lvlJc w:val="left"/>
      <w:lvlText w:val="(%1)"/>
      <w:numFmt w:val="lowerLetter"/>
      <w:start w:val="49"/>
    </w:lvl>
  </w:abstractNum>
  <w:abstractNum w:abstractNumId="171">
    <w:nsid w:val="B13A31"/>
    <w:multiLevelType w:val="hybridMultilevel"/>
    <w:lvl w:ilvl="0">
      <w:lvlJc w:val="left"/>
      <w:lvlText w:val="(%1)"/>
      <w:numFmt w:val="lowerLetter"/>
      <w:start w:val="51"/>
    </w:lvl>
  </w:abstractNum>
  <w:abstractNum w:abstractNumId="172">
    <w:nsid w:val="64429599"/>
    <w:multiLevelType w:val="hybridMultilevel"/>
    <w:lvl w:ilvl="0">
      <w:lvlJc w:val="left"/>
      <w:lvlText w:val="%1."/>
      <w:numFmt w:val="decimal"/>
      <w:start w:val="2"/>
    </w:lvl>
  </w:abstractNum>
  <w:abstractNum w:abstractNumId="173">
    <w:nsid w:val="631F1690"/>
    <w:multiLevelType w:val="hybridMultilevel"/>
    <w:lvl w:ilvl="0">
      <w:lvlJc w:val="left"/>
      <w:lvlText w:val="(%1)"/>
      <w:numFmt w:val="lowerLetter"/>
      <w:start w:val="1"/>
    </w:lvl>
  </w:abstractNum>
  <w:abstractNum w:abstractNumId="174">
    <w:nsid w:val="25973E32"/>
    <w:multiLevelType w:val="hybridMultilevel"/>
    <w:lvl w:ilvl="0">
      <w:lvlJc w:val="left"/>
      <w:lvlText w:val="%1."/>
      <w:numFmt w:val="decimal"/>
      <w:start w:val="3"/>
    </w:lvl>
  </w:abstractNum>
  <w:abstractNum w:abstractNumId="175">
    <w:nsid w:val="EAD6F57"/>
    <w:multiLevelType w:val="hybridMultilevel"/>
    <w:lvl w:ilvl="0">
      <w:lvlJc w:val="left"/>
      <w:lvlText w:val="%1."/>
      <w:numFmt w:val="decimal"/>
      <w:start w:val="4"/>
    </w:lvl>
  </w:abstractNum>
  <w:abstractNum w:abstractNumId="176">
    <w:nsid w:val="6EC9D844"/>
    <w:multiLevelType w:val="hybridMultilevel"/>
    <w:lvl w:ilvl="0">
      <w:lvlJc w:val="left"/>
      <w:lvlText w:val="(%1)"/>
      <w:numFmt w:val="lowerLetter"/>
      <w:start w:val="1"/>
    </w:lvl>
  </w:abstractNum>
  <w:abstractNum w:abstractNumId="177">
    <w:nsid w:val="5C49EAEE"/>
    <w:multiLevelType w:val="hybridMultilevel"/>
    <w:lvl w:ilvl="0">
      <w:lvlJc w:val="left"/>
      <w:lvlText w:val="(%1)"/>
      <w:numFmt w:val="lowerLetter"/>
      <w:start w:val="2"/>
    </w:lvl>
  </w:abstractNum>
  <w:abstractNum w:abstractNumId="178">
    <w:nsid w:val="64AF49B"/>
    <w:multiLevelType w:val="hybridMultilevel"/>
    <w:lvl w:ilvl="0">
      <w:lvlJc w:val="left"/>
      <w:lvlText w:val="%1"/>
      <w:numFmt w:val="lowerLetter"/>
      <w:start w:val="1"/>
    </w:lvl>
    <w:lvl w:ilvl="1">
      <w:lvlJc w:val="left"/>
      <w:lvlText w:val="(%2)"/>
      <w:numFmt w:val="lowerLetter"/>
      <w:start w:val="7"/>
    </w:lvl>
  </w:abstractNum>
  <w:abstractNum w:abstractNumId="179">
    <w:nsid w:val="397C46BC"/>
    <w:multiLevelType w:val="hybridMultilevel"/>
    <w:lvl w:ilvl="0">
      <w:lvlJc w:val="left"/>
      <w:lvlText w:val="(%1)"/>
      <w:numFmt w:val="lowerLetter"/>
      <w:start w:val="22"/>
    </w:lvl>
    <w:lvl w:ilvl="1">
      <w:lvlJc w:val="left"/>
      <w:lvlText w:val="(%2)"/>
      <w:numFmt w:val="lowerLetter"/>
      <w:start w:val="8"/>
    </w:lvl>
  </w:abstractNum>
  <w:abstractNum w:abstractNumId="180">
    <w:nsid w:val="7E448DE9"/>
    <w:multiLevelType w:val="hybridMultilevel"/>
    <w:lvl w:ilvl="0">
      <w:lvlJc w:val="left"/>
      <w:lvlText w:val="(%1)"/>
      <w:numFmt w:val="lowerLetter"/>
      <w:start w:val="9"/>
    </w:lvl>
  </w:abstractNum>
  <w:abstractNum w:abstractNumId="181">
    <w:nsid w:val="5A9CC3E5"/>
    <w:multiLevelType w:val="hybridMultilevel"/>
    <w:lvl w:ilvl="0">
      <w:lvlJc w:val="left"/>
      <w:lvlText w:val="%1"/>
      <w:numFmt w:val="decimal"/>
      <w:start w:val="1"/>
    </w:lvl>
    <w:lvl w:ilvl="1">
      <w:lvlJc w:val="left"/>
      <w:lvlText w:val="(%2)"/>
      <w:numFmt w:val="lowerLetter"/>
      <w:start w:val="12"/>
    </w:lvl>
  </w:abstractNum>
  <w:abstractNum w:abstractNumId="182">
    <w:nsid w:val="1AFE3625"/>
    <w:multiLevelType w:val="hybridMultilevel"/>
    <w:lvl w:ilvl="0">
      <w:lvlJc w:val="left"/>
      <w:lvlText w:val="(%1)"/>
      <w:numFmt w:val="decimal"/>
      <w:start w:val="30"/>
    </w:lvl>
    <w:lvl w:ilvl="1">
      <w:lvlJc w:val="left"/>
      <w:lvlText w:val="%2"/>
      <w:numFmt w:val="lowerLetter"/>
      <w:start w:val="1"/>
    </w:lvl>
  </w:abstractNum>
  <w:abstractNum w:abstractNumId="183">
    <w:nsid w:val="3CA88ECF"/>
    <w:multiLevelType w:val="hybridMultilevel"/>
    <w:lvl w:ilvl="0">
      <w:lvlJc w:val="left"/>
      <w:lvlText w:val="%1."/>
      <w:numFmt w:val="decimal"/>
      <w:start w:val="6"/>
    </w:lvl>
  </w:abstractNum>
  <w:abstractNum w:abstractNumId="184">
    <w:nsid w:val="6EBE4208"/>
    <w:multiLevelType w:val="hybridMultilevel"/>
    <w:lvl w:ilvl="0">
      <w:lvlJc w:val="left"/>
      <w:lvlText w:val="(%1)"/>
      <w:numFmt w:val="lowerLetter"/>
      <w:start w:val="1"/>
    </w:lvl>
  </w:abstractNum>
  <w:abstractNum w:abstractNumId="185">
    <w:nsid w:val="C058DF5"/>
    <w:multiLevelType w:val="hybridMultilevel"/>
    <w:lvl w:ilvl="0">
      <w:lvlJc w:val="left"/>
      <w:lvlText w:val="(%1)"/>
      <w:numFmt w:val="lowerLetter"/>
      <w:start w:val="8"/>
    </w:lvl>
    <w:lvl w:ilvl="1">
      <w:lvlJc w:val="left"/>
      <w:lvlText w:val="(%2)"/>
      <w:numFmt w:val="lowerRoman"/>
      <w:start w:val="1"/>
    </w:lvl>
  </w:abstractNum>
  <w:abstractNum w:abstractNumId="186">
    <w:nsid w:val="CBE5BE9"/>
    <w:multiLevelType w:val="hybridMultilevel"/>
    <w:lvl w:ilvl="0">
      <w:lvlJc w:val="left"/>
      <w:lvlText w:val="(%1)"/>
      <w:numFmt w:val="lowerLetter"/>
      <w:start w:val="11"/>
    </w:lvl>
  </w:abstractNum>
  <w:abstractNum w:abstractNumId="187">
    <w:nsid w:val="3102BBE2"/>
    <w:multiLevelType w:val="hybridMultilevel"/>
    <w:lvl w:ilvl="0">
      <w:lvlJc w:val="left"/>
      <w:lvlText w:val="%1."/>
      <w:numFmt w:val="decimal"/>
      <w:start w:val="7"/>
    </w:lvl>
  </w:abstractNum>
  <w:abstractNum w:abstractNumId="188">
    <w:nsid w:val="26A02C5E"/>
    <w:multiLevelType w:val="hybridMultilevel"/>
    <w:lvl w:ilvl="0">
      <w:lvlJc w:val="left"/>
      <w:lvlText w:val="(%1)"/>
      <w:numFmt w:val="lowerLetter"/>
      <w:start w:val="1"/>
    </w:lvl>
  </w:abstractNum>
  <w:abstractNum w:abstractNumId="189">
    <w:nsid w:val="541C8153"/>
    <w:multiLevelType w:val="hybridMultilevel"/>
    <w:lvl w:ilvl="0">
      <w:lvlJc w:val="left"/>
      <w:lvlText w:val="(%1)"/>
      <w:numFmt w:val="lowerLetter"/>
      <w:start w:val="2"/>
    </w:lvl>
  </w:abstractNum>
  <w:abstractNum w:abstractNumId="190">
    <w:nsid w:val="67906F60"/>
    <w:multiLevelType w:val="hybridMultilevel"/>
    <w:lvl w:ilvl="0">
      <w:lvlJc w:val="left"/>
      <w:lvlText w:val="(%1)"/>
      <w:numFmt w:val="lowerLetter"/>
      <w:start w:val="4"/>
    </w:lvl>
  </w:abstractNum>
  <w:abstractNum w:abstractNumId="191">
    <w:nsid w:val="10DB9DAA"/>
    <w:multiLevelType w:val="hybridMultilevel"/>
    <w:lvl w:ilvl="0">
      <w:lvlJc w:val="left"/>
      <w:lvlText w:val="%1."/>
      <w:numFmt w:val="decimal"/>
      <w:start w:val="9"/>
    </w:lvl>
  </w:abstractNum>
  <w:abstractNum w:abstractNumId="192">
    <w:nsid w:val="697D2D2"/>
    <w:multiLevelType w:val="hybridMultilevel"/>
    <w:lvl w:ilvl="0">
      <w:lvlJc w:val="left"/>
      <w:lvlText w:val="%1."/>
      <w:numFmt w:val="decimal"/>
      <w:start w:val="11"/>
    </w:lvl>
  </w:abstractNum>
  <w:abstractNum w:abstractNumId="193">
    <w:nsid w:val="6D68AB2"/>
    <w:multiLevelType w:val="hybridMultilevel"/>
    <w:lvl w:ilvl="0">
      <w:lvlJc w:val="left"/>
      <w:lvlText w:val="%1."/>
      <w:numFmt w:val="decimal"/>
      <w:start w:val="15"/>
    </w:lvl>
  </w:abstractNum>
  <w:abstractNum w:abstractNumId="194">
    <w:nsid w:val="3A966CD0"/>
    <w:multiLevelType w:val="hybridMultilevel"/>
    <w:lvl w:ilvl="0">
      <w:lvlJc w:val="left"/>
      <w:lvlText w:val="(%1)"/>
      <w:numFmt w:val="lowerLetter"/>
      <w:start w:val="1"/>
    </w:lvl>
  </w:abstractNum>
  <w:abstractNum w:abstractNumId="195">
    <w:nsid w:val="63F37E85"/>
    <w:multiLevelType w:val="hybridMultilevel"/>
    <w:lvl w:ilvl="0">
      <w:lvlJc w:val="left"/>
      <w:lvlText w:val="%1."/>
      <w:numFmt w:val="decimal"/>
      <w:start w:val="16"/>
    </w:lvl>
  </w:abstractNum>
  <w:abstractNum w:abstractNumId="196">
    <w:nsid w:val="5895F5FA"/>
    <w:multiLevelType w:val="hybridMultilevel"/>
    <w:lvl w:ilvl="0">
      <w:lvlJc w:val="left"/>
      <w:lvlText w:val="%1."/>
      <w:numFmt w:val="decimal"/>
      <w:start w:val="18"/>
    </w:lvl>
  </w:abstractNum>
  <w:abstractNum w:abstractNumId="197">
    <w:nsid w:val="38A5D054"/>
    <w:multiLevelType w:val="hybridMultilevel"/>
    <w:lvl w:ilvl="0">
      <w:lvlJc w:val="left"/>
      <w:lvlText w:val="●"/>
      <w:numFmt w:val="bullet"/>
      <w:start w:val="1"/>
    </w:lvl>
  </w:abstractNum>
  <w:abstractNum w:abstractNumId="198">
    <w:nsid w:val="F3F09D8"/>
    <w:multiLevelType w:val="hybridMultilevel"/>
    <w:lvl w:ilvl="0">
      <w:lvlJc w:val="left"/>
      <w:lvlText w:val="●"/>
      <w:numFmt w:val="bullet"/>
      <w:start w:val="1"/>
    </w:lvl>
  </w:abstractNum>
  <w:abstractNum w:abstractNumId="199">
    <w:nsid w:val="4B793735"/>
    <w:multiLevelType w:val="hybridMultilevel"/>
    <w:lvl w:ilvl="0">
      <w:lvlJc w:val="left"/>
      <w:lvlText w:val="●"/>
      <w:numFmt w:val="bullet"/>
      <w:start w:val="1"/>
    </w:lvl>
  </w:abstractNum>
  <w:abstractNum w:abstractNumId="200">
    <w:nsid w:val="4A10B4E8"/>
    <w:multiLevelType w:val="hybridMultilevel"/>
    <w:lvl w:ilvl="0">
      <w:lvlJc w:val="left"/>
      <w:lvlText w:val="●"/>
      <w:numFmt w:val="bullet"/>
      <w:start w:val="1"/>
    </w:lvl>
  </w:abstractNum>
  <w:abstractNum w:abstractNumId="201">
    <w:nsid w:val="43D3BC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350" Type="http://schemas.openxmlformats.org/officeDocument/2006/relationships/hyperlink" Target="https://www.sec.gov/Archives/edgar/data/1838716/000149315221027683/ex3-1.htm" TargetMode="External"/><Relationship Id="rId351" Type="http://schemas.openxmlformats.org/officeDocument/2006/relationships/hyperlink" Target="https://www.sec.gov/Archives/edgar/data/1838716/000149315221027683/ex3-2.htm" TargetMode="External"/><Relationship Id="rId352" Type="http://schemas.openxmlformats.org/officeDocument/2006/relationships/hyperlink" Target="https://www.sec.gov/Archives/edgar/data/1838716/000149315221027683/ex4-1.htm" TargetMode="External"/><Relationship Id="rId353" Type="http://schemas.openxmlformats.org/officeDocument/2006/relationships/hyperlink" Target="https://www.sec.gov/Archives/edgar/data/1838716/000149315221027683/ex4-3.htm" TargetMode="External"/><Relationship Id="rId354" Type="http://schemas.openxmlformats.org/officeDocument/2006/relationships/hyperlink" Target="https://www.sec.gov/Archives/edgar/data/1838716/000149315221027683/ex5-1.htm" TargetMode="External"/><Relationship Id="rId355" Type="http://schemas.openxmlformats.org/officeDocument/2006/relationships/hyperlink" Target="https://www.sec.gov/Archives/edgar/data/1838716/000149315221027683/ex10-6.htm" TargetMode="External"/><Relationship Id="rId356" Type="http://schemas.openxmlformats.org/officeDocument/2006/relationships/hyperlink" Target="https://www.sec.gov/Archives/edgar/data/1838716/000149315221027683/ex10-7.htm" TargetMode="External"/><Relationship Id="rId357" Type="http://schemas.openxmlformats.org/officeDocument/2006/relationships/hyperlink" Target="https://www.sec.gov/Archives/edgar/data/1838716/000149315221027683/ex10-8.htm" TargetMode="External"/><Relationship Id="rId358" Type="http://schemas.openxmlformats.org/officeDocument/2006/relationships/hyperlink" Target="https://www.sec.gov/Archives/edgar/data/1838716/000149315221027683/ex10-9.htm" TargetMode="External"/><Relationship Id="rId359" Type="http://schemas.openxmlformats.org/officeDocument/2006/relationships/hyperlink" Target="https://www.sec.gov/Archives/edgar/data/1838716/000149315221027683/ex10-10.htm" TargetMode="External"/><Relationship Id="rId360" Type="http://schemas.openxmlformats.org/officeDocument/2006/relationships/hyperlink" Target="https://www.sec.gov/Archives/edgar/data/1838716/000149315221027683/ex10-11.htm" TargetMode="External"/><Relationship Id="rId361" Type="http://schemas.openxmlformats.org/officeDocument/2006/relationships/hyperlink" Target="https://www.sec.gov/Archives/edgar/data/1838716/000149315221027683/ex10-12.htm" TargetMode="External"/><Relationship Id="rId362" Type="http://schemas.openxmlformats.org/officeDocument/2006/relationships/hyperlink" Target="https://www.sec.gov/Archives/edgar/data/1838716/000149315221027683/formf-1.htm#poa_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2021-11-24T16:36:43Z</dcterms:created>
  <dcterms:modified xsi:type="dcterms:W3CDTF">2021-11-24T16:36:43Z</dcterms:modified>
</cp:coreProperties>
</file>