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S-8 (File No. 333-278392).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Extraordinary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Genenta Science S.p.A. (the “Company”) held an Extraordinary Shareholders’ Meeting in virtual meeting format.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proposal to amend Article 1 of the Company’s by-laws to change the Company’s corporate name from Genenta Science S.p.A. to Saentra Forge S.p.A. was not put to a vote. At the request of the Company’s shareholders, consideration of the proposal was deferred in order to allow for the completion of ongoing evaluations relating to the Company’s communication, branding, and corporate identity strategy and to provide additional time for shareholder consultations. The proposal will be considered at a reconvened Extraordinary Shareholders’ Meeting scheduled for September 10, 2026, at 5:00 p.m. CET, on first call, and, if necessary, September 11, 2026, at 5:00 p.m. CET, on second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the remaining proposals on the agenda by a substantial majority, as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to the Board to Increase Share Capital and Issue Convertible Bonds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approved the proposal to grant the Board of Directors of the Company (the “Board”), pursuant to Articles 2443 and 2420-ter of the Italian Civil Code, authority for a period of five years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Company’s share capital, in one or more tranches, by an aggregate amount of up to €300,000,000, including any share premium;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up to 120,000,000 new ordinary shares of the Company (subject to adjustment in connection with any reverse stock split);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 convertible bonds within the same aggregate authorization amount.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authorization provides the Board with flexibility to determine the terms, timing and structure of future issuances consistent with applicable law and the resolutions adopted by the Company’s shareholders, including in connection with strategic transactions, capital raises, equity incentive plans and other corporate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also approved a reverse stock split of the Company’s ordinary shares at a ratio within a range of no. 1 new ordinary share for every no. 10 to no. 20 existing ordinary shares, together with the related amendments to Article 6 of the Company’s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been authorized to determine, in accordance with the parameters set by the Shareholders’ Meeting resolution and within 12 months from the date of the Shareholders’ Meeting, whether to effectuate the reverse split, and if so, the specific ratio within the range approved, the effective date, and implementation of the reverse stock split, including coordinating with Euronext Securities Milan S.p.A., The Bank of New York, as depositary of the Company’s American Depositary Shares, and other applicable authorities. The reverse stock split is intended to assist the Company in maintaining compliance with Nasdaq’s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decides to proceed with the reverse split, the Company will announce the effective date of the reverse stock split once determined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(this “Report”) contains forward-looking statements that involve risks and uncertainties. These statements include, but are not limited to, statements regarding the reconvened Extraordinary Shareholders’ Meeting, the proposed corporate name change, the implementation and timing of the reverse stock split, future capital raising activities, business strategy, strategic initiatives, and future plans. Forward-looking statements are based on the Company’s current expectations and assumptions and involve risks and uncertainties that could cause actual results to differ materially from those expressed or implied by such statements. These risks are described in the Company’s filings with the U.S. Securities and Exchange Commission, including its most recent Annual Report on Form 20-F and subsequent Reports on Form 6-K. You are cautioned not to place undue reliance on forward-looking statements, which are based on the Company’s current expectations and assumptions and speak only as of the date of this Report. The Company undertakes no obligation to update any forward-looking statements in this Report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851</Words>
  <Characters>4764</Characters>
  <CharactersWithSpaces>5625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