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Extraordinary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Genenta Science S.p.A. (the “Company”) held an Extraordinary Shareholders’ Meeting in virtual meeting format.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proposal to amend Article 1 of the Company’s by-laws to change the Company’s corporate name from Genenta Science S.p.A. to Saentra Forge S.p.A. was not put to a vote. At the request of the Company’s shareholders, consideration of the proposal was deferred in order to allow for the completion of ongoing evaluations relating to the Company’s communication, branding, and corporate identity strategy and to provide additional time for shareholder consultations. The proposal will be considered at a reconvened Extraordinary Shareholders’ Meeting scheduled for October 8, 2026, at 5:00 p.m.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(this “Report”) contains forward-looking statements that involve risks and uncertainties. These statements include, but are not limited to, statements regarding the reconvened Extraordinary Shareholders’ Meeting, the proposed corporate name change, business strategy, strategic initiatives, and future plans. Forward-looking statements are based on the Company’s current expectations and assumptions and involve risks and uncertainties that could cause actual results to differ materially from those expressed or implied by such statements. These risks are described in the Company’s filings with the U.S. Securities and Exchange Commission, including its most recent Annual Report on Form 20-F and subsequent Reports on Form 6-K. You are cautioned not to place undue reliance on forward-looking statements, which are based on the Company’s current expectations and assumptions and speak only as of the date of this Report. The Company undertakes no obligation to update any forward-looking statements in this Report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482</Words>
  <Characters>2745</Characters>
  <CharactersWithSpaces>3238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