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Genenta Science S.p.A. Reports Financial Results for the Six Months Ended June 30, 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Genenta Science S.p.A. (“Genenta”) is furnishing this report on Form 6-K to provide its unaudited consolidated financial statements as of June 30, 2022, and for the six months ended June 30, 2022, and June 30, 2021, and to provide its Management’s Discussion and Analysis of Financial Condition and Results of Operations with respect to such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consolidated financial statements as of June 30, 2022, and for the six months ended June 30, 2022, and June 30, 2021, are attached to this Form 6-K as Exhibit 99.1. Management’s Discussion and Analysis of Financial Condition and Results of Operations is attached to this Form 6-K as Exhibit 99.2.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Unaudited Consolidated Financial Statements as of June 30, 2022, and for the six months ended June 30, 2022, and June 30, 2021.</w:t>
      </w:r>
    </w:p>
    <w:p>
      <w:pPr>
        <w:spacing w:after="0" w:line="2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Management’s Discussion and Analysis of Financial Condition and Results of Operations.</w:t>
      </w:r>
    </w:p>
    <w:p>
      <w:pPr>
        <w:spacing w:after="0" w:line="9" w:lineRule="exact"/>
        <w:rPr>
          <w:sz w:val="20"/>
          <w:szCs w:val="20"/>
          <w:color w:val="auto"/>
        </w:rPr>
      </w:pPr>
    </w:p>
    <w:p>
      <w:pPr>
        <w:jc w:val="both"/>
        <w:ind w:left="880" w:hanging="872"/>
        <w:spacing w:after="0" w:line="250"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Genenta’s Report on Form 6-K for the six months ended June 30, 2022, formatted in Inline XBRL (eXtensible Business Reporting Language): (i) the Consolidated Balance Sheets, (ii) the Consolidated Statements of Operations and Comprehensive Loss,</w:t>
      </w:r>
    </w:p>
    <w:p>
      <w:pPr>
        <w:ind w:left="880" w:hanging="8"/>
        <w:spacing w:after="0" w:line="260" w:lineRule="auto"/>
        <w:tabs>
          <w:tab w:leader="none" w:pos="1213"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Changes in Stockholders’ Equity, (iv) the Consolidated Statements of Cash Flows, and (v) Notes to the 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25,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Pierluigi Paracchi,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20" w:type="dxa"/>
            <w:vAlign w:val="bottom"/>
            <w:gridSpan w:val="5"/>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37"/>
        </w:trPr>
        <w:tc>
          <w:tcPr>
            <w:tcW w:w="74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(Unaudited)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1,640,579</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3,199,234</w:t>
            </w:r>
          </w:p>
        </w:tc>
      </w:tr>
      <w:tr>
        <w:trPr>
          <w:trHeight w:val="24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2,513,558</w:t>
            </w:r>
          </w:p>
        </w:tc>
        <w:tc>
          <w:tcPr>
            <w:tcW w:w="4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842,236</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4,154,137</w:t>
            </w:r>
          </w:p>
        </w:tc>
        <w:tc>
          <w:tcPr>
            <w:tcW w:w="32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4,041,470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(4,154,137)</w:t>
            </w:r>
          </w:p>
        </w:tc>
        <w:tc>
          <w:tcPr>
            <w:tcW w:w="4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(4,041,470)</w:t>
            </w: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215,486</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2,679</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exchange rate gain</w:t>
            </w:r>
          </w:p>
        </w:tc>
        <w:tc>
          <w:tcPr>
            <w:tcW w:w="380" w:type="dxa"/>
            <w:vAlign w:val="bottom"/>
          </w:tcPr>
          <w:p>
            <w:pPr>
              <w:spacing w:after="0"/>
              <w:rPr>
                <w:sz w:val="20"/>
                <w:szCs w:val="20"/>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1,826,330</w:t>
            </w:r>
          </w:p>
        </w:tc>
        <w:tc>
          <w:tcPr>
            <w:tcW w:w="4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(9,111)</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2,041,816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(2,112,321)</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(4,047,902)</w:t>
            </w:r>
          </w:p>
        </w:tc>
      </w:tr>
      <w:tr>
        <w:trPr>
          <w:trHeight w:val="23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benefit (expenses)</w:t>
            </w:r>
          </w:p>
        </w:tc>
        <w:tc>
          <w:tcPr>
            <w:tcW w:w="380" w:type="dxa"/>
            <w:vAlign w:val="bottom"/>
          </w:tcPr>
          <w:p>
            <w:pPr>
              <w:spacing w:after="0"/>
              <w:rPr>
                <w:sz w:val="20"/>
                <w:szCs w:val="20"/>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(2,112,321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(4,047,902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(2,112,321)</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(4,047,902)</w:t>
            </w: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(2,112,321)</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(4,047,902)</w:t>
            </w:r>
          </w:p>
        </w:tc>
      </w:tr>
      <w:tr>
        <w:trPr>
          <w:trHeight w:val="256"/>
        </w:trPr>
        <w:tc>
          <w:tcPr>
            <w:tcW w:w="74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per share - basic</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74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18,216,858</w:t>
            </w:r>
          </w:p>
        </w:tc>
        <w:tc>
          <w:tcPr>
            <w:tcW w:w="3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14,772,610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At June 30,</w:t>
            </w:r>
          </w:p>
        </w:tc>
        <w:tc>
          <w:tcPr>
            <w:tcW w:w="140" w:type="dxa"/>
            <w:vAlign w:val="bottom"/>
          </w:tcPr>
          <w:p>
            <w:pPr>
              <w:spacing w:after="0"/>
              <w:rPr>
                <w:sz w:val="21"/>
                <w:szCs w:val="21"/>
                <w:color w:val="auto"/>
              </w:rPr>
            </w:pPr>
          </w:p>
        </w:tc>
        <w:tc>
          <w:tcPr>
            <w:tcW w:w="1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34,671,156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37,240,162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2,737,108</w:t>
            </w:r>
          </w:p>
        </w:tc>
        <w:tc>
          <w:tcPr>
            <w:tcW w:w="14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1,519,023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37,408,264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38,759,185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65,928</w:t>
            </w:r>
          </w:p>
        </w:tc>
        <w:tc>
          <w:tcPr>
            <w:tcW w:w="1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 related party</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3,350</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800,000</w:t>
            </w:r>
          </w:p>
        </w:tc>
        <w:tc>
          <w:tcPr>
            <w:tcW w:w="14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1,241,215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non-current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869,278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1,267,655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38,277,542</w:t>
            </w:r>
          </w:p>
        </w:tc>
        <w:tc>
          <w:tcPr>
            <w:tcW w:w="3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40,026,840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247,911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164,819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277,654</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382,862</w:t>
            </w:r>
          </w:p>
        </w:tc>
        <w:tc>
          <w:tcPr>
            <w:tcW w:w="1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712,313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172,359</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120,252</w:t>
            </w:r>
          </w:p>
        </w:tc>
        <w:tc>
          <w:tcPr>
            <w:tcW w:w="14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100,719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1,201,038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1,135,039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Non-current liabilities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 current liabilities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32,407</w:t>
            </w:r>
          </w:p>
        </w:tc>
        <w:tc>
          <w:tcPr>
            <w:tcW w:w="1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Retirement benefit obligation</w:t>
            </w: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55,192</w:t>
            </w: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30,618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Total long-term liabilities</w:t>
            </w: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87,599</w:t>
            </w:r>
          </w:p>
        </w:tc>
        <w:tc>
          <w:tcPr>
            <w:tcW w:w="3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30,618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no par value, 59,700,000 shares authorized and 18,216,858 shares issued and</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66,121,033</w:t>
            </w: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65,880,990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(29,132,128)</w:t>
            </w:r>
          </w:p>
        </w:tc>
        <w:tc>
          <w:tcPr>
            <w:tcW w:w="140" w:type="dxa"/>
            <w:vAlign w:val="bottom"/>
          </w:tcPr>
          <w:p>
            <w:pPr>
              <w:spacing w:after="0"/>
              <w:rPr>
                <w:sz w:val="20"/>
                <w:szCs w:val="20"/>
                <w:color w:val="auto"/>
              </w:rPr>
            </w:pP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(27,019,807)</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36,988,905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38,861,183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38,277,542</w:t>
            </w:r>
          </w:p>
        </w:tc>
        <w:tc>
          <w:tcPr>
            <w:tcW w:w="3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40,026,840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Additional</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Common</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paid-in</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no</w:t>
            </w: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w w:val="99"/>
              </w:rPr>
              <w:t>Accumulated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9"/>
              </w:rPr>
              <w:t>capital</w:t>
            </w:r>
          </w:p>
        </w:tc>
        <w:tc>
          <w:tcPr>
            <w:tcW w:w="1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capital</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outstanding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 value</w:t>
            </w:r>
          </w:p>
        </w:tc>
        <w:tc>
          <w:tcPr>
            <w:tcW w:w="130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deficit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Total</w:t>
            </w:r>
          </w:p>
        </w:tc>
      </w:tr>
      <w:tr>
        <w:trPr>
          <w:trHeight w:val="236"/>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37,056</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36,604,728</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(21,490,475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15,151,309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0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Capital increase from exercise of options on Quota B</w:t>
            </w:r>
          </w:p>
        </w:tc>
        <w:tc>
          <w:tcPr>
            <w:tcW w:w="1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715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7"/>
                <w:szCs w:val="17"/>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497,104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497,104</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Quota B repurchased</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capital adjustment from Srl to Spa</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(37,599)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11,279,700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37,599</w:t>
            </w: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Capital increase related to SpA</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(12,401)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3,720,300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12,401</w:t>
            </w: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adjustment from Srl to SpA</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(37,089,431)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37,089,431</w:t>
            </w: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(4,047,902)</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(4,047,902)</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2021 (Unaudited)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37,139,431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(25,538,377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€ 11,601,054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18,216,858</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65,880,990</w:t>
            </w: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5"/>
              </w:rPr>
              <w:t>€ (27,019,807)</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38,861,183</w:t>
            </w:r>
          </w:p>
        </w:tc>
      </w:tr>
      <w:tr>
        <w:trPr>
          <w:trHeight w:val="216"/>
        </w:trPr>
        <w:tc>
          <w:tcPr>
            <w:tcW w:w="4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240,043</w:t>
            </w: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240,043</w:t>
            </w:r>
          </w:p>
        </w:tc>
      </w:tr>
      <w:tr>
        <w:trPr>
          <w:trHeight w:val="23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(2,112,321)</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(2,112,321)</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 (Unaudited)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18,216,858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66,121,033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(29,132,128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36,988,905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20" w:type="dxa"/>
            <w:vAlign w:val="bottom"/>
            <w:gridSpan w:val="5"/>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37"/>
        </w:trPr>
        <w:tc>
          <w:tcPr>
            <w:tcW w:w="74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(Unaudited)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(2,112,321)</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(4,047,902)</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2,813</w:t>
            </w:r>
          </w:p>
        </w:tc>
        <w:tc>
          <w:tcPr>
            <w:tcW w:w="4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2,086</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Retirement benefit obligation</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24,574</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4,256</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240,043</w:t>
            </w:r>
          </w:p>
        </w:tc>
        <w:tc>
          <w:tcPr>
            <w:tcW w:w="4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497,104</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(1,218,085)</w:t>
            </w:r>
          </w:p>
        </w:tc>
        <w:tc>
          <w:tcPr>
            <w:tcW w:w="4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(263,548)</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443,114</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(217,757)</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83,092</w:t>
            </w:r>
          </w:p>
        </w:tc>
        <w:tc>
          <w:tcPr>
            <w:tcW w:w="4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(274,047)</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252,607</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78,365</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(329,451)</w:t>
            </w:r>
          </w:p>
        </w:tc>
        <w:tc>
          <w:tcPr>
            <w:tcW w:w="4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52,602</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40,218</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(549,586)</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7,203</w:t>
            </w:r>
          </w:p>
        </w:tc>
        <w:tc>
          <w:tcPr>
            <w:tcW w:w="4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27,558</w:t>
            </w: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 current liabilities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(2,566,193</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(4,690,869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(2,813)</w:t>
            </w:r>
          </w:p>
        </w:tc>
        <w:tc>
          <w:tcPr>
            <w:tcW w:w="4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(3,727)</w:t>
            </w: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715</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Quota B repurchased</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offering costs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(217,284)</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(216,741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(Net decrease) in cash and cash equivalents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(2,569,006)</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(4,911,337)</w:t>
            </w:r>
          </w:p>
        </w:tc>
        <w:tc>
          <w:tcPr>
            <w:tcW w:w="100" w:type="dxa"/>
            <w:vAlign w:val="bottom"/>
            <w:shd w:val="clear" w:color="auto" w:fill="CCEEFF"/>
          </w:tcPr>
          <w:p>
            <w:pPr>
              <w:spacing w:after="0"/>
              <w:rPr>
                <w:sz w:val="18"/>
                <w:szCs w:val="18"/>
                <w:color w:val="auto"/>
              </w:rPr>
            </w:pPr>
          </w:p>
        </w:tc>
      </w:tr>
      <w:tr>
        <w:trPr>
          <w:trHeight w:val="23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80" w:type="dxa"/>
            <w:vAlign w:val="bottom"/>
          </w:tcPr>
          <w:p>
            <w:pPr>
              <w:spacing w:after="0"/>
              <w:rPr>
                <w:sz w:val="20"/>
                <w:szCs w:val="20"/>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37,240,162</w:t>
            </w:r>
          </w:p>
        </w:tc>
        <w:tc>
          <w:tcPr>
            <w:tcW w:w="460" w:type="dxa"/>
            <w:vAlign w:val="bottom"/>
          </w:tcPr>
          <w:p>
            <w:pPr>
              <w:spacing w:after="0"/>
              <w:rPr>
                <w:sz w:val="20"/>
                <w:szCs w:val="20"/>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15,465,243</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34,671,156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10,553,906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Ge</w:t>
      </w:r>
      <w:r>
        <w:rPr>
          <w:rFonts w:ascii="Times New Roman" w:cs="Times New Roman" w:eastAsia="Times New Roman" w:hAnsi="Times New Roman"/>
          <w:sz w:val="18"/>
          <w:szCs w:val="18"/>
          <w:b w:val="1"/>
          <w:bCs w:val="1"/>
          <w:color w:val="auto"/>
        </w:rPr>
        <w:t>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history</w:t>
      </w:r>
    </w:p>
    <w:p>
      <w:pPr>
        <w:spacing w:after="0" w:line="229" w:lineRule="exact"/>
        <w:rPr>
          <w:sz w:val="20"/>
          <w:szCs w:val="20"/>
          <w:color w:val="auto"/>
        </w:rPr>
      </w:pPr>
    </w:p>
    <w:p>
      <w:pPr>
        <w:jc w:val="both"/>
        <w:ind w:firstLine="582"/>
        <w:spacing w:after="0" w:line="254" w:lineRule="auto"/>
        <w:rPr>
          <w:sz w:val="20"/>
          <w:szCs w:val="20"/>
          <w:color w:val="auto"/>
        </w:rPr>
      </w:pPr>
      <w:r>
        <w:rPr>
          <w:rFonts w:ascii="Times New Roman" w:cs="Times New Roman" w:eastAsia="Times New Roman" w:hAnsi="Times New Roman"/>
          <w:sz w:val="18"/>
          <w:szCs w:val="18"/>
          <w:color w:val="auto"/>
        </w:rPr>
        <w:t>Genenta Science S.p.A. (the “Company” or “Genenta” - formerly Genenta Science S.r.l., a “società a responsabilità limitata” or “S.r.l,” which is similar to a limited liability company in the United States) converted to an Italian joint stock company (a “società per azioni” or “S.p.A.”) in June 2021, which is similar to a C corporation in the United States. The Company was founded in Milan, Italy by San Raffaele Hospital (“OSR”), Pierluigi Paracchi, Luigi Naldini and Bernhard Gentner, and was incorporated in July 2014. On May 20, 2021, the quotaholders (owners of the Company) resolved that the Company convert from an S.r.l. to an S.p.A. and determined that the outstanding quota be converted to 15 million ordinary shares at no par value. (See Note 10. Quotaholder’s and stockholder’s equity.) New Bylaws were adopted, two new Board members were appointed, and the existing Board of Directors and Board of Statutory Advisors were re-appointed. The registered office remained located in Milan, Italy. The Company’s reporting currency is Euros (“EUR” or “€”). In May 2021, the Company formed a wholly owned, Delaware incorporated subsidiary, Genenta Science, Inc., intended for future operations in the United States (“US Subsidiary”). The US Subsidiary operates in US Dollars (“USD” or “$”).</w:t>
      </w:r>
    </w:p>
    <w:p>
      <w:pPr>
        <w:spacing w:after="0" w:line="188" w:lineRule="exact"/>
        <w:rPr>
          <w:sz w:val="20"/>
          <w:szCs w:val="20"/>
          <w:color w:val="auto"/>
        </w:rPr>
      </w:pPr>
    </w:p>
    <w:p>
      <w:pPr>
        <w:jc w:val="both"/>
        <w:ind w:firstLine="582"/>
        <w:spacing w:after="0" w:line="256" w:lineRule="auto"/>
        <w:rPr>
          <w:sz w:val="20"/>
          <w:szCs w:val="20"/>
          <w:color w:val="auto"/>
        </w:rPr>
      </w:pPr>
      <w:r>
        <w:rPr>
          <w:rFonts w:ascii="Times New Roman" w:cs="Times New Roman" w:eastAsia="Times New Roman" w:hAnsi="Times New Roman"/>
          <w:sz w:val="18"/>
          <w:szCs w:val="18"/>
          <w:color w:val="auto"/>
        </w:rPr>
        <w:t>On December 15, 2021, the Company completed an initial public offering (“IPO”) of its ordinary shares and was listed on the Nasdaq Stock Capital Market (“Nasdaq”). Through the IPO, 3,120,114 new ordinary shares with no par value were issued. 720,114 ordinary shares were subscribed by the Company’s existing shareholders through a Reserved Offering, while 2,400,000 American Depository Shares (“ADSs”), each representing one of the Company’s ordinary shares, were offered to the public and listed on Nasdaq. Subsequently, on December 27, 2021, the Company’s underwriter exercised a portion of its “green shoe” allotment for an additional 96,744 ADSs. The total number of shares outstanding resulting at December 31, 2021 was 18,216,858. Through the IPO, approximately €29 million was raised net of listing costs (approximately €3.9 million).</w:t>
      </w:r>
    </w:p>
    <w:p>
      <w:pPr>
        <w:spacing w:after="0" w:line="187" w:lineRule="exact"/>
        <w:rPr>
          <w:sz w:val="20"/>
          <w:szCs w:val="20"/>
          <w:color w:val="auto"/>
        </w:rPr>
      </w:pPr>
    </w:p>
    <w:p>
      <w:pPr>
        <w:jc w:val="both"/>
        <w:ind w:firstLine="582"/>
        <w:spacing w:after="0" w:line="266" w:lineRule="auto"/>
        <w:rPr>
          <w:sz w:val="20"/>
          <w:szCs w:val="20"/>
          <w:color w:val="auto"/>
        </w:rPr>
      </w:pPr>
      <w:r>
        <w:rPr>
          <w:rFonts w:ascii="Times New Roman" w:cs="Times New Roman" w:eastAsia="Times New Roman" w:hAnsi="Times New Roman"/>
          <w:sz w:val="18"/>
          <w:szCs w:val="18"/>
          <w:color w:val="auto"/>
        </w:rPr>
        <w:t>Genenta is an early-stage company developing first-in-class cell and gene cancer therapies. The Company is initially developing its clinical leading product, Temferon™, to treat glioblastoma multiforme (“GBM”), a solid tumor affecting the brain. The Company intends to continue its clinical trials in Europe and eventually start a clinical trial in the United States to study Temferon™ in other cancers, possibly liver cancer.</w:t>
      </w:r>
    </w:p>
    <w:p>
      <w:pPr>
        <w:spacing w:after="0" w:line="176" w:lineRule="exact"/>
        <w:rPr>
          <w:sz w:val="20"/>
          <w:szCs w:val="20"/>
          <w:color w:val="auto"/>
        </w:rPr>
      </w:pPr>
    </w:p>
    <w:p>
      <w:pPr>
        <w:jc w:val="both"/>
        <w:ind w:firstLine="582"/>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 and profit from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risks</w:t>
      </w:r>
    </w:p>
    <w:p>
      <w:pPr>
        <w:spacing w:after="0" w:line="229" w:lineRule="exact"/>
        <w:rPr>
          <w:sz w:val="20"/>
          <w:szCs w:val="20"/>
          <w:color w:val="auto"/>
        </w:rPr>
      </w:pPr>
    </w:p>
    <w:p>
      <w:pPr>
        <w:jc w:val="both"/>
        <w:ind w:firstLine="582"/>
        <w:spacing w:after="0" w:line="254" w:lineRule="auto"/>
        <w:rPr>
          <w:sz w:val="20"/>
          <w:szCs w:val="20"/>
          <w:color w:val="auto"/>
        </w:rPr>
      </w:pPr>
      <w:r>
        <w:rPr>
          <w:rFonts w:ascii="Times New Roman" w:cs="Times New Roman" w:eastAsia="Times New Roman" w:hAnsi="Times New Roman"/>
          <w:sz w:val="18"/>
          <w:szCs w:val="18"/>
          <w:color w:val="auto"/>
        </w:rPr>
        <w:t>The Company has incurred losses since its inception, including a net loss of €2.1 million and €4.0 million for the six months ended June 30, 2022, and June 30, 2021, respectively. In addition, at June 30, 2022, the Company had an accumulated deficit of €29.1 million. The Company has primarily funded these losses through the proceeds from sales of convertible debt and equity quotas, prior to the Company’s conversion into an S.p.A., and then through the proceeds from its IPO. Although the Company has incurred recurring losses and expects to continue to incur losses for the foreseeable future, the Company expects that its existing cash and cash equivalents on hand as of June 30, 2022, of €34.7 million, will be sufficient to fund current planned operations and capital expenditure requirements for at least the next twelve months from the filing date of these consolidated financial statements.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both"/>
        <w:ind w:firstLine="583"/>
        <w:spacing w:after="0" w:line="254" w:lineRule="auto"/>
        <w:rPr>
          <w:sz w:val="20"/>
          <w:szCs w:val="20"/>
          <w:color w:val="auto"/>
        </w:rPr>
      </w:pPr>
      <w:r>
        <w:rPr>
          <w:rFonts w:ascii="Times New Roman" w:cs="Times New Roman" w:eastAsia="Times New Roman" w:hAnsi="Times New Roman"/>
          <w:sz w:val="18"/>
          <w:szCs w:val="18"/>
          <w:color w:val="auto"/>
        </w:rPr>
        <w:t>The Company has evaluated whether there are conditions and events considered in the aggregate that raise substantial doubt about the Company’s ability to continue as a going concern. The Company’s business model, typical of biotechnology companies developing new therapeutic products that have not reached a balanced income and financial position, features negative cash flows. This is due to the fact that, at this stage, costs must be borne in relation to services and personnel, directly connected to research and development activities, and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significant research and development and clinical costs in the foreseeable future. There is no certainty that the Company will become profitable in the future.</w:t>
      </w:r>
    </w:p>
    <w:p>
      <w:pPr>
        <w:spacing w:after="0" w:line="192"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The Company will require additional capital to meet its long-term operating requirements. It expects to raise additional capital through, among other things, the sale of equity or debt securities. If adequate funds are not available in the future, the Company may be forced to delay, reorganize, or cancel research and development and/or clinical programs, or to enter into financing, licensing or collaboration agreements with unfavorable conditions or waive rights to certain products which otherwise it would not have waived, resulting in negative effects on the activity and on the economic, patrimonial and /or financial situation of the Company.</w:t>
      </w:r>
    </w:p>
    <w:p>
      <w:pPr>
        <w:spacing w:after="0" w:line="183"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In February 2020, the COVID-19 pandemic commenced in Italy. Regulatory guidance was issued in March 2020 and updated in April 2020 relating to the management of clinical trials during the pandemic. As the global healthcare community continues to respond to the COVID-19 pandemic, many hospitals, including the Company’s clinical sites, temporarily paused elective medical procedures, including dosing of new patients in clinical trials of our investigational gene therapies.</w:t>
      </w:r>
    </w:p>
    <w:p>
      <w:pPr>
        <w:spacing w:after="0" w:line="180"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While dosing of new patients and data collection from enrolled patients has resumed at clinical sites, the extent to which clinical activities continue to be delayed or interrupted will depend on future developments that remain uncertain. The Company has not experienced significant interruptions related to COVID-19 or its variants.</w:t>
      </w:r>
    </w:p>
    <w:p>
      <w:pPr>
        <w:spacing w:after="0" w:line="176" w:lineRule="exact"/>
        <w:rPr>
          <w:sz w:val="20"/>
          <w:szCs w:val="20"/>
          <w:color w:val="auto"/>
        </w:rPr>
      </w:pPr>
    </w:p>
    <w:p>
      <w:pPr>
        <w:jc w:val="both"/>
        <w:ind w:right="20" w:firstLine="583"/>
        <w:spacing w:after="0" w:line="282" w:lineRule="auto"/>
        <w:rPr>
          <w:sz w:val="20"/>
          <w:szCs w:val="20"/>
          <w:color w:val="auto"/>
        </w:rPr>
      </w:pPr>
      <w:r>
        <w:rPr>
          <w:rFonts w:ascii="Times New Roman" w:cs="Times New Roman" w:eastAsia="Times New Roman" w:hAnsi="Times New Roman"/>
          <w:sz w:val="18"/>
          <w:szCs w:val="18"/>
          <w:color w:val="auto"/>
        </w:rPr>
        <w:t>The Company may find it difficult to enroll patients in its clinical trials, which could delay or prevent the Company from proceeding with clinical trials of its product candidates. The Company continues to closely monitor this evolving situation and the potential impact on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229"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The Company is exposed to market risks in the ordinary course of its business. Market risk represents the risk of loss that may impact the Company’s financial position due to adverse changes in financial market prices and rates. The Company’s current investment policy is conservative due to the need to support operations and, therefore, the Company invests available cash mainly in bank deposits with reputable banks that have a credit rating of at least A-. Accordingly, a substantial majority of the Company’s cash and cash equivalents is held in deposits that bear a small amount of interest. Given the current low rates of interest the Company receives, the Company will not be adversely affected if such rates are changed. The Company’s market risk exposure is primarily a result of foreign currency exchange rates, which is discussed in detail in the following paragraph.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The Company’s results of operations and cash flow may be subject to fluctuations due to changes in foreign currency exchange rates. The Company’s liquid assets and expenses are denominated in EUR and USD. (At June 30, 2022, the Company maintained $22.7 million in cash and cash equivalents.) Changes in the USD/EUR exchange rate could increase/decrease our operating expenses, especially as more costs are incurred in the United States or, as USD are exchanged for EUR to cover European operating costs. As the Company continues to grow its business, the Company’s results of operations and cash flows might be subject to significant fluctuations due to changes in foreign currency exchange rates, which could adversely impact the Company’s results of operations.</w:t>
      </w:r>
    </w:p>
    <w:p>
      <w:pPr>
        <w:spacing w:after="0" w:line="187"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Currently, the Company has recorded an unrealized gain from exchange rate of €1.8 million. The Company has not yet determined to realize its gain from exchange rate, nor does it currently hedge its foreign currency exchange risk. In the future, the Company may enter into formal currency hedging transactions to decrease the risk of financial exposure from fluctuations in the exchange rates of its principal operating currencies. These measures, however, may not adequately protect the Company from the material adverse effects of such fluctuations.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the Company are unaudited and have been prepared in accordance with generally accepted accounting principles in the United States of America (“U.S. GAAP”) for interim financial reporting and in accordance with Regulation S-X, Rule 10-01 promulgated by the Securities and Exchange Commission (“SEC”). Accordingly, the financial statements may not include all of the information and footnotes required by U.S. GAAP for complete financial statements. Any reference in these notes to applicable guidance is meant to refer to the authoritative U.S. GAAP as found in the Accounting Standards Codification, or ASC, and Accounting Standards Update (“ASU”) of the Financial Accounting Standards Board (“FASB”).</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should be read in conjunction with the audited consolidated financial statements and accompanying notes included in the Company’s Annual Report on Form 20-F filed with the SEC on May 2, 2022. The balance sheet as of December 31, 2021 was derived from audited consolidated financial statements included in the Company’s Annual Report but does not include all disclosures required by U.S. GAAP.</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from these interim financial statements.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However, these interim financial statements include all adjustments, consisting only of normal recurring adjustments, which are, in the opinion of the Company’s management, necessary to fairly state the results of the interim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interim results are not necessarily indicative of results to be expected for the full year.</w:t>
      </w:r>
    </w:p>
    <w:p>
      <w:pPr>
        <w:spacing w:after="0" w:line="225" w:lineRule="exact"/>
        <w:rPr>
          <w:sz w:val="20"/>
          <w:szCs w:val="20"/>
          <w:color w:val="auto"/>
        </w:rPr>
      </w:pPr>
    </w:p>
    <w:p>
      <w:pPr>
        <w:jc w:val="both"/>
        <w:ind w:firstLine="582"/>
        <w:spacing w:after="0" w:line="266" w:lineRule="auto"/>
        <w:rPr>
          <w:sz w:val="20"/>
          <w:szCs w:val="20"/>
          <w:color w:val="auto"/>
        </w:rPr>
      </w:pPr>
      <w:r>
        <w:rPr>
          <w:rFonts w:ascii="Times New Roman" w:cs="Times New Roman" w:eastAsia="Times New Roman" w:hAnsi="Times New Roman"/>
          <w:sz w:val="18"/>
          <w:szCs w:val="18"/>
          <w:color w:val="auto"/>
        </w:rPr>
        <w:t>A summary of the significant accounting policies applied in the preparation of these consolidated financial statements is presented below, only for the categories and headings now applicable and that might be applicable in the future based on the Company’s business. These policies have been consistently applied, unless otherwise stated.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All significant intercompany accounts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582"/>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consolidated financial statements include, but are not limited to, the accrual for research and development and clinical expenses and related milestone payments, share-based compensation expense, valuation of research and development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consolidated financial statements are disclosed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582"/>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at acquisition to be cash equivalents, which amounts may at times exceed federally insured limits. The Company has not experienced any losses on such accounts and does not believe it is exposed to any significant credit risk. In the consolidated cash flow statements, cash and cash equivalents include: cash on hand, deposits held with banks, and other short-term highly liquid investments. In the consolidated balance sheets, bank overdrafts, if any, are shown in current liabilities. Cash and cash equivalents are detailed as follows: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37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At June 30,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At December 31,</w:t>
            </w:r>
          </w:p>
        </w:tc>
      </w:tr>
      <w:tr>
        <w:trPr>
          <w:trHeight w:val="223"/>
        </w:trPr>
        <w:tc>
          <w:tcPr>
            <w:tcW w:w="37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 bank</w:t>
            </w:r>
          </w:p>
        </w:tc>
        <w:tc>
          <w:tcPr>
            <w:tcW w:w="186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34,667,138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37,236,089</w:t>
            </w:r>
          </w:p>
        </w:tc>
        <w:tc>
          <w:tcPr>
            <w:tcW w:w="80" w:type="dxa"/>
            <w:vAlign w:val="bottom"/>
            <w:shd w:val="clear" w:color="auto" w:fill="CCEEFF"/>
          </w:tcPr>
          <w:p>
            <w:pPr>
              <w:spacing w:after="0"/>
              <w:rPr>
                <w:sz w:val="18"/>
                <w:szCs w:val="18"/>
                <w:color w:val="auto"/>
              </w:rPr>
            </w:pPr>
          </w:p>
        </w:tc>
      </w:tr>
      <w:tr>
        <w:trPr>
          <w:trHeight w:val="237"/>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in hand &amp; prepaid cards</w:t>
            </w:r>
          </w:p>
        </w:tc>
        <w:tc>
          <w:tcPr>
            <w:tcW w:w="16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80" w:type="dxa"/>
            <w:vAlign w:val="bottom"/>
            <w:tcBorders>
              <w:bottom w:val="single" w:sz="8" w:color="CCEEFF"/>
            </w:tcBorders>
          </w:tcPr>
          <w:p>
            <w:pPr>
              <w:spacing w:after="0"/>
              <w:rPr>
                <w:sz w:val="20"/>
                <w:szCs w:val="20"/>
                <w:color w:val="auto"/>
              </w:rPr>
            </w:pPr>
          </w:p>
        </w:tc>
      </w:tr>
      <w:tr>
        <w:trPr>
          <w:trHeight w:val="230"/>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34,671,156</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37,240,162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and comprehensive loss</w:t>
      </w:r>
    </w:p>
    <w:p>
      <w:pPr>
        <w:spacing w:after="0" w:line="229"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Comprehensive loss is defined as the change in equity during a period from transactions and other events and circumstances from non-owner sources. ASC 220 Comprehensive Income requires that an entity records all components of comprehensive (loss) income, net of their related tax effects, in its financial statements in the period in which they are recognized. For the six months ended June 30, 2022, and June 30, 2021, the comprehensive loss was equal to net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582"/>
        <w:spacing w:after="0" w:line="261" w:lineRule="auto"/>
        <w:rPr>
          <w:sz w:val="20"/>
          <w:szCs w:val="20"/>
          <w:color w:val="auto"/>
        </w:rPr>
      </w:pPr>
      <w:r>
        <w:rPr>
          <w:rFonts w:ascii="Times New Roman" w:cs="Times New Roman" w:eastAsia="Times New Roman" w:hAnsi="Times New Roman"/>
          <w:sz w:val="18"/>
          <w:szCs w:val="18"/>
          <w:color w:val="auto"/>
        </w:rPr>
        <w:t>Net loss per share (“EPS”) is computed in accordance with U.S. GAAP. Basic EPS is computed by dividing net loss by the weighted average number of ordinary shares outstanding during the period. Diluted EPS reflects potential dilution and is computed by dividing net loss by the weighted average number of ordinary shares outstanding during the period increased by the number of additional ordinary shares that would have been outstanding if all potential ordinary shares had been issued and were dilutive.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line="43" w:lineRule="exact"/>
        <w:rPr>
          <w:sz w:val="20"/>
          <w:szCs w:val="20"/>
          <w:color w:val="auto"/>
        </w:rPr>
      </w:pPr>
    </w:p>
    <w:p>
      <w:pPr>
        <w:jc w:val="both"/>
        <w:ind w:firstLine="582"/>
        <w:spacing w:after="0" w:line="256" w:lineRule="auto"/>
        <w:rPr>
          <w:sz w:val="20"/>
          <w:szCs w:val="20"/>
          <w:color w:val="auto"/>
        </w:rPr>
      </w:pPr>
      <w:r>
        <w:rPr>
          <w:rFonts w:ascii="Times New Roman" w:cs="Times New Roman" w:eastAsia="Times New Roman" w:hAnsi="Times New Roman"/>
          <w:sz w:val="18"/>
          <w:szCs w:val="18"/>
          <w:color w:val="auto"/>
        </w:rPr>
        <w:t>The EPS calculation was applied at the Company conversion to S.p.A. in June 2021, after the increase in capital to €50,000 required to be an S.p.A. by Italian law. The Company’s shareholders authorized 59.7 million ordinary shares. The Company has 18,216,858 ordinary shares issued and outstanding at June 30, 2022 with 2.7 million ordinary shares reserved for the Company’s Equity Incentive Plan 2021–2025. The Company has options on 147,783 shares outstanding at June 30, 2022. Diluted EPS is not relevant at June 30, 2022, as the effect of ordinary share equivalents, in the form of 23,502 underwriters’ ordinary share warrants and options on 147,783 shares, would have been anti-dilutive. (See Note 10. Stockholders’ equity and Note 11. Share-based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ind w:firstLine="582"/>
        <w:spacing w:after="0" w:line="254" w:lineRule="auto"/>
        <w:rPr>
          <w:sz w:val="20"/>
          <w:szCs w:val="20"/>
          <w:color w:val="auto"/>
        </w:rPr>
      </w:pPr>
      <w:r>
        <w:rPr>
          <w:rFonts w:ascii="Times New Roman" w:cs="Times New Roman" w:eastAsia="Times New Roman" w:hAnsi="Times New Roman"/>
          <w:sz w:val="18"/>
          <w:szCs w:val="18"/>
          <w:color w:val="auto"/>
        </w:rPr>
        <w:t>The reporting and functional currency of the Company is Euros. All amounts are presented in Euros unless otherwise stated. All amounts disclosed in the consolidated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period-end exchange rates of monetary assets and liabilities denominated in foreign currencies are recognized in the Company’s Consolidated Statements of Operations and Comprehensive Loss. For financial reporting purposes, the assets and liabilities of the US subsidiary are translated into EUR using exchange rates in effect at the balance sheet date. The net loss of the US Subsidiary is translated into EUR using average exchange rates in effect during the reporting period. For the six months ended June 30, 2021, the currency translation impact was insignificant. During the six months ended June 30, 2022, foreign exchange gains unrealized were €1.8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582"/>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(the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because of this election, its consolidated financial statements may not be comparable to companies that comply with public company effective dates. The Company may take advantage of these exemptions up until the last day of the fiscal year following the fifth anniversary of its IPO or such earlier time that it is no longer an “emerging growth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582"/>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both"/>
        <w:ind w:firstLine="582"/>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firstLine="582"/>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credit on investments in research and development</w:t>
      </w:r>
    </w:p>
    <w:p>
      <w:pPr>
        <w:spacing w:after="0" w:line="229" w:lineRule="exact"/>
        <w:rPr>
          <w:sz w:val="20"/>
          <w:szCs w:val="20"/>
          <w:color w:val="auto"/>
        </w:rPr>
      </w:pPr>
    </w:p>
    <w:p>
      <w:pPr>
        <w:jc w:val="both"/>
        <w:ind w:firstLine="582"/>
        <w:spacing w:after="0" w:line="258" w:lineRule="auto"/>
        <w:rPr>
          <w:sz w:val="20"/>
          <w:szCs w:val="20"/>
          <w:color w:val="auto"/>
        </w:rPr>
      </w:pPr>
      <w:r>
        <w:rPr>
          <w:rFonts w:ascii="Times New Roman" w:cs="Times New Roman" w:eastAsia="Times New Roman" w:hAnsi="Times New Roman"/>
          <w:sz w:val="18"/>
          <w:szCs w:val="18"/>
          <w:color w:val="auto"/>
        </w:rPr>
        <w:t>In line with the legislation in force at December 31, 2021, and for the financial year 2022,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social security contributions and payroll withholding taxes. For eligible research and development activities, the tax credit is equal to 20% both in fiscal year 2022 (“FY 2022”) and fiscal year 2021 (“FY 2021”) of the eligible costs incurred, with a maximum annual amount of €4.0 million both in FY 2022 and FY 2021.</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eligible activities consist of fundamental research, industrial research, and experimental development as defined respectively of the letters m),</w:t>
      </w:r>
    </w:p>
    <w:p>
      <w:pPr>
        <w:spacing w:after="0" w:line="27" w:lineRule="exact"/>
        <w:rPr>
          <w:sz w:val="20"/>
          <w:szCs w:val="20"/>
          <w:color w:val="auto"/>
        </w:rPr>
      </w:pPr>
    </w:p>
    <w:p>
      <w:pPr>
        <w:ind w:left="5580" w:right="4320" w:hanging="5572"/>
        <w:spacing w:after="0" w:line="511" w:lineRule="auto"/>
        <w:tabs>
          <w:tab w:leader="none" w:pos="2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j) of point 15, par. 1.3 of the Communication no. 198/2014 of the European Commission.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81" w:orient="portrait"/>
          <w:cols w:equalWidth="0" w:num="1">
            <w:col w:w="11240"/>
          </w:cols>
          <w:pgMar w:left="320" w:top="661" w:right="33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To determine the cost basis of the benefit, the following expenses are eligible:</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charges, costs of the financial or simple lease and other expenses related to movable tangible assets and software used in research and development projects;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extra-euro research contracts concerning the direct execution of eligible research and development activities by the provider;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consulting services and equivalent services related to eligible research and development activities;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materials, supplies, and other similar products used in research and development projects.</w:t>
      </w:r>
    </w:p>
    <w:p>
      <w:pPr>
        <w:spacing w:after="0" w:line="223" w:lineRule="exact"/>
        <w:rPr>
          <w:sz w:val="20"/>
          <w:szCs w:val="20"/>
          <w:color w:val="auto"/>
        </w:rPr>
      </w:pPr>
    </w:p>
    <w:p>
      <w:pPr>
        <w:jc w:val="both"/>
        <w:ind w:firstLine="582"/>
        <w:spacing w:after="0" w:line="261" w:lineRule="auto"/>
        <w:rPr>
          <w:sz w:val="20"/>
          <w:szCs w:val="20"/>
          <w:color w:val="auto"/>
        </w:rPr>
      </w:pPr>
      <w:r>
        <w:rPr>
          <w:rFonts w:ascii="Times New Roman" w:cs="Times New Roman" w:eastAsia="Times New Roman" w:hAnsi="Times New Roman"/>
          <w:sz w:val="18"/>
          <w:szCs w:val="18"/>
          <w:color w:val="auto"/>
        </w:rPr>
        <w:t xml:space="preserve">The Company, by analogy, accounts for this receivable in accordance with International Accounting Standards (IAS) 20,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Grants and Disclosure of Government Assistance</w:t>
      </w:r>
      <w:r>
        <w:rPr>
          <w:rFonts w:ascii="Times New Roman" w:cs="Times New Roman" w:eastAsia="Times New Roman" w:hAnsi="Times New Roman"/>
          <w:sz w:val="18"/>
          <w:szCs w:val="18"/>
          <w:color w:val="auto"/>
        </w:rPr>
        <w:t>. The receivable is recognized when there is reasonable assurance that: (1) the recipient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comply with the relevant conditions; and, (2) the grant will be received. The Company has elected to present it net of the related expenditure on the consolidated statements of operations and comprehensive loss.</w:t>
      </w:r>
    </w:p>
    <w:p>
      <w:pPr>
        <w:spacing w:after="0" w:line="182" w:lineRule="exact"/>
        <w:rPr>
          <w:sz w:val="20"/>
          <w:szCs w:val="20"/>
          <w:color w:val="auto"/>
        </w:rPr>
      </w:pPr>
    </w:p>
    <w:p>
      <w:pPr>
        <w:jc w:val="both"/>
        <w:ind w:firstLine="582"/>
        <w:spacing w:after="0" w:line="261" w:lineRule="auto"/>
        <w:rPr>
          <w:sz w:val="20"/>
          <w:szCs w:val="20"/>
          <w:color w:val="auto"/>
        </w:rPr>
      </w:pPr>
      <w:r>
        <w:rPr>
          <w:rFonts w:ascii="Times New Roman" w:cs="Times New Roman" w:eastAsia="Times New Roman" w:hAnsi="Times New Roman"/>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consolidated statements of operations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To reward the efforts of employees, officers, directors, and certain consultants, and to promote the Company’s growth and development, the Company’s Board of Directors may approve, upon occasion, various share-based awards.</w:t>
      </w:r>
    </w:p>
    <w:p>
      <w:pPr>
        <w:spacing w:after="0" w:line="162"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In May 2021, the Company’s quotaholders adopted the Company’s “Equity Incentive Plan 2021–2025” (“the Plan”); however, through December 31, 2021, no options or awards were granted and there were no outstanding options or awards. (See Note 11. Share-based compensation.)</w:t>
      </w:r>
    </w:p>
    <w:p>
      <w:pPr>
        <w:spacing w:after="0" w:line="162" w:lineRule="exact"/>
        <w:rPr>
          <w:sz w:val="20"/>
          <w:szCs w:val="20"/>
          <w:color w:val="auto"/>
        </w:rPr>
      </w:pPr>
    </w:p>
    <w:p>
      <w:pPr>
        <w:jc w:val="both"/>
        <w:ind w:right="20" w:firstLine="582"/>
        <w:spacing w:after="0" w:line="282" w:lineRule="auto"/>
        <w:rPr>
          <w:sz w:val="20"/>
          <w:szCs w:val="20"/>
          <w:color w:val="auto"/>
        </w:rPr>
      </w:pPr>
      <w:r>
        <w:rPr>
          <w:rFonts w:ascii="Times New Roman" w:cs="Times New Roman" w:eastAsia="Times New Roman" w:hAnsi="Times New Roman"/>
          <w:sz w:val="18"/>
          <w:szCs w:val="18"/>
          <w:color w:val="auto"/>
        </w:rPr>
        <w:t>In April 2022, the Company’s Board of Directors, as administrator of the Plan, awarded nonqualified stock options (“NSOs”) on 147,783 shares to its (former) Chairman according to the terms of a sub-plan called “2021-2025 Chairman Sub-Plan” (the “Sub-Plan”) attached to the Plan.</w:t>
      </w:r>
    </w:p>
    <w:p>
      <w:pPr>
        <w:spacing w:after="0" w:line="162" w:lineRule="exact"/>
        <w:rPr>
          <w:sz w:val="20"/>
          <w:szCs w:val="20"/>
          <w:color w:val="auto"/>
        </w:rPr>
      </w:pPr>
    </w:p>
    <w:p>
      <w:pPr>
        <w:jc w:val="both"/>
        <w:ind w:firstLine="582"/>
        <w:spacing w:after="0" w:line="256" w:lineRule="auto"/>
        <w:rPr>
          <w:sz w:val="20"/>
          <w:szCs w:val="20"/>
          <w:color w:val="auto"/>
        </w:rPr>
      </w:pPr>
      <w:r>
        <w:rPr>
          <w:rFonts w:ascii="Times New Roman" w:cs="Times New Roman" w:eastAsia="Times New Roman" w:hAnsi="Times New Roman"/>
          <w:sz w:val="18"/>
          <w:szCs w:val="18"/>
          <w:color w:val="auto"/>
        </w:rPr>
        <w:t>Currently, the Company has authorized options on 1,821,685 ordinary shares (i.e., 10% of the number of shares outstanding, which are currently 18,216,858 ordinary shares outstanding); however, at the quotaholders’ meeting held on May 20, 2021, the quotaholders approved an increase to the Plan of up to a maximum of options on 2,700,000 ordinary shares. Therefore, as the Company raises additional capital, the Board of Directors has authority to issue options on 1,821,685 to 2,700,000 ordinary shares, as the number of issued and outstanding ordinary shares grows, i.e., the Company does not have to obtain further authorization from shareholders to increase the number of ordinary shares available for equity grants until the outstanding ordinary shares exceed 27,000,000.</w:t>
      </w:r>
    </w:p>
    <w:p>
      <w:pPr>
        <w:spacing w:after="0" w:line="187" w:lineRule="exact"/>
        <w:rPr>
          <w:sz w:val="20"/>
          <w:szCs w:val="20"/>
          <w:color w:val="auto"/>
        </w:rPr>
      </w:pPr>
    </w:p>
    <w:p>
      <w:pPr>
        <w:jc w:val="both"/>
        <w:ind w:firstLine="582"/>
        <w:spacing w:after="0" w:line="258" w:lineRule="auto"/>
        <w:rPr>
          <w:sz w:val="20"/>
          <w:szCs w:val="20"/>
          <w:color w:val="auto"/>
        </w:rPr>
      </w:pPr>
      <w:r>
        <w:rPr>
          <w:rFonts w:ascii="Times New Roman" w:cs="Times New Roman" w:eastAsia="Times New Roman" w:hAnsi="Times New Roman"/>
          <w:sz w:val="18"/>
          <w:szCs w:val="18"/>
          <w:color w:val="auto"/>
        </w:rPr>
        <w:t>The Company measures its stock option awards granted to employees, officers, directors, and consultants under the Plan based on their fair value on the date of the grant and recognizes compensation expense for those awards over the requisite service period, which is normally the vesting period of the respective award. Forfeitures are accounted for as they occur. The measurement date for option awards is the date of the grant. 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81" w:lineRule="exact"/>
        <w:rPr>
          <w:sz w:val="20"/>
          <w:szCs w:val="20"/>
          <w:color w:val="auto"/>
        </w:rPr>
      </w:pPr>
    </w:p>
    <w:p>
      <w:pPr>
        <w:jc w:val="both"/>
        <w:ind w:firstLine="582"/>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the provisions of </w:t>
      </w:r>
      <w:r>
        <w:rPr>
          <w:rFonts w:ascii="Times New Roman" w:cs="Times New Roman" w:eastAsia="Times New Roman" w:hAnsi="Times New Roman"/>
          <w:sz w:val="18"/>
          <w:szCs w:val="18"/>
          <w:i w:val="1"/>
          <w:iCs w:val="1"/>
          <w:color w:val="auto"/>
        </w:rPr>
        <w:t>ASC 718, Compensation—Stock Compensation (“ASC 718”)</w:t>
      </w:r>
      <w:r>
        <w:rPr>
          <w:rFonts w:ascii="Times New Roman" w:cs="Times New Roman" w:eastAsia="Times New Roman" w:hAnsi="Times New Roman"/>
          <w:sz w:val="18"/>
          <w:szCs w:val="18"/>
          <w:color w:val="auto"/>
        </w:rPr>
        <w:t>, which requires the measurement and recognition of compensation expense for all stock-based awards made to employees and non-employees, including stock options, in the statements of operations.</w:t>
      </w:r>
    </w:p>
    <w:p>
      <w:pPr>
        <w:spacing w:after="0" w:line="175" w:lineRule="exact"/>
        <w:rPr>
          <w:sz w:val="20"/>
          <w:szCs w:val="20"/>
          <w:color w:val="auto"/>
        </w:rPr>
      </w:pPr>
    </w:p>
    <w:p>
      <w:pPr>
        <w:jc w:val="both"/>
        <w:ind w:right="20" w:firstLine="582"/>
        <w:spacing w:after="0" w:line="282" w:lineRule="auto"/>
        <w:rPr>
          <w:sz w:val="20"/>
          <w:szCs w:val="20"/>
          <w:color w:val="auto"/>
        </w:rPr>
      </w:pPr>
      <w:r>
        <w:rPr>
          <w:rFonts w:ascii="Times New Roman" w:cs="Times New Roman" w:eastAsia="Times New Roman" w:hAnsi="Times New Roman"/>
          <w:sz w:val="18"/>
          <w:szCs w:val="18"/>
          <w:color w:val="auto"/>
        </w:rPr>
        <w:t>Under paragraphs 718-10-30-7 and 30-9 of Topic 718, there are two ways to determine the fair value of an equity share option (or similar award) at the grant date:</w:t>
      </w:r>
    </w:p>
    <w:p>
      <w:pPr>
        <w:spacing w:after="0" w:line="162" w:lineRule="exact"/>
        <w:rPr>
          <w:sz w:val="20"/>
          <w:szCs w:val="20"/>
          <w:color w:val="auto"/>
        </w:rPr>
      </w:pPr>
    </w:p>
    <w:p>
      <w:pPr>
        <w:ind w:left="780" w:hanging="190"/>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an observable market price for an option with the same or similar terms and conditions, that market price shall be the fair value.</w:t>
      </w:r>
    </w:p>
    <w:p>
      <w:pPr>
        <w:spacing w:after="0" w:line="225" w:lineRule="exact"/>
        <w:rPr>
          <w:rFonts w:ascii="Times New Roman" w:cs="Times New Roman" w:eastAsia="Times New Roman" w:hAnsi="Times New Roman"/>
          <w:sz w:val="18"/>
          <w:szCs w:val="18"/>
          <w:color w:val="auto"/>
        </w:rPr>
      </w:pPr>
    </w:p>
    <w:p>
      <w:pPr>
        <w:ind w:firstLine="590"/>
        <w:spacing w:after="0" w:line="282" w:lineRule="auto"/>
        <w:tabs>
          <w:tab w:leader="none" w:pos="7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the fair value of an equity share option or similar instrument (i.e., an instrument with the same time value) must be estimated using a proper valuation technique.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ind w:firstLine="582"/>
        <w:spacing w:after="0" w:line="266" w:lineRule="auto"/>
        <w:rPr>
          <w:sz w:val="20"/>
          <w:szCs w:val="20"/>
          <w:color w:val="auto"/>
        </w:rPr>
      </w:pPr>
      <w:r>
        <w:rPr>
          <w:rFonts w:ascii="Times New Roman" w:cs="Times New Roman" w:eastAsia="Times New Roman" w:hAnsi="Times New Roman"/>
          <w:sz w:val="18"/>
          <w:szCs w:val="18"/>
          <w:color w:val="auto"/>
        </w:rPr>
        <w:t>In paragraph 718-10-30-8, the FASB indicates that market prices for equity share options and similar instruments are not currently available but could become available in the future. Therefore, in practice, equity share options and similar awards currently are valued using valuation models and techniques.</w:t>
      </w:r>
    </w:p>
    <w:p>
      <w:pPr>
        <w:spacing w:after="0" w:line="176" w:lineRule="exact"/>
        <w:rPr>
          <w:sz w:val="20"/>
          <w:szCs w:val="20"/>
          <w:color w:val="auto"/>
        </w:rPr>
      </w:pPr>
    </w:p>
    <w:p>
      <w:pPr>
        <w:jc w:val="both"/>
        <w:ind w:firstLine="582"/>
        <w:spacing w:after="0" w:line="282" w:lineRule="auto"/>
        <w:rPr>
          <w:sz w:val="20"/>
          <w:szCs w:val="20"/>
          <w:color w:val="auto"/>
        </w:rPr>
      </w:pPr>
      <w:r>
        <w:rPr>
          <w:rFonts w:ascii="Times New Roman" w:cs="Times New Roman" w:eastAsia="Times New Roman" w:hAnsi="Times New Roman"/>
          <w:sz w:val="18"/>
          <w:szCs w:val="18"/>
          <w:color w:val="auto"/>
        </w:rPr>
        <w:t>In Section 718-10-55, the FASB explains that the issuer may select from one of the following types of valuation models in determining the fair value of an equity share option:</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closed-form model that uses an equation to produce an estimated fair value, such as the Black-Scholes-Merton formula;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non-closed-form model that produces an estimated fair value on the assumed changes in the prices of a financial instrument over successive periods of time, such as the binomial model or other forms of a lattice model;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valuation techniques that are not based on a closed-form model, such as a Monte Carlo simulation technique.</w:t>
      </w:r>
    </w:p>
    <w:p>
      <w:pPr>
        <w:spacing w:after="0" w:line="225" w:lineRule="exact"/>
        <w:rPr>
          <w:sz w:val="20"/>
          <w:szCs w:val="20"/>
          <w:color w:val="auto"/>
        </w:rPr>
      </w:pPr>
    </w:p>
    <w:p>
      <w:pPr>
        <w:jc w:val="both"/>
        <w:ind w:firstLine="582"/>
        <w:spacing w:after="0" w:line="266" w:lineRule="auto"/>
        <w:rPr>
          <w:sz w:val="20"/>
          <w:szCs w:val="20"/>
          <w:color w:val="auto"/>
        </w:rPr>
      </w:pPr>
      <w:r>
        <w:rPr>
          <w:rFonts w:ascii="Times New Roman" w:cs="Times New Roman" w:eastAsia="Times New Roman" w:hAnsi="Times New Roman"/>
          <w:sz w:val="18"/>
          <w:szCs w:val="18"/>
          <w:color w:val="auto"/>
        </w:rPr>
        <w:t>Topic 718 does not indicate that one valuation technique is better than any other. The FASB hopes this lack of preference will not hinder the future development of better valuation models and techniques. Rather, the FASB explains (in paragraph 718-10-55-17) that each issuer must select an appropriate valuation technique or model depending on the substantive characteristics of the instrument being valued.</w:t>
      </w:r>
    </w:p>
    <w:p>
      <w:pPr>
        <w:spacing w:after="0" w:line="176" w:lineRule="exact"/>
        <w:rPr>
          <w:sz w:val="20"/>
          <w:szCs w:val="20"/>
          <w:color w:val="auto"/>
        </w:rPr>
      </w:pPr>
    </w:p>
    <w:p>
      <w:pPr>
        <w:jc w:val="both"/>
        <w:ind w:firstLine="582"/>
        <w:spacing w:after="0" w:line="282" w:lineRule="auto"/>
        <w:rPr>
          <w:sz w:val="20"/>
          <w:szCs w:val="20"/>
          <w:color w:val="auto"/>
        </w:rPr>
      </w:pPr>
      <w:r>
        <w:rPr>
          <w:rFonts w:ascii="Times New Roman" w:cs="Times New Roman" w:eastAsia="Times New Roman" w:hAnsi="Times New Roman"/>
          <w:sz w:val="18"/>
          <w:szCs w:val="18"/>
          <w:color w:val="auto"/>
        </w:rPr>
        <w:t>The SEC reinforced the point that no particular valuation technique or model is preferred in SEC Staff Accounting Bulletin (SAB) Topic 14, “Share-Based Payment” (Codification Section 718-10-S99).</w:t>
      </w:r>
    </w:p>
    <w:p>
      <w:pPr>
        <w:spacing w:after="0" w:line="162" w:lineRule="exact"/>
        <w:rPr>
          <w:sz w:val="20"/>
          <w:szCs w:val="20"/>
          <w:color w:val="auto"/>
        </w:rPr>
      </w:pPr>
    </w:p>
    <w:p>
      <w:pPr>
        <w:jc w:val="both"/>
        <w:ind w:firstLine="582"/>
        <w:spacing w:after="0" w:line="256" w:lineRule="auto"/>
        <w:rPr>
          <w:sz w:val="20"/>
          <w:szCs w:val="20"/>
          <w:color w:val="auto"/>
        </w:rPr>
      </w:pPr>
      <w:r>
        <w:rPr>
          <w:rFonts w:ascii="Times New Roman" w:cs="Times New Roman" w:eastAsia="Times New Roman" w:hAnsi="Times New Roman"/>
          <w:sz w:val="18"/>
          <w:szCs w:val="18"/>
          <w:color w:val="auto"/>
        </w:rPr>
        <w:t>Furthermore, FAS 123(R) states that an entity should measure the fair value of a stock option as of the grant date “based on the observable market price of an option with the same or similar terms and conditions, if one is available,” but the FASB further notes that market prices generally are not available. In the absence of such prices, fair value must be “estimated using a valuation technique such as an option-pricing model.” The standard identifies a “lattice model” (e.g., a binomial model) and a “closed-form model” (e.g., the Black-Scholes Merton formula) as acceptable option pricing models and a Monte Carlo simulation technique as another type of acceptable valuation technique. An entity must choose an appropriate valuation technique on the basis of the substantive characteristics of the options it is valuing.</w:t>
      </w:r>
    </w:p>
    <w:p>
      <w:pPr>
        <w:spacing w:after="0" w:line="187" w:lineRule="exact"/>
        <w:rPr>
          <w:sz w:val="20"/>
          <w:szCs w:val="20"/>
          <w:color w:val="auto"/>
        </w:rPr>
      </w:pPr>
    </w:p>
    <w:p>
      <w:pPr>
        <w:jc w:val="both"/>
        <w:ind w:firstLine="582"/>
        <w:spacing w:after="0" w:line="282" w:lineRule="auto"/>
        <w:rPr>
          <w:sz w:val="20"/>
          <w:szCs w:val="20"/>
          <w:color w:val="auto"/>
        </w:rPr>
      </w:pPr>
      <w:r>
        <w:rPr>
          <w:rFonts w:ascii="Times New Roman" w:cs="Times New Roman" w:eastAsia="Times New Roman" w:hAnsi="Times New Roman"/>
          <w:sz w:val="18"/>
          <w:szCs w:val="18"/>
          <w:color w:val="auto"/>
        </w:rPr>
        <w:t>The Company chose The Black-Scholes-Merton model because it is considered easier to apply and also it is a defined equation and incorporates only one set of inputs. As a result, it is the model most commonly in use.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Representative warrants</w:t>
      </w:r>
    </w:p>
    <w:p>
      <w:pPr>
        <w:spacing w:after="0" w:line="229"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Upon the closing of the Company’s IPO, the Company issued 23,502 warrants to the underwriters of the offering (“Warrants”). The Warrants are exercisable at a per share exercise price equal to 125% of the public offering price (i.e., $14.375) per ADS sold in the IPO. The Warrants are exercisable at any time and from time to time, in whole or in part, during the four and one-half-year period commencing June 13, 2022. The Warrants will provide for adjustment in the number and price of the Warrants and the ADSs underlying such Warrants in the event of recapitalization, merger, stock split or other structural transaction, or a future financing undertaken by the Company. The Warrants were evaluated under applicable guidance and accordingly classified as equity in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582"/>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including any accessory and direct costs that are necessary to make the assets fit for use, and adjusted by the corresponding accumulated depreciation. The depreciation rates recorded in the consolidated financial statements have been calculated by taking into consideration the use, purpose, and financial-technical duration of the assets, on the basis of their estimated useful economic lives. The Company believes the above criteria to be represented by the following estimated useful lives:</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&amp; furniture: 15 years;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office equipment: 10 years;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based on the shorter of the life of the leasehold improvement or the remaining term of the lease.</w:t>
      </w:r>
    </w:p>
    <w:p>
      <w:pPr>
        <w:spacing w:after="0" w:line="225" w:lineRule="exact"/>
        <w:rPr>
          <w:sz w:val="20"/>
          <w:szCs w:val="20"/>
          <w:color w:val="auto"/>
        </w:rPr>
      </w:pPr>
    </w:p>
    <w:p>
      <w:pPr>
        <w:jc w:val="both"/>
        <w:ind w:firstLine="582"/>
        <w:spacing w:after="0" w:line="258" w:lineRule="auto"/>
        <w:rPr>
          <w:sz w:val="20"/>
          <w:szCs w:val="20"/>
          <w:color w:val="auto"/>
        </w:rPr>
      </w:pPr>
      <w:r>
        <w:rPr>
          <w:rFonts w:ascii="Times New Roman" w:cs="Times New Roman" w:eastAsia="Times New Roman" w:hAnsi="Times New Roman"/>
          <w:sz w:val="18"/>
          <w:szCs w:val="18"/>
          <w:color w:val="auto"/>
        </w:rPr>
        <w:t>Ordinary maintenance costs are expensed to the consolidated statements of operations and comprehensive loss in the year in which they are incurred. Extraordinary maintenance costs, the purpose of which is to extend the useful economic life of the asset, to technologically upgrade it and/or to increase its productivity or safety for the purpose of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582"/>
        <w:spacing w:after="0" w:line="258" w:lineRule="auto"/>
        <w:rPr>
          <w:sz w:val="20"/>
          <w:szCs w:val="20"/>
          <w:color w:val="auto"/>
        </w:rPr>
      </w:pPr>
      <w:r>
        <w:rPr>
          <w:rFonts w:ascii="Times New Roman" w:cs="Times New Roman" w:eastAsia="Times New Roman" w:hAnsi="Times New Roman"/>
          <w:sz w:val="18"/>
          <w:szCs w:val="18"/>
          <w:color w:val="auto"/>
        </w:rPr>
        <w:t>In accordance with ASC Topic 360-10-20, ‘‘Property, Plant and Equipment,” the Company performs an impairment test whenever events or circumstances indicate that the carrying value of long-lived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write-down the asset to its fair value based on the present value of estimated cash flows. To date, no impairments have been identified for the six months ended June 30, 2022, and June 30, 2021.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933"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firstLine="582"/>
        <w:spacing w:after="0" w:line="256" w:lineRule="auto"/>
        <w:rPr>
          <w:sz w:val="20"/>
          <w:szCs w:val="20"/>
          <w:color w:val="auto"/>
        </w:rPr>
      </w:pPr>
      <w:r>
        <w:rPr>
          <w:rFonts w:ascii="Times New Roman" w:cs="Times New Roman" w:eastAsia="Times New Roman" w:hAnsi="Times New Roman"/>
          <w:sz w:val="18"/>
          <w:szCs w:val="18"/>
          <w:color w:val="auto"/>
        </w:rPr>
        <w:t>In April 2012, the JOBS Act was signed into law. The JOBS Act contains provisions that, among other things, reduce certain reporting requirements for an emerging growth company. As an emerging growth company, the Company may elect to adopt new or revised accounting standards when they become effective for non-public companies, which typically is later than when public companies must adopt the standards. The Company has elected to take advantage of the extended transition period afforded by the JOBS Act and, as a result, unless the Company elects early adoption of any standards, will adopt the new or revised accounting standards on the relevant dates on which adoption of such standards is required for non-public companies.</w:t>
      </w:r>
    </w:p>
    <w:p>
      <w:pPr>
        <w:spacing w:after="0" w:line="187" w:lineRule="exact"/>
        <w:rPr>
          <w:sz w:val="20"/>
          <w:szCs w:val="20"/>
          <w:color w:val="auto"/>
        </w:rPr>
      </w:pPr>
    </w:p>
    <w:p>
      <w:pPr>
        <w:jc w:val="both"/>
        <w:ind w:firstLine="582"/>
        <w:spacing w:after="0" w:line="254" w:lineRule="auto"/>
        <w:rPr>
          <w:sz w:val="20"/>
          <w:szCs w:val="20"/>
          <w:color w:val="auto"/>
        </w:rPr>
      </w:pPr>
      <w:r>
        <w:rPr>
          <w:rFonts w:ascii="Times New Roman" w:cs="Times New Roman" w:eastAsia="Times New Roman" w:hAnsi="Times New Roman"/>
          <w:sz w:val="18"/>
          <w:szCs w:val="18"/>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adopted this guidance for the reporting period beginning January 1, 2022, which did not have a material impact on its financial statements or disclosures.</w:t>
      </w:r>
    </w:p>
    <w:p>
      <w:pPr>
        <w:spacing w:after="0" w:line="192" w:lineRule="exact"/>
        <w:rPr>
          <w:sz w:val="20"/>
          <w:szCs w:val="20"/>
          <w:color w:val="auto"/>
        </w:rPr>
      </w:pPr>
    </w:p>
    <w:p>
      <w:pPr>
        <w:jc w:val="both"/>
        <w:ind w:firstLine="582"/>
        <w:spacing w:after="0" w:line="255"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The aim of ASU 2021-10 is to increase the transparency of government assistance including the disclosure of (1) the types of assistance, (2) an entity’s accounting for the assistance, and (3) the effect of the assistance on an entity’s financial statements. Diversity currently exists in the recognition, measurement, presentation, and disclosure of government assistance received by business entities because of the lack of specific authoritative guidance in U.S. GAAP. The ASU will be effective for annual reporting periods after December 15, 2021, and early adoption is permitted. Upon implementation, the Company may use either a prospective or retrospective method of adoption when adopting the ASU. The Company adopted this guidance for the reporting period beginning January 1, 2022, which did not have a material impact on its financial statements or disclosures.</w:t>
      </w:r>
    </w:p>
    <w:p>
      <w:pPr>
        <w:spacing w:after="0" w:line="189" w:lineRule="exact"/>
        <w:rPr>
          <w:sz w:val="20"/>
          <w:szCs w:val="20"/>
          <w:color w:val="auto"/>
        </w:rPr>
      </w:pPr>
    </w:p>
    <w:p>
      <w:pPr>
        <w:jc w:val="both"/>
        <w:ind w:firstLine="582"/>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Debt—Debt with Conversion and Other Options (Subtopic 470-20) and Derivatives and Hedging —Contracts in Entity’s Own Equity (Subtopic 815-40): Accounting for Convertible Instruments and Contracts in an Entity’s Own Equity. This ASU amends the guidance on convertible instruments and the derivatives scope exception for contracts in an entity’s own equity and improves and amends the related EPS guidance for both Subtopics. The ASU will be effective for annual reporting periods after December 15, 2023, and interim periods within those annual periods and early adoption is permitted in fiscal periods ending after December 15, 2020. Upon implementation, the Company may use either a modified retrospective or full retrospective method of adoption. The Company is evaluating the impact of adopting the new ASU.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Research and development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share-based compensation and benefits, facilities costs, third-party license fees, and external costs of outside vendors and consultants engaged to conduct clinical development activities and clinical trials, (e.g., contract research organizations [or “CROs”]), as well as costs to develop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annually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at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disclosures in Note 12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General and administrative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subject to taxation in Italy, and with the addition of the Company’s wholly owned subsidiary in the United States, the Company is subject to taxation in the United States. Taxation in Italy includes the standard corporate income tax (“IRES”) and a regional business tax (“IRAP”). Taxation in the United States includes federal corporate income tax (“IRS”), as well as state and local taxes. Taxes are recorded on an accrual basis. They therefore represent the allowances for taxes paid or to be paid for the year, calculated according to the current enacted rates and applicable laws. In the future, the Company may be taxed in various other countries where it may have permanent establishments, as applicable. Due to the tax loss position reported, no income taxes were accrued for the six months ending June 30, 2022, and June 30, 2021, in Italy or the United States.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each reporting date, the Company considers existing evidence, both positive and negative, that could impact its view with regards to future realization of deferred tax assets. In consideration of the start-up status of the Company, a valuation allowance has been established to offset the deferred tax assets, as the related realization is currently uncertain. In the future, should the Company conclude that it is more likely than not that the deferred tax assets are partially or fully realizable, the valuation allowance will be reduced to the extent of such expected realization, and the corresponding amount will be recognized as income tax benefit in the Company’s consolidated statements of operations and comprehensive loss.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consolidated financial statements. The prior five years of tax returns (2017-2021) are potentially subject to audit.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June 30, 2022 and June 30, 2021, the Company believes there were no significant differences with regards to its deferred tax assets and its relevant components, compared to the computations of the preceding periods.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 that refer to the start-up period, defined as the first three (3) years of operations starting from the inception of the Company. The impact of the updated calculation of tax losses carryforward at December 31, 2021 and 2020 is deemed not significant with respect of the preceding periods.</w:t>
      </w:r>
    </w:p>
    <w:p>
      <w:pPr>
        <w:spacing w:after="0" w:line="183" w:lineRule="exact"/>
        <w:rPr>
          <w:sz w:val="20"/>
          <w:szCs w:val="20"/>
          <w:color w:val="auto"/>
        </w:rPr>
      </w:pPr>
    </w:p>
    <w:p>
      <w:pPr>
        <w:jc w:val="both"/>
        <w:ind w:firstLine="582"/>
        <w:spacing w:after="0" w:line="258" w:lineRule="auto"/>
        <w:rPr>
          <w:sz w:val="20"/>
          <w:szCs w:val="20"/>
          <w:color w:val="auto"/>
        </w:rPr>
      </w:pPr>
      <w:r>
        <w:rPr>
          <w:rFonts w:ascii="Times New Roman" w:cs="Times New Roman" w:eastAsia="Times New Roman" w:hAnsi="Times New Roman"/>
          <w:sz w:val="18"/>
          <w:szCs w:val="18"/>
          <w:color w:val="auto"/>
        </w:rPr>
        <w:t>The Company has analyzed its tax position by determining the amount of tax losses that can be carried forward indefinitely and has decided to accrue an allowance for related deferred tax assets as the Company is in a situation of pre-revenues that is destined to remain in the long run and there is no certainty of the future recoverability of such tax losses through tax relevant incomes. Future taxable profits for the Company depend on the manufacture of marketable drugs following the successful completion of the clinical trial. Since the clinical trial is still in Phase I/2a, the time frame and uncertainties regarding the outcome of the completion justify the full allowance of deferred tax assets.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1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At 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At December 31,</w:t>
            </w:r>
          </w:p>
        </w:tc>
      </w:tr>
      <w:tr>
        <w:trPr>
          <w:trHeight w:val="223"/>
        </w:trPr>
        <w:tc>
          <w:tcPr>
            <w:tcW w:w="11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r>
      <w:tr>
        <w:trPr>
          <w:trHeight w:val="216"/>
        </w:trPr>
        <w:tc>
          <w:tcPr>
            <w:tcW w:w="5660" w:type="dxa"/>
            <w:vAlign w:val="bottom"/>
            <w:gridSpan w:val="2"/>
          </w:tcPr>
          <w:p>
            <w:pPr>
              <w:ind w:left="1140"/>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(VAT)</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1,072,002</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820,780</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payments to suppliers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58,009</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180,709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21,987</w:t>
            </w:r>
          </w:p>
        </w:tc>
        <w:tc>
          <w:tcPr>
            <w:tcW w:w="8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prepaids</w:t>
            </w: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648,996</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1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2,737,108</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1,519,023</w:t>
            </w:r>
          </w:p>
        </w:tc>
        <w:tc>
          <w:tcPr>
            <w:tcW w:w="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582"/>
        <w:spacing w:after="0" w:line="256" w:lineRule="auto"/>
        <w:rPr>
          <w:sz w:val="20"/>
          <w:szCs w:val="20"/>
          <w:color w:val="auto"/>
        </w:rPr>
      </w:pPr>
      <w:r>
        <w:rPr>
          <w:rFonts w:ascii="Times New Roman" w:cs="Times New Roman" w:eastAsia="Times New Roman" w:hAnsi="Times New Roman"/>
          <w:sz w:val="18"/>
          <w:szCs w:val="18"/>
          <w:color w:val="auto"/>
        </w:rPr>
        <w:t>Value Added Tax (“VAT”) receivables are linked to purchases. Italian VAT (</w:t>
      </w:r>
      <w:r>
        <w:rPr>
          <w:rFonts w:ascii="Times New Roman" w:cs="Times New Roman" w:eastAsia="Times New Roman" w:hAnsi="Times New Roman"/>
          <w:sz w:val="18"/>
          <w:szCs w:val="18"/>
          <w:i w:val="1"/>
          <w:iCs w:val="1"/>
          <w:color w:val="auto"/>
        </w:rPr>
        <w:t>Imposta sul Valore Aggiunto</w:t>
      </w:r>
      <w:r>
        <w:rPr>
          <w:rFonts w:ascii="Times New Roman" w:cs="Times New Roman" w:eastAsia="Times New Roman" w:hAnsi="Times New Roman"/>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2022 and 2021 is 22%. Reduced rates are provided for specifically listed supplies of goods and services. It is carried forward indefinitely and does not expire. During the six months ended June 30, 2022, the Company received a reimbursement of approximately €821,000 related to preceding periods of VAT tax credit. Based on the historical timing and amounts of VAT tax credit reimbursement received by the Company, at June 30, 2022, the VAT tax credit residual balance after the mentioned reimbursement, amounted to approximately €1.1 million and was recorded as a current asset, since it is expected to be collected from the tax agency within 12 months.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jc w:val="both"/>
        <w:ind w:firstLine="582"/>
        <w:spacing w:after="0" w:line="254" w:lineRule="auto"/>
        <w:rPr>
          <w:sz w:val="20"/>
          <w:szCs w:val="20"/>
          <w:color w:val="auto"/>
        </w:rPr>
      </w:pPr>
      <w:r>
        <w:rPr>
          <w:rFonts w:ascii="Times New Roman" w:cs="Times New Roman" w:eastAsia="Times New Roman" w:hAnsi="Times New Roman"/>
          <w:sz w:val="18"/>
          <w:szCs w:val="18"/>
          <w:color w:val="auto"/>
        </w:rPr>
        <w:t>Tax credits on research and development represent a special tax relief offered to Italian companies operating in the research and development sector and can be used to offset most taxes payable. The Company has a total research and development tax credit available to be used of approximately €4.2 million at June 30, 2022, which can be carried forward indefinitely and does not expire. However, given the start-up status of the Company, and the fact that it will not be profitable in the foreseeable future (which limits the utilization of the credit), the Company recognized a receivable balance that represents the Company’s best estimate of the amount of tax credit that can be used in offsetting taxes payable by June 30, 2024. This estimate is consistent with the Company’s most updated cash budget utilization projections approved by the Board of Directors in July 2022. According to the budget approved, the Company’s available cash as of June 30, 2022, is deemed more than sufficient to cover the operating activities through at least the first half of 2024, without additional financing or other management plans.</w:t>
      </w:r>
    </w:p>
    <w:p>
      <w:pPr>
        <w:spacing w:after="0" w:line="192" w:lineRule="exact"/>
        <w:rPr>
          <w:sz w:val="20"/>
          <w:szCs w:val="20"/>
          <w:color w:val="auto"/>
        </w:rPr>
      </w:pPr>
    </w:p>
    <w:p>
      <w:pPr>
        <w:jc w:val="both"/>
        <w:ind w:firstLine="582"/>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the Company utilized approximately €306,000 to offset certain social contributions and taxes payable, while during the six months ended June 30, 2021, the Company utilized approximately €204,000. In addition, the recorded benefit for the six months ended June 30, 2022, and June 30, 2021, was approximately €706,000 and €204,000, respectively, to offset research and development expenses. The Company reclassified to other non-current assets a portion of the receivable, which is expected to be realized beyond 12 months. (See Note 8. Other non-current assets.)</w:t>
      </w:r>
    </w:p>
    <w:p>
      <w:pPr>
        <w:spacing w:after="0" w:line="183" w:lineRule="exact"/>
        <w:rPr>
          <w:sz w:val="20"/>
          <w:szCs w:val="20"/>
          <w:color w:val="auto"/>
        </w:rPr>
      </w:pPr>
    </w:p>
    <w:p>
      <w:pPr>
        <w:jc w:val="both"/>
        <w:ind w:firstLine="582"/>
        <w:spacing w:after="0" w:line="282" w:lineRule="auto"/>
        <w:rPr>
          <w:sz w:val="20"/>
          <w:szCs w:val="20"/>
          <w:color w:val="auto"/>
        </w:rPr>
      </w:pPr>
      <w:r>
        <w:rPr>
          <w:rFonts w:ascii="Times New Roman" w:cs="Times New Roman" w:eastAsia="Times New Roman" w:hAnsi="Times New Roman"/>
          <w:sz w:val="18"/>
          <w:szCs w:val="18"/>
          <w:color w:val="auto"/>
        </w:rPr>
        <w:t>Other current assets mainly relate to a tax credit recognized by the Italian Revenue Agency for approximately €180,000 that is expected to be collected in less than 12 months.</w:t>
      </w:r>
    </w:p>
    <w:p>
      <w:pPr>
        <w:spacing w:after="0" w:line="162"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At June 30, 2022, Other prepaid expenses mainly relate to: i) the directors and officers (“D&amp;O”) insurance policy paid in January 2022 of approximately €582,000; ii) the prepayment of Nasdaq registration fees for one year (from January 1, 2022 for €20,000); and, iii) prepaid expenses of €30,000 recorded to adjust the manufacturing expenses accrued during the six months ended June 30, 2022, for the actual statement of work confirmed by the manufacturer. Other prepaid expenses as of June 30, 2021, were comprised of miscellaneous minor prepaid expenses.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4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11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At 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At December 31,</w:t>
            </w:r>
          </w:p>
        </w:tc>
      </w:tr>
      <w:tr>
        <w:trPr>
          <w:trHeight w:val="223"/>
        </w:trPr>
        <w:tc>
          <w:tcPr>
            <w:tcW w:w="11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r>
      <w:tr>
        <w:trPr>
          <w:trHeight w:val="216"/>
        </w:trPr>
        <w:tc>
          <w:tcPr>
            <w:tcW w:w="5420" w:type="dxa"/>
            <w:vAlign w:val="bottom"/>
            <w:gridSpan w:val="2"/>
          </w:tcPr>
          <w:p>
            <w:pPr>
              <w:ind w:left="1140"/>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w:t>
            </w:r>
          </w:p>
        </w:tc>
        <w:tc>
          <w:tcPr>
            <w:tcW w:w="15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20,353</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Auto</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3"/>
        </w:trPr>
        <w:tc>
          <w:tcPr>
            <w:tcW w:w="1140" w:type="dxa"/>
            <w:vAlign w:val="bottom"/>
          </w:tcPr>
          <w:p>
            <w:pPr>
              <w:spacing w:after="0"/>
              <w:rPr>
                <w:sz w:val="17"/>
                <w:szCs w:val="17"/>
                <w:color w:val="auto"/>
              </w:rPr>
            </w:pPr>
          </w:p>
        </w:tc>
        <w:tc>
          <w:tcPr>
            <w:tcW w:w="4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property and equipment</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80,113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29,879</w:t>
            </w:r>
          </w:p>
        </w:tc>
        <w:tc>
          <w:tcPr>
            <w:tcW w:w="80" w:type="dxa"/>
            <w:vAlign w:val="bottom"/>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(14,185)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(6,789)</w:t>
            </w:r>
          </w:p>
        </w:tc>
      </w:tr>
      <w:tr>
        <w:trPr>
          <w:trHeight w:val="216"/>
        </w:trPr>
        <w:tc>
          <w:tcPr>
            <w:tcW w:w="1140" w:type="dxa"/>
            <w:vAlign w:val="bottom"/>
          </w:tcPr>
          <w:p>
            <w:pPr>
              <w:spacing w:after="0"/>
              <w:rPr>
                <w:sz w:val="18"/>
                <w:szCs w:val="18"/>
                <w:color w:val="auto"/>
              </w:rPr>
            </w:pPr>
          </w:p>
        </w:tc>
        <w:tc>
          <w:tcPr>
            <w:tcW w:w="4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65,928</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80" w:type="dxa"/>
            <w:vAlign w:val="bottom"/>
            <w:tcBorders>
              <w:top w:val="single" w:sz="8" w:color="CCEEFF"/>
            </w:tcBorders>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Property and equipment consist of computers, an auto, and furniture and fixtures of our office space in Milan, Italy. There were no disposals, nor impairments during the periods. Depreciation has been calculated by taking into consideration the use, purpose, and financial-technical duration of the assets, based on their estimated economic lives. No significant purchases occurred during the six months ended June 30, 2022.</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Depreciation expense for the six months ending June 30, 2022, and June 30, 2021, were €2,813 and €2,086,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Other non-current assets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Other non-current assets consist as follows: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(in Euros)</w:t>
      </w:r>
    </w:p>
    <w:p>
      <w:pPr>
        <w:spacing w:after="0" w:line="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Value Added Tax (VAT)</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Research and development tax credit</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At June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At December 31,</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r>
      <w:tr>
        <w:trPr>
          <w:trHeight w:val="198"/>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8"/>
              </w:rPr>
              <w:t>(Unaudited)</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9"/>
        </w:trPr>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641,215</w:t>
            </w:r>
          </w:p>
        </w:tc>
      </w:tr>
      <w:tr>
        <w:trPr>
          <w:trHeight w:val="241"/>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9"/>
        </w:trPr>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1,241,215</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-471170</wp:posOffset>
            </wp:positionV>
            <wp:extent cx="570039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-179070</wp:posOffset>
            </wp:positionV>
            <wp:extent cx="570039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820" w:space="720"/>
            <w:col w:w="4700"/>
          </w:cols>
          <w:pgMar w:left="320" w:top="657" w:right="339" w:bottom="1440" w:gutter="0" w:footer="0" w:header="0"/>
        </w:sectPr>
      </w:pPr>
    </w:p>
    <w:p>
      <w:pPr>
        <w:ind w:left="600"/>
        <w:spacing w:after="0"/>
        <w:rPr>
          <w:sz w:val="20"/>
          <w:szCs w:val="20"/>
          <w:color w:val="auto"/>
        </w:rPr>
      </w:pPr>
      <w:r>
        <w:rPr>
          <w:rFonts w:ascii="Times New Roman" w:cs="Times New Roman" w:eastAsia="Times New Roman" w:hAnsi="Times New Roman"/>
          <w:sz w:val="18"/>
          <w:szCs w:val="18"/>
          <w:color w:val="auto"/>
        </w:rPr>
        <w:t>VAT tax credit at June 30, 2022 is recorded in other current assets. (See Note 6. Prepaid expenses and other current assets.)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research and development tax credit increased due to the increase in the utilization rate. (See Note 6. Prepaid expenses and other 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07" w:lineRule="exact"/>
        <w:rPr>
          <w:sz w:val="20"/>
          <w:szCs w:val="20"/>
          <w:color w:val="auto"/>
        </w:rPr>
      </w:pPr>
    </w:p>
    <w:p>
      <w:pPr>
        <w:jc w:val="both"/>
        <w:ind w:firstLine="582"/>
        <w:spacing w:after="0" w:line="282" w:lineRule="auto"/>
        <w:rPr>
          <w:sz w:val="20"/>
          <w:szCs w:val="20"/>
          <w:color w:val="auto"/>
        </w:rPr>
      </w:pPr>
      <w:r>
        <w:rPr>
          <w:rFonts w:ascii="Times New Roman" w:cs="Times New Roman" w:eastAsia="Times New Roman" w:hAnsi="Times New Roman"/>
          <w:sz w:val="18"/>
          <w:szCs w:val="18"/>
          <w:color w:val="auto"/>
        </w:rPr>
        <w:t>Other non-current assets - related party includes a security deposit of €3,350 paid to OSR - San Raffaele Hospital as security guarantee for the office lease contract. (See Note 13. Commitments and contingencies.)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9. Retirement benefit obligation</w:t>
      </w:r>
    </w:p>
    <w:p>
      <w:pPr>
        <w:spacing w:after="0" w:line="229" w:lineRule="exact"/>
        <w:rPr>
          <w:sz w:val="20"/>
          <w:szCs w:val="20"/>
          <w:color w:val="auto"/>
        </w:rPr>
      </w:pPr>
    </w:p>
    <w:p>
      <w:pPr>
        <w:jc w:val="both"/>
        <w:ind w:firstLine="582"/>
        <w:spacing w:after="0" w:line="255" w:lineRule="auto"/>
        <w:rPr>
          <w:sz w:val="20"/>
          <w:szCs w:val="20"/>
          <w:color w:val="auto"/>
        </w:rPr>
      </w:pPr>
      <w:r>
        <w:rPr>
          <w:rFonts w:ascii="Times New Roman" w:cs="Times New Roman" w:eastAsia="Times New Roman" w:hAnsi="Times New Roman"/>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are accounted for under the provisions of ASC 715, </w:t>
      </w:r>
      <w:r>
        <w:rPr>
          <w:rFonts w:ascii="Times New Roman" w:cs="Times New Roman" w:eastAsia="Times New Roman" w:hAnsi="Times New Roman"/>
          <w:sz w:val="18"/>
          <w:szCs w:val="18"/>
          <w:i w:val="1"/>
          <w:iCs w:val="1"/>
          <w:color w:val="auto"/>
        </w:rPr>
        <w:t>Compensation – Retirement Benefits</w:t>
      </w:r>
      <w:r>
        <w:rPr>
          <w:rFonts w:ascii="Times New Roman" w:cs="Times New Roman" w:eastAsia="Times New Roman" w:hAnsi="Times New Roman"/>
          <w:sz w:val="18"/>
          <w:szCs w:val="18"/>
          <w:color w:val="auto"/>
        </w:rPr>
        <w:t>. The amount of the obligation at June 30, 2022 and December 31, 2021 was €55,192 and €30,618, respectively.</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9" w:lineRule="exact"/>
        <w:rPr>
          <w:sz w:val="20"/>
          <w:szCs w:val="20"/>
          <w:color w:val="auto"/>
        </w:rPr>
      </w:pPr>
    </w:p>
    <w:p>
      <w:pPr>
        <w:jc w:val="both"/>
        <w:ind w:firstLine="582"/>
        <w:spacing w:after="0" w:line="261" w:lineRule="auto"/>
        <w:rPr>
          <w:sz w:val="20"/>
          <w:szCs w:val="20"/>
          <w:color w:val="auto"/>
        </w:rPr>
      </w:pPr>
      <w:r>
        <w:rPr>
          <w:rFonts w:ascii="Times New Roman" w:cs="Times New Roman" w:eastAsia="Times New Roman" w:hAnsi="Times New Roman"/>
          <w:sz w:val="18"/>
          <w:szCs w:val="18"/>
          <w:color w:val="auto"/>
        </w:rPr>
        <w:t>The Company was an S.r.l., which is an Italian limited liability company similar to a limited liability company in the United States. The Articles of Incorporation, Shareholders’ Agreement and the By-laws of the Company provided for different quotas, which represented the Company’s corporate capital, rather than shares of stock as ownership corporate capital. As an S.r.l., the Company’s ownership was called “corporate capital” and “quotas” rather than shares, stock, or units.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Company’s capital was divided between the five quotas as summarized below at December 31, 2020:</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245"/>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Quota</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26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26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06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37,056</w:t>
            </w:r>
          </w:p>
        </w:tc>
        <w:tc>
          <w:tcPr>
            <w:tcW w:w="260" w:type="dxa"/>
            <w:vAlign w:val="bottom"/>
            <w:vMerge w:val="continue"/>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had five (5) quotas: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 A. Quota A was reserved for certain founders. One of the founders had the right to appoint three (3) board members out of five (5), appoint the Chair from these three (3) persons and appoint one (1) member of the Board of Statutory Auditors. One other founder had the right to appoint two (2) board members out of five (5), appoint two (2) statutory auditors and appoint the Chair of the statutory auditors from the two (2) appointees. Quota A had voting rights.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 B. Quota B had no voting rights, the same profit-sharing rights as Quota A and was priced at a nominal amount of €1.00. The Company had historically utilized Quota B for its share-based compensation program offered to board members, employees, and consultants. Quota B was also held by certain co-founders. The Company’s stock options were exercisable into Quota B for past and present board members, employees, and consultants.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 C. Quota C had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 D. Investors received Quota D in the Company’s second funding round (2017) where approximately €7 million was raised.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7" w:name="page18"/>
    <w:bookmarkEnd w:id="17"/>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 E.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Quotas A, C, D &amp; E. During a divestiture proceeding (meaning Quotas representing 100% of the corporate capital of the Company) or a dissolution of the Company, Quotas C, D &amp; E all had the same rights with respect to the proceeds of a divestiture, i.e., all three (3) quotas shared the divestiture consideration equally (on a pari passu basis) up to the amount of their investment. If there was any consideration remaining after payment to quotas C, D &amp; E, then quota A was entitled to the amount remaining up to the amount of their investment. If proceeds of a divestiture were less than or equal to €50 million, then any proceeds remaining after payment of quotas A, C, D &amp; E, were to be shared equally among quotas A, C, D &amp; E; however, if proceeds of a divestiture were greater than €50 million, then any proceeds remaining after payment of quotas A, C, D &amp; E, were to be distributed to each quota separately according to a detailed formula specified in the Company’s By-Laws, including quota B. Similar to a divestiture, net profits, if any, were to be distributed in the same manner to quotas A, B, C, D &amp; E, after deducting not less than five (5) percent for a legal reserve (up to where this reserve equals one-fifth of the quota capital). A, C, D, E had equal voting rights and the Company By-laws specify protective provisions for each class of quota for A, C, D &amp; E.</w:t>
      </w:r>
    </w:p>
    <w:p>
      <w:pPr>
        <w:spacing w:after="0" w:line="19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30, 2021, two events occurred which together had a significant impact on the Company’s equity:</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2021, the Board of Directors resolved to grant to employees and non-employees stock options and accelerate the vesting of other stock options on €715 quota B and €172 quota B were repurchased at nominal value, cancelled, and allocated to the option plan as available for grant by Drs. Naldini and Gentner, leaving a net equity increase of €543 quota B. All quota B ownership has limited rights and carries a par value of €1 per quota. The Corporate Capital amount was € 37,771 (€37,056 corporate capital at December 31, 2020 + €715 exercise of Quota B options before the conversion).</w:t>
      </w:r>
    </w:p>
    <w:p>
      <w:pPr>
        <w:spacing w:after="0" w:line="183"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20, 2021, at a special quotaholders’ meeting, the quotaholders resolved to convert the Company from an S.r.l. to an S.p.A., which conversion became effective on June 18, 2021. As consequence of the conversion, the Corporate Capital has been converted to ordinary shares with no par value and it was increased to €50,000 to satisfy the minimum capital requirement to qualify as an S.p.A. This increase was an adjustment from Additional Paid-in Capital to Common stock, no par value.</w:t>
      </w:r>
    </w:p>
    <w:p>
      <w:pPr>
        <w:spacing w:after="0" w:line="179"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Company conversion, the Corporate Capital was reclassified as ordinary shares, no par value, combining the minimum capital amount of €50,000 with the Additional Paid-In Capital for a total of €37,139,431. The outstanding quota of €50,000 before the conversion were all converted into 15 million shares of ordinary shares, no par value, after the conversion at the same conversion rate of approximately 300 quota percentage of ownership. All preferences related to the quota classes were terminated and all shareholders now hold ordinary shares, no par value. All shares outstanding after the conversion are held in ledger form. The Company adopted a new Article of Association, appointed two new directors (including Mr. Squinto as Chairman) and re-appointed the existing members of the Board of Directors it and the existing Board of Statutory Auditors.</w:t>
      </w:r>
    </w:p>
    <w:p>
      <w:pPr>
        <w:spacing w:after="0" w:line="189"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no significant events occurred; however, the Company granted a nonqualified fully vested stock option on April 26, 2022, to its chairman at a price based on a sub-plan called “2021-2025 Chairman Sub-Plan. The expense was recorded in the statement of operations and comprehensive loss for the six months ended June 30, 2022, in the amount of €240,043. (See Note 2. Summary of significant accounting policies &amp; Note 11. Share-based compensation.)</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229" w:lineRule="exact"/>
        <w:rPr>
          <w:sz w:val="20"/>
          <w:szCs w:val="20"/>
          <w:color w:val="auto"/>
        </w:rPr>
      </w:pPr>
    </w:p>
    <w:p>
      <w:pPr>
        <w:jc w:val="both"/>
        <w:ind w:firstLine="582"/>
        <w:spacing w:after="0" w:line="266" w:lineRule="auto"/>
        <w:rPr>
          <w:sz w:val="20"/>
          <w:szCs w:val="20"/>
          <w:color w:val="auto"/>
        </w:rPr>
      </w:pPr>
      <w:r>
        <w:rPr>
          <w:rFonts w:ascii="Times New Roman" w:cs="Times New Roman" w:eastAsia="Times New Roman" w:hAnsi="Times New Roman"/>
          <w:sz w:val="18"/>
          <w:szCs w:val="18"/>
          <w:color w:val="auto"/>
        </w:rPr>
        <w:t>The Company granted options on its corporate capital to certain directors, officers, employees, and consultants, as an incentive and as additional compensation prior to the Company’s conversion to an S.p.A. All options converted into Quota B when vested and exercised. All options had an exercise price of €1.00 per quota. Options generally vested over a one-to-three-year period and have been exercised when vested.</w:t>
      </w:r>
    </w:p>
    <w:p>
      <w:pPr>
        <w:spacing w:after="0" w:line="176" w:lineRule="exact"/>
        <w:rPr>
          <w:sz w:val="20"/>
          <w:szCs w:val="20"/>
          <w:color w:val="auto"/>
        </w:rPr>
      </w:pPr>
    </w:p>
    <w:p>
      <w:pPr>
        <w:jc w:val="both"/>
        <w:ind w:firstLine="582"/>
        <w:spacing w:after="0" w:line="266" w:lineRule="auto"/>
        <w:rPr>
          <w:sz w:val="20"/>
          <w:szCs w:val="20"/>
          <w:color w:val="auto"/>
        </w:rPr>
      </w:pPr>
      <w:r>
        <w:rPr>
          <w:rFonts w:ascii="Times New Roman" w:cs="Times New Roman" w:eastAsia="Times New Roman" w:hAnsi="Times New Roman"/>
          <w:sz w:val="18"/>
          <w:szCs w:val="18"/>
          <w:color w:val="auto"/>
        </w:rPr>
        <w:t>In April 2021, €172 of quota B shares were repurchased, cancelled, and allocated to the option plan as available for grant. The Board of Directors approved new option grants on €169 of quota B and accelerated the vesting of options on €546 quota B and all options were exercised. The total of €715 quota B were issued and exercised in April 2021 with no options remaining outstanding at that time.</w:t>
      </w:r>
    </w:p>
    <w:p>
      <w:pPr>
        <w:spacing w:after="0" w:line="176" w:lineRule="exact"/>
        <w:rPr>
          <w:sz w:val="20"/>
          <w:szCs w:val="20"/>
          <w:color w:val="auto"/>
        </w:rPr>
      </w:pPr>
    </w:p>
    <w:p>
      <w:pPr>
        <w:jc w:val="both"/>
        <w:ind w:firstLine="582"/>
        <w:spacing w:after="0" w:line="258" w:lineRule="auto"/>
        <w:rPr>
          <w:sz w:val="20"/>
          <w:szCs w:val="20"/>
          <w:color w:val="auto"/>
        </w:rPr>
      </w:pPr>
      <w:r>
        <w:rPr>
          <w:rFonts w:ascii="Times New Roman" w:cs="Times New Roman" w:eastAsia="Times New Roman" w:hAnsi="Times New Roman"/>
          <w:sz w:val="18"/>
          <w:szCs w:val="18"/>
          <w:color w:val="auto"/>
        </w:rPr>
        <w:t>In May 2021, in context of the corporate conversion from a limited liability company (società a responsabilità limitata, or S.r.l.) to a joint stock company (società per azioni, or an S.p.A.), the quotaholders approved a capital increase to allow for issuance of up to 2.7 million ordinary shares, or 10% of the total outstanding ordinary shares of the Company after the IPO, in the service of a four-year employees’ share option plan, “Equity Incentive Plan 2021–2025,” (the “Plan”) that was adopted by the board of directors. The Plan is administered by the Board of Directors in consultation with the Compensation, Nomination and Governance Committee.</w:t>
      </w:r>
    </w:p>
    <w:p>
      <w:pPr>
        <w:spacing w:after="0" w:line="183" w:lineRule="exact"/>
        <w:rPr>
          <w:sz w:val="20"/>
          <w:szCs w:val="20"/>
          <w:color w:val="auto"/>
        </w:rPr>
      </w:pPr>
    </w:p>
    <w:p>
      <w:pPr>
        <w:jc w:val="both"/>
        <w:ind w:firstLine="582"/>
        <w:spacing w:after="0" w:line="282" w:lineRule="auto"/>
        <w:rPr>
          <w:sz w:val="20"/>
          <w:szCs w:val="20"/>
          <w:color w:val="auto"/>
        </w:rPr>
      </w:pPr>
      <w:r>
        <w:rPr>
          <w:rFonts w:ascii="Times New Roman" w:cs="Times New Roman" w:eastAsia="Times New Roman" w:hAnsi="Times New Roman"/>
          <w:sz w:val="18"/>
          <w:szCs w:val="18"/>
          <w:color w:val="auto"/>
        </w:rPr>
        <w:t>At June 18, 2021, the date of the Company’s conversion to an S.p.A., all stock options were granted, fully vested, exercised and converted into ordinary shares with no par value. At June 30, 2021, there were no outstanding stock options.</w:t>
      </w:r>
    </w:p>
    <w:p>
      <w:pPr>
        <w:spacing w:after="0" w:line="162" w:lineRule="exact"/>
        <w:rPr>
          <w:sz w:val="20"/>
          <w:szCs w:val="20"/>
          <w:color w:val="auto"/>
        </w:rPr>
      </w:pPr>
    </w:p>
    <w:p>
      <w:pPr>
        <w:jc w:val="both"/>
        <w:ind w:firstLine="582"/>
        <w:spacing w:after="0" w:line="282" w:lineRule="auto"/>
        <w:rPr>
          <w:sz w:val="20"/>
          <w:szCs w:val="20"/>
          <w:color w:val="auto"/>
        </w:rPr>
      </w:pPr>
      <w:r>
        <w:rPr>
          <w:rFonts w:ascii="Times New Roman" w:cs="Times New Roman" w:eastAsia="Times New Roman" w:hAnsi="Times New Roman"/>
          <w:sz w:val="18"/>
          <w:szCs w:val="18"/>
          <w:color w:val="auto"/>
        </w:rPr>
        <w:t>On April 26, 2022, 147,783 NSOs were granted to Dr. Squinto, Chairman of the Company at that time, and were fully vested and priced based on a sub-plan called “2021-2025 Chairman Sub-Plan” attached to the Plan. Total recognized expense was €240,043.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tbl>
      <w:tblPr>
        <w:tblLayout w:type="fixed"/>
        <w:tblInd w:w="58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Average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Weighted</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Remaining</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Average</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Contractual</w:t>
            </w: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w:t>
            </w:r>
          </w:p>
        </w:tc>
      </w:tr>
      <w:tr>
        <w:trPr>
          <w:trHeight w:val="241"/>
        </w:trPr>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Exercise Price</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Term (Years)</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Intrinsic Value</w:t>
            </w:r>
          </w:p>
        </w:tc>
      </w:tr>
      <w:tr>
        <w:trPr>
          <w:trHeight w:val="184"/>
        </w:trPr>
        <w:tc>
          <w:tcPr>
            <w:tcW w:w="454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Outstanding, vested and expected to vest as of December 31,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68"/>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546</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584,132</w:t>
            </w:r>
          </w:p>
        </w:tc>
      </w:tr>
      <w:tr>
        <w:trPr>
          <w:trHeight w:val="203"/>
        </w:trPr>
        <w:tc>
          <w:tcPr>
            <w:tcW w:w="45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Exercisable as of December 31, 2020</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183,831</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777,920</w:t>
            </w: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vested and expected to vest as of June 30, 2021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Exercisable as of June 30, 2021</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Outstanding, vested and expected to vest as of January 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and immediately vested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147,783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vested and expected to vest as of June 30, 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147,783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29,878</w:t>
            </w:r>
          </w:p>
        </w:tc>
      </w:tr>
      <w:tr>
        <w:trPr>
          <w:trHeight w:val="223"/>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as of June 30, 2022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147,783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Company’s share-based compensation expense for the period ended June 30, 2022 and June 30, 2021 is represented by the following table:</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4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7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4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6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&amp; development expense</w:t>
            </w:r>
          </w:p>
        </w:tc>
        <w:tc>
          <w:tcPr>
            <w:tcW w:w="10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Research &amp; development expense - related party</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179,480</w:t>
            </w:r>
          </w:p>
        </w:tc>
        <w:tc>
          <w:tcPr>
            <w:tcW w:w="80" w:type="dxa"/>
            <w:vAlign w:val="bottom"/>
          </w:tcPr>
          <w:p>
            <w:pPr>
              <w:spacing w:after="0"/>
              <w:rPr>
                <w:sz w:val="18"/>
                <w:szCs w:val="18"/>
                <w:color w:val="auto"/>
              </w:rPr>
            </w:pPr>
          </w:p>
        </w:tc>
      </w:tr>
      <w:tr>
        <w:trPr>
          <w:trHeight w:val="250"/>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 expense</w:t>
            </w:r>
          </w:p>
        </w:tc>
        <w:tc>
          <w:tcPr>
            <w:tcW w:w="10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240,043</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234,955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56"/>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240,043</w:t>
            </w:r>
          </w:p>
        </w:tc>
        <w:tc>
          <w:tcPr>
            <w:tcW w:w="2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497,104</w:t>
            </w:r>
          </w:p>
        </w:tc>
        <w:tc>
          <w:tcPr>
            <w:tcW w:w="80" w:type="dxa"/>
            <w:vAlign w:val="bottom"/>
            <w:tcBorders>
              <w:bottom w:val="single" w:sz="8" w:color="CCEEFF"/>
            </w:tcBorders>
          </w:tcPr>
          <w:p>
            <w:pPr>
              <w:spacing w:after="0"/>
              <w:rPr>
                <w:sz w:val="22"/>
                <w:szCs w:val="22"/>
                <w:color w:val="auto"/>
              </w:rPr>
            </w:pPr>
          </w:p>
        </w:tc>
      </w:tr>
      <w:tr>
        <w:trPr>
          <w:trHeight w:val="197"/>
        </w:trPr>
        <w:tc>
          <w:tcPr>
            <w:tcW w:w="4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Unrecognized expense</w:t>
            </w:r>
          </w:p>
        </w:tc>
        <w:tc>
          <w:tcPr>
            <w:tcW w:w="1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jc w:val="both"/>
        <w:ind w:firstLine="582"/>
        <w:spacing w:after="0" w:line="261" w:lineRule="auto"/>
        <w:rPr>
          <w:sz w:val="20"/>
          <w:szCs w:val="20"/>
          <w:color w:val="auto"/>
        </w:rPr>
      </w:pPr>
      <w:r>
        <w:rPr>
          <w:rFonts w:ascii="Times New Roman" w:cs="Times New Roman" w:eastAsia="Times New Roman" w:hAnsi="Times New Roman"/>
          <w:sz w:val="18"/>
          <w:szCs w:val="18"/>
          <w:color w:val="auto"/>
        </w:rPr>
        <w:t>For the periods ended June 30, 2022, and June 30, 2021, the Company recorded €240,043 and €497,104, respectively, as the fair value of the stock options granted. There was no amount of unrecognized expense at June 30, 2022 and June 30, 2021, since the options vested immediately and all expense was recognized during the period. The weighted average fair value of the options granted during the six months ended June 30, 2022 and June 30, 2021 was € 1.62 per share and €1,088 per quota B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2022, NSOs Chairman Sub Plan - Valuation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Board of Directors meeting on April 26, 2022, the Company granted options on 147,783 shares to its Chairman, Dr. Squinto. The terms and conditions of this grant are as follows:</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Two (2) years, i.e., expiring on April 26,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€6.38 per share, as outlined in the Sub-Plan;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Immediately vested per the Sub-Plan.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calculated the stock compensation expense for the options granted to Dr. Squinto by utilizing the Black Scholes method with the following inputs:</w:t>
      </w:r>
    </w:p>
    <w:p>
      <w:pPr>
        <w:spacing w:after="0" w:line="3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Current stock price (“S</w:t>
      </w:r>
      <w:r>
        <w:rPr>
          <w:rFonts w:ascii="Times New Roman" w:cs="Times New Roman" w:eastAsia="Times New Roman" w:hAnsi="Times New Roman"/>
          <w:sz w:val="29"/>
          <w:szCs w:val="29"/>
          <w:u w:val="single" w:color="auto"/>
          <w:color w:val="auto"/>
          <w:vertAlign w:val="subscript"/>
        </w:rPr>
        <w:t>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of $5.41 is the closing share price on the option grant date.</w:t>
      </w:r>
    </w:p>
    <w:p>
      <w:pPr>
        <w:spacing w:after="0" w:line="2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Strike price (“K”)</w:t>
      </w:r>
      <w:r>
        <w:rPr>
          <w:rFonts w:ascii="Times New Roman" w:cs="Times New Roman" w:eastAsia="Times New Roman" w:hAnsi="Times New Roman"/>
          <w:sz w:val="18"/>
          <w:szCs w:val="18"/>
          <w:color w:val="auto"/>
        </w:rPr>
        <w:t xml:space="preserve"> of $6.81 was calculated by converting the Sub-Plan exercise price of €6.38 to $6.81 using the day exchange rate of 1.0674.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Free Interest Rate (“r”)</w:t>
      </w:r>
      <w:r>
        <w:rPr>
          <w:rFonts w:ascii="Times New Roman" w:cs="Times New Roman" w:eastAsia="Times New Roman" w:hAnsi="Times New Roman"/>
          <w:sz w:val="18"/>
          <w:szCs w:val="18"/>
          <w:color w:val="auto"/>
        </w:rPr>
        <w:t xml:space="preserve"> based on the expected term of 18 months, the Company used the 1.5-year treasury rate of 2.27% as the risk- free interest rate to align with the estimated exercise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Expected Term (“t”)</w:t>
      </w:r>
      <w:r>
        <w:rPr>
          <w:rFonts w:ascii="Times New Roman" w:cs="Times New Roman" w:eastAsia="Times New Roman" w:hAnsi="Times New Roman"/>
          <w:sz w:val="18"/>
          <w:szCs w:val="18"/>
          <w:color w:val="auto"/>
        </w:rPr>
        <w:t xml:space="preserve"> An estimated expected term of eighteen (18) months was used.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Volatility (“</w:t>
      </w:r>
      <w:r>
        <w:rPr>
          <w:rFonts w:ascii="Times New Roman" w:cs="Times New Roman" w:eastAsia="Times New Roman" w:hAnsi="Times New Roman"/>
          <w:sz w:val="18"/>
          <w:szCs w:val="18"/>
          <w:color w:val="auto"/>
        </w:rPr>
        <w:t>σ”</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 volatility of 82.0% was used</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Using the assumptions described above, the estimated fair value of options granted to Dr. Squinto on April 26, 2022 was approximately €1.62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Therefore, the expense for the fully vested shares was €240,043 ($256,222) and was recorded in the six months ended June 30,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2021 - Quota B Valuations</w:t>
      </w:r>
    </w:p>
    <w:p>
      <w:pPr>
        <w:spacing w:after="0" w:line="227" w:lineRule="exact"/>
        <w:rPr>
          <w:sz w:val="20"/>
          <w:szCs w:val="20"/>
          <w:color w:val="auto"/>
        </w:rPr>
      </w:pPr>
    </w:p>
    <w:p>
      <w:pPr>
        <w:jc w:val="both"/>
        <w:ind w:firstLine="582"/>
        <w:spacing w:after="0" w:line="256" w:lineRule="auto"/>
        <w:rPr>
          <w:sz w:val="20"/>
          <w:szCs w:val="20"/>
          <w:color w:val="auto"/>
        </w:rPr>
      </w:pPr>
      <w:r>
        <w:rPr>
          <w:rFonts w:ascii="Times New Roman" w:cs="Times New Roman" w:eastAsia="Times New Roman" w:hAnsi="Times New Roman"/>
          <w:sz w:val="18"/>
          <w:szCs w:val="18"/>
          <w:color w:val="auto"/>
        </w:rPr>
        <w:t>The fair value of the Quota B underlying the Company’s stock-based compensation grants had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8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of the Quota B equity performed by third-party specialists;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Company’s equity to third-party, arms-length, sophisticated, and qualified investors;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the Company’s Quota C, D, and E preferred equity classes relative to those of the Company’s equity;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the Quota B;</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voting rights of the Quota B;</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key personnel and the experience of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stage of development;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a merger or acquisition of the Company given prevailing market conditions, or other liquidation events;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U.S. and global capital market conditions.</w:t>
      </w:r>
    </w:p>
    <w:p>
      <w:pPr>
        <w:spacing w:after="0" w:line="225" w:lineRule="exact"/>
        <w:rPr>
          <w:sz w:val="20"/>
          <w:szCs w:val="20"/>
          <w:color w:val="auto"/>
        </w:rPr>
      </w:pPr>
    </w:p>
    <w:p>
      <w:pPr>
        <w:jc w:val="both"/>
        <w:ind w:firstLine="582"/>
        <w:spacing w:after="0" w:line="258" w:lineRule="auto"/>
        <w:rPr>
          <w:sz w:val="20"/>
          <w:szCs w:val="20"/>
          <w:color w:val="auto"/>
        </w:rPr>
      </w:pPr>
      <w:r>
        <w:rPr>
          <w:rFonts w:ascii="Times New Roman" w:cs="Times New Roman" w:eastAsia="Times New Roman" w:hAnsi="Times New Roman"/>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183" w:lineRule="exact"/>
        <w:rPr>
          <w:sz w:val="20"/>
          <w:szCs w:val="20"/>
          <w:color w:val="auto"/>
        </w:rPr>
      </w:pPr>
    </w:p>
    <w:p>
      <w:pPr>
        <w:jc w:val="both"/>
        <w:ind w:firstLine="582"/>
        <w:spacing w:after="0" w:line="256" w:lineRule="auto"/>
        <w:rPr>
          <w:sz w:val="20"/>
          <w:szCs w:val="20"/>
          <w:color w:val="auto"/>
        </w:rPr>
      </w:pPr>
      <w:r>
        <w:rPr>
          <w:rFonts w:ascii="Times New Roman" w:cs="Times New Roman" w:eastAsia="Times New Roman" w:hAnsi="Times New Roman"/>
          <w:sz w:val="18"/>
          <w:szCs w:val="18"/>
          <w:color w:val="auto"/>
        </w:rPr>
        <w:t>The OPM treats each equity class as a call option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weighted average fair value of the options granted during 2021 was €1,088.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56"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Weighted average shares</w:t>
      </w:r>
    </w:p>
    <w:p>
      <w:pPr>
        <w:spacing w:after="0" w:line="227"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The calculation was performed by taking the number of shares outstanding during a given period and weighting them for the number of days that number of shares were outstanding. For the six months ended June 30, 2022, and June 30, 2021, respectively, there was a weighted average of €18,216,858 and €14,772,610 shares of the Company’s ordinary shares, no par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parties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Company’s research and development expenses are a combination of third-party expenses, and related party expenses, as detailed below:</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7"/>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3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color w:val="auto"/>
                <w:w w:val="96"/>
              </w:rPr>
              <w:t>Third Parties</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Related Parties</w:t>
            </w: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Consultants &amp; other third parties</w:t>
            </w:r>
          </w:p>
        </w:tc>
        <w:tc>
          <w:tcPr>
            <w:tcW w:w="96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298,265</w:t>
            </w:r>
          </w:p>
        </w:tc>
        <w:tc>
          <w:tcPr>
            <w:tcW w:w="4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338,265</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Materials &amp; supplies</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837,098</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(including share-based)</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377,928</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Travel &amp; entertainment</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65,938</w:t>
            </w:r>
          </w:p>
        </w:tc>
        <w:tc>
          <w:tcPr>
            <w:tcW w:w="80" w:type="dxa"/>
            <w:vAlign w:val="bottom"/>
          </w:tcPr>
          <w:p>
            <w:pPr>
              <w:spacing w:after="0"/>
              <w:rPr>
                <w:sz w:val="18"/>
                <w:szCs w:val="18"/>
                <w:color w:val="auto"/>
              </w:rPr>
            </w:pPr>
          </w:p>
        </w:tc>
      </w:tr>
      <w:tr>
        <w:trPr>
          <w:trHeight w:val="249"/>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18"/>
                <w:szCs w:val="18"/>
                <w:color w:val="auto"/>
              </w:rPr>
            </w:pPr>
          </w:p>
        </w:tc>
        <w:tc>
          <w:tcPr>
            <w:tcW w:w="4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1,384,818</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255,761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1,640,579</w:t>
            </w:r>
          </w:p>
        </w:tc>
        <w:tc>
          <w:tcPr>
            <w:tcW w:w="8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7"/>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3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color w:val="auto"/>
                <w:w w:val="96"/>
              </w:rPr>
              <w:t>Third Parties</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Related Parties</w:t>
            </w: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Consultants &amp; other third parties</w:t>
            </w:r>
          </w:p>
        </w:tc>
        <w:tc>
          <w:tcPr>
            <w:tcW w:w="96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525,978</w:t>
            </w:r>
          </w:p>
        </w:tc>
        <w:tc>
          <w:tcPr>
            <w:tcW w:w="4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1,541,526</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2,067,504</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Materials &amp; supplies</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717,905</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(including share-based)</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179,480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401,380</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Travel &amp; entertainment</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80" w:type="dxa"/>
            <w:vAlign w:val="bottom"/>
          </w:tcPr>
          <w:p>
            <w:pPr>
              <w:spacing w:after="0"/>
              <w:rPr>
                <w:sz w:val="18"/>
                <w:szCs w:val="18"/>
                <w:color w:val="auto"/>
              </w:rPr>
            </w:pPr>
          </w:p>
        </w:tc>
      </w:tr>
      <w:tr>
        <w:trPr>
          <w:trHeight w:val="249"/>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18"/>
                <w:szCs w:val="18"/>
                <w:color w:val="auto"/>
              </w:rPr>
            </w:pPr>
          </w:p>
        </w:tc>
        <w:tc>
          <w:tcPr>
            <w:tcW w:w="4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1,478,228</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1,721,006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3,199,234</w:t>
            </w:r>
          </w:p>
        </w:tc>
        <w:tc>
          <w:tcPr>
            <w:tcW w:w="8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82"/>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mainly refer to LVV (Lentiviral Vector for Gene therapy) production activities and to preclinical and clinical activities mainly at the San Raffaele Hospital in Milan. Specifically, the related party research and development expenses refer to the costs of preclinical and clinical activities charged by San Raffaele Hospital.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general and administrative expenses are also a combination of third-party and related party expenses, as detailed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Six Months Ended June 30,2022</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Third Parties</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Related Parties</w:t>
            </w: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4440" w:type="dxa"/>
            <w:vAlign w:val="bottom"/>
            <w:gridSpan w:val="2"/>
          </w:tcPr>
          <w:p>
            <w:pPr>
              <w:ind w:left="1140"/>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(including share-based)</w:t>
            </w:r>
          </w:p>
        </w:tc>
        <w:tc>
          <w:tcPr>
            <w:tcW w:w="6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522,012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421,558</w:t>
            </w:r>
          </w:p>
        </w:tc>
        <w:tc>
          <w:tcPr>
            <w:tcW w:w="64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943,570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Accounting, legal &amp; other professional</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376,642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376,642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&amp; insurance related</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Consultants &amp; other third parties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384,243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384,243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794,248</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797,773</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2,081,018</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432,540</w:t>
            </w:r>
          </w:p>
        </w:tc>
        <w:tc>
          <w:tcPr>
            <w:tcW w:w="26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2,513,558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20"/>
        </w:trPr>
        <w:tc>
          <w:tcPr>
            <w:tcW w:w="11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9" w:right="339" w:bottom="1440" w:gutter="0" w:footer="0" w:header="0"/>
        </w:sectPr>
      </w:pPr>
    </w:p>
    <w:bookmarkStart w:id="21" w:name="page22"/>
    <w:bookmarkEnd w:id="21"/>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45"/>
        </w:trPr>
        <w:tc>
          <w:tcPr>
            <w:tcW w:w="5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gridSpan w:val="6"/>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Six Months Ended June 30,2021</w:t>
            </w:r>
          </w:p>
        </w:tc>
        <w:tc>
          <w:tcPr>
            <w:tcW w:w="11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Third Parties</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Related Parties</w:t>
            </w: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540"/>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(including share-based)</w:t>
            </w:r>
          </w:p>
        </w:tc>
        <w:tc>
          <w:tcPr>
            <w:tcW w:w="6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258,514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64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Accounting, legal &amp; other professional</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181,354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&amp; insurance related</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Consultants &amp; other third parties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115,471</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685,039</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157,197</w:t>
            </w:r>
          </w:p>
        </w:tc>
        <w:tc>
          <w:tcPr>
            <w:tcW w:w="26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accounts payable to related parties are comprised as follows: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At June 30,</w:t>
            </w:r>
          </w:p>
        </w:tc>
        <w:tc>
          <w:tcPr>
            <w:tcW w:w="18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8"/>
                <w:szCs w:val="18"/>
                <w:color w:val="auto"/>
              </w:rPr>
              <w:t>At December 31,</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8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2022</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540"/>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Raffaele Hospital</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265,616</w:t>
            </w:r>
          </w:p>
        </w:tc>
        <w:tc>
          <w:tcPr>
            <w:tcW w:w="64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Carlo Russo</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Slansky</w:t>
            </w: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277,654</w:t>
            </w:r>
          </w:p>
        </w:tc>
        <w:tc>
          <w:tcPr>
            <w:tcW w:w="26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The Company’s accrued expenses to related parties are comprised as follows:</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8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At June 30</w:t>
            </w:r>
          </w:p>
        </w:tc>
        <w:tc>
          <w:tcPr>
            <w:tcW w:w="18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At December 31</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2022</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540"/>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Raffaele Hospital (OSR)</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172,359</w:t>
            </w:r>
          </w:p>
        </w:tc>
        <w:tc>
          <w:tcPr>
            <w:tcW w:w="64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Executive bonus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XDG Biomed</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Financial consultant</w:t>
            </w:r>
          </w:p>
        </w:tc>
        <w:tc>
          <w:tcPr>
            <w:tcW w:w="5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53,502</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172,359</w:t>
            </w: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San Raffaele Hospital (OSR) account payables balance and accrued expenses compared to December 31, 2021, was due to a delay in the invoicing process by OSR.</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has identified the following related parties: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Pierluigi Paracchi</w:t>
      </w:r>
      <w:r>
        <w:rPr>
          <w:rFonts w:ascii="Times New Roman" w:cs="Times New Roman" w:eastAsia="Times New Roman" w:hAnsi="Times New Roman"/>
          <w:sz w:val="18"/>
          <w:szCs w:val="18"/>
          <w:color w:val="auto"/>
        </w:rPr>
        <w:t xml:space="preserve"> (director and co-founder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Luigi Naldini</w:t>
      </w:r>
      <w:r>
        <w:rPr>
          <w:rFonts w:ascii="Times New Roman" w:cs="Times New Roman" w:eastAsia="Times New Roman" w:hAnsi="Times New Roman"/>
          <w:sz w:val="18"/>
          <w:szCs w:val="18"/>
          <w:color w:val="auto"/>
        </w:rPr>
        <w:t xml:space="preserve"> (co-founder of the Company and executive scientific board chairman);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Bernard Rudolph Gentner</w:t>
      </w:r>
      <w:r>
        <w:rPr>
          <w:rFonts w:ascii="Times New Roman" w:cs="Times New Roman" w:eastAsia="Times New Roman" w:hAnsi="Times New Roman"/>
          <w:sz w:val="18"/>
          <w:szCs w:val="18"/>
          <w:color w:val="auto"/>
        </w:rPr>
        <w:t xml:space="preserve"> (co-founders of the Company and member of scientific advisory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Carlo Russo (</w:t>
      </w:r>
      <w:r>
        <w:rPr>
          <w:rFonts w:ascii="Times New Roman" w:cs="Times New Roman" w:eastAsia="Times New Roman" w:hAnsi="Times New Roman"/>
          <w:sz w:val="18"/>
          <w:szCs w:val="18"/>
          <w:color w:val="auto"/>
        </w:rPr>
        <w:t>Chief Medical Officer, operating by his Company XDG Biomed LLC);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Richard Slansky</w:t>
      </w:r>
      <w:r>
        <w:rPr>
          <w:rFonts w:ascii="Times New Roman" w:cs="Times New Roman" w:eastAsia="Times New Roman" w:hAnsi="Times New Roman"/>
          <w:sz w:val="18"/>
          <w:szCs w:val="18"/>
          <w:color w:val="auto"/>
        </w:rPr>
        <w:t xml:space="preserve"> (Chief Financial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Spafid S.pA. (</w:t>
      </w:r>
      <w:r>
        <w:rPr>
          <w:rFonts w:ascii="Times New Roman" w:cs="Times New Roman" w:eastAsia="Times New Roman" w:hAnsi="Times New Roman"/>
          <w:sz w:val="18"/>
          <w:szCs w:val="18"/>
          <w:color w:val="auto"/>
        </w:rPr>
        <w:t>shareholder ownership &gt; 5%)</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Ospedale San Raffaele (</w:t>
      </w:r>
      <w:r>
        <w:rPr>
          <w:rFonts w:ascii="Times New Roman" w:cs="Times New Roman" w:eastAsia="Times New Roman" w:hAnsi="Times New Roman"/>
          <w:sz w:val="18"/>
          <w:szCs w:val="18"/>
          <w:color w:val="auto"/>
        </w:rPr>
        <w:t>co-founder of the Company, shareholder, main service provider for clinical activity and licensor of brands of any product that can be obtained through research).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parties could exercise significant influence on the Company’s strategic decisions, behavior, and future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nature of the transactions between the Company and these related parties: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Pierluigi Paracchi</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Mr. Pierluigi Paracchi, President and Chairman of the Company prior to the conversion, is the current Chief Executive Officer, Vice-Chairman, as well as co-founder. His annual compensation, until December 16, 2021, amounted to €250,000 per year plus an annual performance bonus of €50,000, which was earned in the period July-June of each year payable after Board of Director’s approval. On December 17, 2021, his arrangement with the Company was changed and he became employed by the Company as chief executive officer (aka general manager in Italy), with an annual gross salary of €420,000 plus a 20% annual bonus subject to Board of Director’s approval. Mr. Paracchi also has use of a company car, for which the Company entered an operating leasing agreement in February 2022.</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April 2022, Mr. Paracchi received a bonus of €50,000 (gross amount), of which €23,000 related to the activity performed in the second half of 2021 and €37,000 related to the activity performed in the first few months of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six months ended June 30, 2022, the Company expensed €248,242 and €150,000, respectively, for Mr. Paracchi’s compensation.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Company accrued approximately €14,000 for the retirement benefit obligation of Mr. Paracchi, as it is provided by the new employment agreement he has as an executive.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Luigi Naldini/Bernard Rudolph Gentner</w:t>
      </w:r>
    </w:p>
    <w:p>
      <w:pPr>
        <w:spacing w:after="0" w:line="229" w:lineRule="exact"/>
        <w:rPr>
          <w:sz w:val="20"/>
          <w:szCs w:val="20"/>
          <w:color w:val="auto"/>
        </w:rPr>
      </w:pPr>
    </w:p>
    <w:p>
      <w:pPr>
        <w:jc w:val="both"/>
        <w:ind w:firstLine="582"/>
        <w:spacing w:after="0" w:line="261" w:lineRule="auto"/>
        <w:rPr>
          <w:sz w:val="20"/>
          <w:szCs w:val="20"/>
          <w:color w:val="auto"/>
        </w:rPr>
      </w:pPr>
      <w:r>
        <w:rPr>
          <w:rFonts w:ascii="Times New Roman" w:cs="Times New Roman" w:eastAsia="Times New Roman" w:hAnsi="Times New Roman"/>
          <w:sz w:val="18"/>
          <w:szCs w:val="18"/>
          <w:color w:val="auto"/>
        </w:rPr>
        <w:t>Drs. Naldini and Gentner are co-founders of Genenta and part of the SAB – Scientific Advisory Board, with Dr. Naldini as Chairman, and Dr. Gentner as a member. Dr. Naldini has an advisory agreement approved by the Board of Directors and performs the pre-clinical studies for the Company. In particular, the pre-clinical experiments are in solid tumor indications. The agreement with Dr. Naldini, signed in 2019, in place during the six months ended June 30, 2022, provided for an annual fee of €50,000, and the Company expensed and paid €25,000 as of June 30, 2022, and June 30, 2021, respectively.</w:t>
      </w:r>
    </w:p>
    <w:p>
      <w:pPr>
        <w:spacing w:after="0" w:line="180" w:lineRule="exact"/>
        <w:rPr>
          <w:sz w:val="20"/>
          <w:szCs w:val="20"/>
          <w:color w:val="auto"/>
        </w:rPr>
      </w:pPr>
    </w:p>
    <w:p>
      <w:pPr>
        <w:jc w:val="both"/>
        <w:ind w:firstLine="582"/>
        <w:spacing w:after="0" w:line="266" w:lineRule="auto"/>
        <w:rPr>
          <w:sz w:val="20"/>
          <w:szCs w:val="20"/>
          <w:color w:val="auto"/>
        </w:rPr>
      </w:pPr>
      <w:r>
        <w:rPr>
          <w:rFonts w:ascii="Times New Roman" w:cs="Times New Roman" w:eastAsia="Times New Roman" w:hAnsi="Times New Roman"/>
          <w:sz w:val="18"/>
          <w:szCs w:val="18"/>
          <w:color w:val="auto"/>
        </w:rPr>
        <w:t>Dr. Gentner, like Dr. Naldini, oversees pre-clinical research related to the Company’s platform technology. In addition, he analyzes clinical biological data. The last agreement with Dr. Gentner, which is still in force, was signed in 2017. His annual fee is €30,000. For the six months ended June 30, 2022, and June 30, 2021, the Company expensed and paid €15,000,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XDG Biomed LLC/Carlo Russo</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XDG Biomed is the LLC of Dr. Carlo Russo. Dr. Russo has a single contract signed by XDG and the Company that was approved by the Board of Directors and was subject to multiple amendments. In particular, Dr. Russo, via XDG, served as the Company’s Chief Medical Officer and Head of Development pre-IPO. Dr. Russo is responsible for the clinical development of Temferon™, the Company’s gene therapy platform. The recurring fee for Dr. Russo’s services until the IPO date (i.e., December 15, 2021) was €300,000 per year, plus a performance bonus of €50,000 for the period July-June of each year and payable after Board of Directors approval. From the IPO date, Dr. Russo has been employed by the US Subsidiary with the same title, role and responsibilities under a new employment agreement. The annual gross salary of Dr. Russo as an employee of the Company amounts to $500,000 per year, plus a 30% annual bonus subject to Board of Director approval.</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June 30, 2021, the Company expensed €215,761 and €175,000, respectively, related to Dr. Russo as an employee and XDG Biomed LCC as an advisor,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April 2021, Dr. Russo was awarded a stock option grant, which was immediately vested and exercised, with a value accrued in the Consolidated Statement of Operations and Comprehensive Loss of €179,480.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December 31, 2021, €25,000 was accrued as a bonus for the six months ended June 30, 2021, based on the agreement in place with XDG Biomed LLC, but subsequently during the six months ended June 30, 2022, the bonus was not approved by the Board of Directors; and therefore, reversed in the Company’s Consolidated Statement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Slansky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Richard Slansky is the Chief Financial Officer of the Company. He was engaged in late 2020 by the Company to assist with financial, accounting and audit support under an advisory agreement until the end of October 2021. On November 1, 2021, he joined the Company full time and has been employed as Chief Financial Officer.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six months ended June 30, 2021, by the advisory agreement, Mr. Slansky invoiced Genenta for €42,224.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April 2021, Mr. Slansky was awarded a stock option grant, which was immediately vested and exercised, with value accrued in the Company’s Consolidated Statement of Operations and Comprehensive Loss of €54,388.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2021, a bonus was accrued, after the success of the IPO, in the amount of $50,000 and paid in early 2022.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new employment agreement, which started on November 1, 2021, Mr. Slansky is entitled to receive a gross annual compensation of $300,000 per year, plus a 30% annual bonus subject to Board of Director approval.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six months ended June 30, 2022, the Company recorded a total cost for Mr. Slansky amounting to €173,317.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149"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Spafid SpA</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Spafid is a Genenta shareholder with an ownership greater than 5%. Spafid is also a service provider to Genenta. The engagement started on May 20, 2021, and relates to several services concerning corporate governance activities as shareholders book and shareholders meeting management, shares dematerialization and centralization, etc.</w:t>
      </w:r>
    </w:p>
    <w:p>
      <w:pPr>
        <w:spacing w:after="0" w:line="176" w:lineRule="exact"/>
        <w:rPr>
          <w:sz w:val="20"/>
          <w:szCs w:val="20"/>
          <w:color w:val="auto"/>
        </w:rPr>
      </w:pPr>
    </w:p>
    <w:p>
      <w:pPr>
        <w:jc w:val="both"/>
        <w:ind w:firstLine="582"/>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Spafid invoiced the Company €3,525, which was recorded in the Company’s Consolidated Statements of Operations and Comprehensive Loss as a general &amp; administrative expense. No expenses were incurred in the six months ended June 30,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OSR – San Raffaele Hospital</w:t>
      </w:r>
    </w:p>
    <w:p>
      <w:pPr>
        <w:spacing w:after="0" w:line="229" w:lineRule="exact"/>
        <w:rPr>
          <w:sz w:val="20"/>
          <w:szCs w:val="20"/>
          <w:color w:val="auto"/>
        </w:rPr>
      </w:pPr>
    </w:p>
    <w:p>
      <w:pPr>
        <w:jc w:val="both"/>
        <w:ind w:firstLine="582"/>
        <w:spacing w:after="0" w:line="261" w:lineRule="auto"/>
        <w:rPr>
          <w:sz w:val="20"/>
          <w:szCs w:val="20"/>
          <w:color w:val="auto"/>
        </w:rPr>
      </w:pPr>
      <w:r>
        <w:rPr>
          <w:rFonts w:ascii="Times New Roman" w:cs="Times New Roman" w:eastAsia="Times New Roman" w:hAnsi="Times New Roman"/>
          <w:sz w:val="18"/>
          <w:szCs w:val="18"/>
          <w:color w:val="auto"/>
        </w:rPr>
        <w:t>OSR - San Raffaele Hospital is a co-founder of the Company and a shareholder with an ownership greater than 5%, and the Company is a corporate and research spin-off of OSR. OSR is one of the leading biomedical research institutions in Italy and Europe, with a 45-year history of developing innovative therapies and procedures. The Company has agreements to license technology, to perform research, pre-clinical and clinical activities, as well as to lease facilities and obtain certain other support functions. The Company’s headquarters is currently in an OSR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227" w:lineRule="exact"/>
        <w:rPr>
          <w:sz w:val="20"/>
          <w:szCs w:val="20"/>
          <w:color w:val="auto"/>
        </w:rPr>
      </w:pPr>
    </w:p>
    <w:p>
      <w:pPr>
        <w:jc w:val="both"/>
        <w:ind w:firstLine="582"/>
        <w:spacing w:after="0" w:line="258" w:lineRule="auto"/>
        <w:rPr>
          <w:sz w:val="20"/>
          <w:szCs w:val="20"/>
          <w:color w:val="auto"/>
        </w:rPr>
      </w:pPr>
      <w:r>
        <w:rPr>
          <w:rFonts w:ascii="Times New Roman" w:cs="Times New Roman" w:eastAsia="Times New Roman" w:hAnsi="Times New Roman"/>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183"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Based on the preclinical studies conducted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160"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Lympho-Hematopoietic Indication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and,</w:t>
      </w:r>
    </w:p>
    <w:p>
      <w:pPr>
        <w:spacing w:after="0" w:line="77" w:lineRule="exact"/>
        <w:rPr>
          <w:rFonts w:ascii="Times New Roman" w:cs="Times New Roman" w:eastAsia="Times New Roman" w:hAnsi="Times New Roman"/>
          <w:sz w:val="36"/>
          <w:szCs w:val="36"/>
          <w:color w:val="auto"/>
          <w:vertAlign w:val="superscript"/>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Solid Cancer Indication.</w:t>
      </w: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agreement provided for an upfront fee of €250,000 (which was paid in 2015), future option fees are as follows:</w:t>
      </w:r>
    </w:p>
    <w:p>
      <w:pPr>
        <w:spacing w:after="0" w:line="22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fee on the first indication = €1.0 million (subsequently reduced to €0.5 million);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fee on the second indication = €0.5 million;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fee on the third indication = €0.3 million;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fee on any additional indications = no license fee.</w:t>
      </w:r>
    </w:p>
    <w:p>
      <w:pPr>
        <w:spacing w:after="0" w:line="266" w:lineRule="exact"/>
        <w:rPr>
          <w:sz w:val="20"/>
          <w:szCs w:val="20"/>
          <w:color w:val="auto"/>
        </w:rPr>
      </w:pPr>
    </w:p>
    <w:p>
      <w:pPr>
        <w:ind w:firstLine="15"/>
        <w:spacing w:after="0" w:line="195" w:lineRule="auto"/>
        <w:tabs>
          <w:tab w:leader="none" w:pos="133"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later amended the License Agreement focusing on GBM options. The TEM-MM option fee has never been exercised and instead the related research was abandoned in early 2021.</w:t>
      </w:r>
    </w:p>
    <w:p>
      <w:pPr>
        <w:spacing w:after="0" w:line="186" w:lineRule="exact"/>
        <w:rPr>
          <w:sz w:val="20"/>
          <w:szCs w:val="20"/>
          <w:color w:val="auto"/>
        </w:rPr>
      </w:pPr>
    </w:p>
    <w:p>
      <w:pPr>
        <w:jc w:val="both"/>
        <w:ind w:firstLine="582"/>
        <w:spacing w:after="0" w:line="282" w:lineRule="auto"/>
        <w:rPr>
          <w:sz w:val="20"/>
          <w:szCs w:val="20"/>
          <w:color w:val="auto"/>
        </w:rPr>
      </w:pPr>
      <w:r>
        <w:rPr>
          <w:rFonts w:ascii="Times New Roman" w:cs="Times New Roman" w:eastAsia="Times New Roman" w:hAnsi="Times New Roman"/>
          <w:sz w:val="18"/>
          <w:szCs w:val="18"/>
          <w:color w:val="auto"/>
        </w:rPr>
        <w:t>In addition, the Company is obligated make payments on milestones depending on the Field of Use (as defined in the agreement) and pay royalties of 4% of net sales of each Licensed Product (as defined in the License Agreement).</w:t>
      </w:r>
    </w:p>
    <w:p>
      <w:pPr>
        <w:spacing w:after="0" w:line="162" w:lineRule="exact"/>
        <w:rPr>
          <w:sz w:val="20"/>
          <w:szCs w:val="20"/>
          <w:color w:val="auto"/>
        </w:rPr>
      </w:pPr>
    </w:p>
    <w:p>
      <w:pPr>
        <w:jc w:val="both"/>
        <w:ind w:firstLine="582"/>
        <w:spacing w:after="0" w:line="258" w:lineRule="auto"/>
        <w:rPr>
          <w:sz w:val="20"/>
          <w:szCs w:val="20"/>
          <w:color w:val="auto"/>
        </w:rPr>
      </w:pPr>
      <w:r>
        <w:rPr>
          <w:rFonts w:ascii="Times New Roman" w:cs="Times New Roman" w:eastAsia="Times New Roman" w:hAnsi="Times New Roman"/>
          <w:sz w:val="18"/>
          <w:szCs w:val="18"/>
          <w:color w:val="auto"/>
        </w:rPr>
        <w:t>In connection to the License Agreement, the Company engaged OSR to provide certain research activities regarding the Licensed Products in the Field of Use, based on a mutually agreed study plan and utilizing the extensive resources at OSR. (See Note 13. Commitments and contingencies.) In consideration of the research activities provided by OSR, the Company agreed to pay scientific collaboration research fees in advance. In December 2014, the Company and OSR signed a Scientific Collaboration Agreement and subsequently modified the Agreement with Research Addenda 1, 2 and 3 in 2016, 2017 and 2018, respectively. During the six months ended June 30, 2022 and June 30, 2021, there were no costs incurred for the above activities.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protocol TEM-GBM_001 received approval by national Competent Authorities in September 2018 and recruited the first patient in April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Amendment #2</w:t>
      </w:r>
    </w:p>
    <w:p>
      <w:pPr>
        <w:spacing w:after="0" w:line="227" w:lineRule="exact"/>
        <w:rPr>
          <w:sz w:val="20"/>
          <w:szCs w:val="20"/>
          <w:color w:val="auto"/>
        </w:rPr>
      </w:pPr>
    </w:p>
    <w:p>
      <w:pPr>
        <w:jc w:val="both"/>
        <w:ind w:left="80" w:firstLine="582"/>
        <w:spacing w:after="0" w:line="253" w:lineRule="auto"/>
        <w:rPr>
          <w:sz w:val="20"/>
          <w:szCs w:val="20"/>
          <w:color w:val="auto"/>
        </w:rPr>
      </w:pPr>
      <w:r>
        <w:rPr>
          <w:rFonts w:ascii="Times New Roman" w:cs="Times New Roman" w:eastAsia="Times New Roman" w:hAnsi="Times New Roman"/>
          <w:sz w:val="18"/>
          <w:szCs w:val="18"/>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GBM 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During the six months ended June 30, 2022 and June 30, 2021, the comparable costs incurred and expensed for the GBM program were approximately €0.3 million and €0.8 million, respectively.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218" w:gutter="0" w:footer="0" w:header="0"/>
        </w:sectPr>
      </w:pPr>
    </w:p>
    <w:bookmarkStart w:id="24" w:name="page25"/>
    <w:bookmarkEnd w:id="24"/>
    <w:p>
      <w:pPr>
        <w:jc w:val="both"/>
        <w:ind w:left="80" w:firstLine="582"/>
        <w:spacing w:after="0" w:line="282" w:lineRule="auto"/>
        <w:rPr>
          <w:sz w:val="20"/>
          <w:szCs w:val="20"/>
          <w:color w:val="auto"/>
        </w:rPr>
      </w:pPr>
      <w:r>
        <w:rPr>
          <w:rFonts w:ascii="Times New Roman" w:cs="Times New Roman" w:eastAsia="Times New Roman" w:hAnsi="Times New Roman"/>
          <w:sz w:val="18"/>
          <w:szCs w:val="18"/>
          <w:color w:val="auto"/>
        </w:rPr>
        <w:t>Under Amendment #2, the Company is obligated to cover the costs of the study-related procedures performed on the patients recruited in the Trial, according to periodic study reports delivered by OSR.</w:t>
      </w:r>
    </w:p>
    <w:p>
      <w:pPr>
        <w:spacing w:after="0" w:line="1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License Agreement Amendment #3</w:t>
      </w:r>
    </w:p>
    <w:p>
      <w:pPr>
        <w:spacing w:after="0" w:line="227" w:lineRule="exact"/>
        <w:rPr>
          <w:sz w:val="20"/>
          <w:szCs w:val="20"/>
          <w:color w:val="auto"/>
        </w:rPr>
      </w:pPr>
    </w:p>
    <w:p>
      <w:pPr>
        <w:jc w:val="both"/>
        <w:ind w:left="80" w:firstLine="582"/>
        <w:spacing w:after="0" w:line="256" w:lineRule="auto"/>
        <w:rPr>
          <w:sz w:val="20"/>
          <w:szCs w:val="20"/>
          <w:color w:val="auto"/>
        </w:rPr>
      </w:pPr>
      <w:r>
        <w:rPr>
          <w:rFonts w:ascii="Times New Roman" w:cs="Times New Roman" w:eastAsia="Times New Roman" w:hAnsi="Times New Roman"/>
          <w:sz w:val="18"/>
          <w:szCs w:val="18"/>
          <w:color w:val="auto"/>
        </w:rPr>
        <w:t>In December 2020, the Company and OSR entered into Amendment #3 of the License Agreement: The initial €1.0 million payment in the event of the tenth patient dosed in the GBM trial was reduced to €0.5 million, in exchange for the Company’s agreement to exercise a second option for an additional Solid Cancer indication (possibly Liver Cancer) and an agreement to execute a Sponsored Research Agreement in February 2021. Note: If the Company was not able to obtain approval from the competent authorities to initiate a human clinical trial on or before September 30, 2021, the Company had the right, at no additional costs, to convert this second solid cancer option to an “Alternate Indication,” i.e., an indication other than liver cancer. This right was updated in License Agreement Amendment #4 (see below).</w:t>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 summary, the Amendment #3 formalized the new arrangement as follows:</w:t>
      </w:r>
    </w:p>
    <w:p>
      <w:pPr>
        <w:spacing w:after="0" w:line="225" w:lineRule="exact"/>
        <w:rPr>
          <w:sz w:val="20"/>
          <w:szCs w:val="20"/>
          <w:color w:val="auto"/>
        </w:rPr>
      </w:pPr>
    </w:p>
    <w:p>
      <w:pPr>
        <w:ind w:left="980" w:right="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option fee on the first solid cancer indication = €0.5 million (accrued in 2019, since it was considered probable, and paid in December 2020); plus,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enter into a Sponsored Research Agreement by February 2021;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option fee on the second indication = €0.5 million (accrued at December 31, 2020 and was paid on June 30, 2021).</w:t>
      </w:r>
    </w:p>
    <w:p>
      <w:pPr>
        <w:spacing w:after="0" w:line="225" w:lineRule="exact"/>
        <w:rPr>
          <w:sz w:val="20"/>
          <w:szCs w:val="20"/>
          <w:color w:val="auto"/>
        </w:rPr>
      </w:pPr>
    </w:p>
    <w:p>
      <w:pPr>
        <w:jc w:val="both"/>
        <w:ind w:left="80" w:firstLine="582"/>
        <w:spacing w:after="0" w:line="258" w:lineRule="auto"/>
        <w:rPr>
          <w:sz w:val="20"/>
          <w:szCs w:val="20"/>
          <w:color w:val="auto"/>
        </w:rPr>
      </w:pPr>
      <w:r>
        <w:rPr>
          <w:rFonts w:ascii="Times New Roman" w:cs="Times New Roman" w:eastAsia="Times New Roman" w:hAnsi="Times New Roman"/>
          <w:sz w:val="18"/>
          <w:szCs w:val="18"/>
          <w:color w:val="auto"/>
        </w:rPr>
        <w:t>At June 30, 2022, no milestones were achieved related to any indication, as provided by License Agreement and subsequent amendments; therefore, no such payments were due to OSR. The Company paid €1.25 million to OSR, since inception under the License Agreement. No events have occurred or have been achieved (and none are considered probable) to trigger any contingent payments under the License Agreement during the six months ended June 30, 2022. For information relating to the contingency payments or future milestones for these indications, please refer to Note 13 - Commitments and Contingencies.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or (ii) September 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Amendment #4</w:t>
      </w:r>
    </w:p>
    <w:p>
      <w:pPr>
        <w:spacing w:after="0" w:line="227" w:lineRule="exact"/>
        <w:rPr>
          <w:sz w:val="20"/>
          <w:szCs w:val="20"/>
          <w:color w:val="auto"/>
        </w:rPr>
      </w:pPr>
    </w:p>
    <w:p>
      <w:pPr>
        <w:jc w:val="both"/>
        <w:ind w:left="100" w:firstLine="582"/>
        <w:spacing w:after="0" w:line="255" w:lineRule="auto"/>
        <w:rPr>
          <w:sz w:val="20"/>
          <w:szCs w:val="20"/>
          <w:color w:val="auto"/>
        </w:rPr>
      </w:pPr>
      <w:r>
        <w:rPr>
          <w:rFonts w:ascii="Times New Roman" w:cs="Times New Roman" w:eastAsia="Times New Roman" w:hAnsi="Times New Roman"/>
          <w:sz w:val="18"/>
          <w:szCs w:val="18"/>
          <w:color w:val="auto"/>
        </w:rPr>
        <w:t>On September 28, 2021, the fourth amendment to the License Agreement was signed with the aim to extend the deadline for the definition of the second Solid Cancer Indication. If the Company is not able to obtain approval of the Regulatory Authorities to initiate a human clinical trial in any country with respect to solid liver cancer on or before September 30, 2022, then the Company shall have the right, at no additional cost, to convert the option exercise for the second Solid Cancer Indication to an indication (the “Alternate Indication”) other than solid liver cancer, upon written notice to OSR, such notice is to be delivered to OSR within September 30, 2022. Under the amendment, the Company will be entitled to exercise the Option set forth above with respect to any other Solid Cancer Indication for the remainder of the Option Period that will expire on December 23, 2022, and shall not be subject to further extensions.</w:t>
      </w:r>
    </w:p>
    <w:p>
      <w:pPr>
        <w:spacing w:after="0" w:line="189" w:lineRule="exact"/>
        <w:rPr>
          <w:sz w:val="20"/>
          <w:szCs w:val="20"/>
          <w:color w:val="auto"/>
        </w:rPr>
      </w:pPr>
    </w:p>
    <w:p>
      <w:pPr>
        <w:jc w:val="both"/>
        <w:ind w:left="100" w:firstLine="583"/>
        <w:spacing w:after="0" w:line="282" w:lineRule="auto"/>
        <w:rPr>
          <w:sz w:val="20"/>
          <w:szCs w:val="20"/>
          <w:color w:val="auto"/>
        </w:rPr>
      </w:pPr>
      <w:r>
        <w:rPr>
          <w:rFonts w:ascii="Times New Roman" w:cs="Times New Roman" w:eastAsia="Times New Roman" w:hAnsi="Times New Roman"/>
          <w:sz w:val="18"/>
          <w:szCs w:val="18"/>
          <w:color w:val="auto"/>
        </w:rPr>
        <w:t>At June 30, 2022, the cumulative total amount of expenses for the OSR clinical trial activity from inception amounted to approximately €9.0 million and it includes the cost for the exercise of the first and the second Solid Cancer indication Option fee of €1.0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Amendment #5</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22, 2022, the fifth amendment to the License Agreement was signed with the aim to clarify certain terms. It has been stated that solely with respect to GBM, “IND” means an investigational new drug application (including any amendment or supplement thereto) submitted to the FDA pursuant to Part 312 of Title 21 of the U.S. Code of Federal Regulations. IND shall include any comparable filing(s) outside the United States of America for the investigation of any product in any other country or group of countries (such as a Clinical Trial Application, or CTA, in the European Union).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with respect to Licensed Products for GBM, Genenta commits to carry out a Phase III Clinical Trial also in US.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respect to GBM, Genenta shall pay to OSR an additional Milestone Payment equal to €350,000 upon the first patient being dosed in a Phase III Clinical Trial in US with respect to a Licensed Product for GBM.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with regards to termination rights, if Genenta has not filed an IND with respect to such Solid Cancer Indication within three (3) years from the date of the exercise of the option (or, in relation to GBM, has not dosed the first patient with a Licensed Product for GBM in a Phase III Clinical Trial started in the US within 72 months from the first patient being dosed in the first human clinical trial of such applicable Licensed Product for GBM), the termination rights shall be limited to such Licensed Product in the Terminated Solid Cancer Indication. Any further activity on such Licensed Product in the Terminated Solid Cancer Indication shall be immediately discontinued by Genenta.</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no milestones were achieved related to any indication, as provided by the License Agreement; therefore, no payments were due to OSR, nor other contingencies exist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Funding Agreement</w:t>
      </w:r>
    </w:p>
    <w:p>
      <w:pPr>
        <w:spacing w:after="0" w:line="227" w:lineRule="exact"/>
        <w:rPr>
          <w:sz w:val="20"/>
          <w:szCs w:val="20"/>
          <w:color w:val="auto"/>
        </w:rPr>
      </w:pPr>
    </w:p>
    <w:p>
      <w:pPr>
        <w:jc w:val="both"/>
        <w:ind w:left="100" w:firstLine="582"/>
        <w:spacing w:after="0" w:line="255" w:lineRule="auto"/>
        <w:rPr>
          <w:sz w:val="20"/>
          <w:szCs w:val="20"/>
          <w:color w:val="auto"/>
        </w:rPr>
      </w:pPr>
      <w:r>
        <w:rPr>
          <w:rFonts w:ascii="Times New Roman" w:cs="Times New Roman" w:eastAsia="Times New Roman" w:hAnsi="Times New Roman"/>
          <w:sz w:val="18"/>
          <w:szCs w:val="18"/>
          <w:color w:val="auto"/>
        </w:rPr>
        <w:t>In March 2019, the Company and OSR entered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TEM-MM-101 received approval by national Competent Authorities in November 2018 and the first TEM-MM-101 trial patient was enrolled in August 2019.</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discontinued the multiple myeloma program in early 2021 due to the relatively small number of eligible patients, and the highly competitive MM landscape. (See Note 13.)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Research Agreement (SRA)</w:t>
      </w:r>
    </w:p>
    <w:p>
      <w:pPr>
        <w:spacing w:after="0" w:line="227" w:lineRule="exact"/>
        <w:rPr>
          <w:sz w:val="20"/>
          <w:szCs w:val="20"/>
          <w:color w:val="auto"/>
        </w:rPr>
      </w:pPr>
    </w:p>
    <w:p>
      <w:pPr>
        <w:jc w:val="both"/>
        <w:ind w:left="100" w:firstLine="582"/>
        <w:spacing w:after="0" w:line="266" w:lineRule="auto"/>
        <w:rPr>
          <w:sz w:val="20"/>
          <w:szCs w:val="20"/>
          <w:color w:val="auto"/>
        </w:rPr>
      </w:pPr>
      <w:r>
        <w:rPr>
          <w:rFonts w:ascii="Times New Roman" w:cs="Times New Roman" w:eastAsia="Times New Roman" w:hAnsi="Times New Roman"/>
          <w:sz w:val="18"/>
          <w:szCs w:val="18"/>
          <w:color w:val="auto"/>
        </w:rPr>
        <w:t>As stated above, in exchange for a reduction in the first Solid Cancer indication option fee from €1.0 million to €0.5 million, the Company agreed to enter into a Sponsored Research Agreement (SRA). The Company and OSR executed the agreement in February 2021. Under the SRA, sponsored research activities will be conducted for between €0.5 million and €1.0 million (minimum commitment €0.5 million). The activities relate to:</w:t>
      </w:r>
    </w:p>
    <w:p>
      <w:pPr>
        <w:spacing w:after="0" w:line="176" w:lineRule="exact"/>
        <w:rPr>
          <w:sz w:val="20"/>
          <w:szCs w:val="20"/>
          <w:color w:val="auto"/>
        </w:rPr>
      </w:pPr>
    </w:p>
    <w:p>
      <w:pPr>
        <w:ind w:left="1620" w:hanging="316"/>
        <w:spacing w:after="0" w:line="282"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1: Additional preclinical mouse model studies directed to identify Temferon effectors cells (transduced Tie2-expressing cells) and to test Temferon in combination with CAR-T in a GBM mouse model; and,</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2: Additional exploratory analyses, including single cell sequencing, to be conducted on samples collected from patients belonging to TEM-GBM_001 clinical trial aimed to deepen Temferon mechanism of action and get a broader insight on its biological activity in humans.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June 30, 2021, the Company paid and expensed €375,000 and €500,000, respectively, related to the SRA. The last tranche of activities is expected to be completed and invoiced before the end of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#01 to the Agreement of March 2, 2019</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27, 2022 OSR and Genenta signed this Amendment #01 as an amendment to the Agreement for Clinical Trials called: “</w:t>
      </w:r>
      <w:r>
        <w:rPr>
          <w:rFonts w:ascii="Times New Roman" w:cs="Times New Roman" w:eastAsia="Times New Roman" w:hAnsi="Times New Roman"/>
          <w:sz w:val="18"/>
          <w:szCs w:val="18"/>
          <w:i w:val="1"/>
          <w:iCs w:val="1"/>
          <w:color w:val="auto"/>
        </w:rPr>
        <w:t>Phase I/IIa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clinical trial to assess the safety and efficacy of increasing doses of autologous CD34+ hematopoietic stem cells genetically modified with a lentiviral vector encoding for the human interferon-alpha2 gene in patients with Glioblastoma Multiforme with unmethylated MGMT gene promoter</w:t>
      </w:r>
      <w:r>
        <w:rPr>
          <w:rFonts w:ascii="Times New Roman" w:cs="Times New Roman" w:eastAsia="Times New Roman" w:hAnsi="Times New Roman"/>
          <w:sz w:val="18"/>
          <w:szCs w:val="18"/>
          <w:color w:val="auto"/>
        </w:rPr>
        <w:t>”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Trial”) relating to protocol number TEMGBM_001; EudraCT 2018-001404-11. The Agreement will have to be updated to allocate to the TEM-GBM study the fee for the personnel shares not yet accrued and originally allocated to the TEM-MM study. Specifically, the different items and their amounts are:</w:t>
      </w:r>
    </w:p>
    <w:p>
      <w:pPr>
        <w:spacing w:after="0" w:line="185" w:lineRule="exact"/>
        <w:rPr>
          <w:sz w:val="20"/>
          <w:szCs w:val="20"/>
          <w:color w:val="auto"/>
        </w:rPr>
      </w:pPr>
    </w:p>
    <w:p>
      <w:pPr>
        <w:ind w:left="1620" w:hanging="316"/>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TEM-MM unspent budget to be reallocated to the TEM-GBM study:</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 €105,000</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Manager €92,500</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€197,500</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 Company recorded expenses of €105,551 in the Consolidated Statement of Operations and Comprehensive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The Company entered into a non-cancelable lease agreement for office space in January 2020. (See Note 13. Commitments and contingencies.)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9" w:lineRule="exact"/>
        <w:rPr>
          <w:sz w:val="20"/>
          <w:szCs w:val="20"/>
          <w:color w:val="auto"/>
        </w:rPr>
      </w:pPr>
    </w:p>
    <w:p>
      <w:pPr>
        <w:jc w:val="both"/>
        <w:ind w:firstLine="582"/>
        <w:spacing w:after="0" w:line="256" w:lineRule="auto"/>
        <w:rPr>
          <w:sz w:val="20"/>
          <w:szCs w:val="20"/>
          <w:color w:val="auto"/>
        </w:rPr>
      </w:pPr>
      <w:r>
        <w:rPr>
          <w:rFonts w:ascii="Times New Roman" w:cs="Times New Roman" w:eastAsia="Times New Roman" w:hAnsi="Times New Roman"/>
          <w:sz w:val="18"/>
          <w:szCs w:val="18"/>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the Company obligations by contractual maturity on June 30, 2022:</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3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Payments by Period</w:t>
            </w: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96"/>
              </w:rPr>
              <w:t>Less than a</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More than 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8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year</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to 3 years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4 to 5 years</w:t>
            </w:r>
          </w:p>
        </w:tc>
        <w:tc>
          <w:tcPr>
            <w:tcW w:w="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OSR operating leases and office rent</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AGC manufacturing</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83,200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58,150</w:t>
            </w:r>
          </w:p>
        </w:tc>
        <w:tc>
          <w:tcPr>
            <w:tcW w:w="3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17,000</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Insurances on operating leases</w:t>
            </w: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25,653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18,657</w:t>
            </w:r>
          </w:p>
        </w:tc>
        <w:tc>
          <w:tcPr>
            <w:tcW w:w="3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142,353</w:t>
            </w: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28,446</w:t>
            </w: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96,907</w:t>
            </w: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17,000</w:t>
            </w: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82"/>
        <w:spacing w:after="0" w:line="266" w:lineRule="auto"/>
        <w:rPr>
          <w:sz w:val="20"/>
          <w:szCs w:val="20"/>
          <w:color w:val="auto"/>
        </w:rPr>
      </w:pPr>
      <w:r>
        <w:rPr>
          <w:rFonts w:ascii="Times New Roman" w:cs="Times New Roman" w:eastAsia="Times New Roman" w:hAnsi="Times New Roman"/>
          <w:sz w:val="18"/>
          <w:szCs w:val="18"/>
          <w:color w:val="auto"/>
        </w:rPr>
        <w:t>The commitments with OSR relate to the office rent agreement while the commitments with AGC Biologics (“AGC”) relate to biologic stability studies on plasmid batches. Insurances on operating leases are related to the non-lease insurance component of BMW car leasing agreement, which was entered into in February 2022 and has a term of four (4) years.</w:t>
      </w:r>
    </w:p>
    <w:p>
      <w:pPr>
        <w:spacing w:after="0" w:line="176" w:lineRule="exact"/>
        <w:rPr>
          <w:sz w:val="20"/>
          <w:szCs w:val="20"/>
          <w:color w:val="auto"/>
        </w:rPr>
      </w:pPr>
    </w:p>
    <w:p>
      <w:pPr>
        <w:jc w:val="both"/>
        <w:ind w:firstLine="582"/>
        <w:spacing w:after="0" w:line="266" w:lineRule="auto"/>
        <w:rPr>
          <w:sz w:val="20"/>
          <w:szCs w:val="20"/>
          <w:color w:val="auto"/>
        </w:rPr>
      </w:pPr>
      <w:r>
        <w:rPr>
          <w:rFonts w:ascii="Times New Roman" w:cs="Times New Roman" w:eastAsia="Times New Roman" w:hAnsi="Times New Roman"/>
          <w:sz w:val="18"/>
          <w:szCs w:val="18"/>
          <w:color w:val="auto"/>
        </w:rPr>
        <w:t>The Company has not included future milestones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CMOs and CROs agreements</w:t>
      </w:r>
    </w:p>
    <w:p>
      <w:pPr>
        <w:spacing w:after="0" w:line="227" w:lineRule="exact"/>
        <w:rPr>
          <w:sz w:val="20"/>
          <w:szCs w:val="20"/>
          <w:color w:val="auto"/>
        </w:rPr>
      </w:pPr>
    </w:p>
    <w:p>
      <w:pPr>
        <w:jc w:val="both"/>
        <w:ind w:firstLine="582"/>
        <w:spacing w:after="0" w:line="258"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non-cancelable obligations of the Company’s vendors or third-party service providers, up to the date of cancellation. These payments are not included in the table above as the amount and timing of such payments are not known.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OSR - San Raffaele Hospital</w:t>
      </w:r>
    </w:p>
    <w:p>
      <w:pPr>
        <w:spacing w:after="0" w:line="227" w:lineRule="exact"/>
        <w:rPr>
          <w:sz w:val="20"/>
          <w:szCs w:val="20"/>
          <w:color w:val="auto"/>
        </w:rPr>
      </w:pPr>
    </w:p>
    <w:p>
      <w:pPr>
        <w:jc w:val="both"/>
        <w:ind w:firstLine="582"/>
        <w:spacing w:after="0" w:line="255" w:lineRule="auto"/>
        <w:rPr>
          <w:sz w:val="20"/>
          <w:szCs w:val="20"/>
          <w:color w:val="auto"/>
        </w:rPr>
      </w:pPr>
      <w:r>
        <w:rPr>
          <w:rFonts w:ascii="Times New Roman" w:cs="Times New Roman" w:eastAsia="Times New Roman" w:hAnsi="Times New Roman"/>
          <w:sz w:val="18"/>
          <w:szCs w:val="18"/>
          <w:color w:val="auto"/>
        </w:rPr>
        <w:t>The License Agreement in place with OSR provides for milestone payments and royalties. The OSR agreements are non-cancelable, except in the case of breach of contract, and includes total potential milestone payments of up to €10 million related to the lympho-hematopoietic indication of each Licensed Product, and up to €53 million related to each Solid Cancer indication (as defined in the agreement);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Glioblastoma multiforme (GBM)</w:t>
      </w:r>
    </w:p>
    <w:p>
      <w:pPr>
        <w:spacing w:after="0" w:line="227" w:lineRule="exact"/>
        <w:rPr>
          <w:sz w:val="20"/>
          <w:szCs w:val="20"/>
          <w:color w:val="auto"/>
        </w:rPr>
      </w:pPr>
    </w:p>
    <w:p>
      <w:pPr>
        <w:jc w:val="both"/>
        <w:ind w:right="20" w:firstLine="582"/>
        <w:spacing w:after="0" w:line="282" w:lineRule="auto"/>
        <w:rPr>
          <w:sz w:val="20"/>
          <w:szCs w:val="20"/>
          <w:color w:val="auto"/>
        </w:rPr>
      </w:pPr>
      <w:r>
        <w:rPr>
          <w:rFonts w:ascii="Times New Roman" w:cs="Times New Roman" w:eastAsia="Times New Roman" w:hAnsi="Times New Roman"/>
          <w:sz w:val="18"/>
          <w:szCs w:val="18"/>
          <w:color w:val="auto"/>
        </w:rPr>
        <w:t>As discussed in Note 12, in December 2020, the Company had one indication ongoing, GBM. The Company’s contingent liability for this first solid cancer indication potentially payable to OSR was €53 million, as explained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Liver cancer (LC)</w:t>
      </w:r>
    </w:p>
    <w:p>
      <w:pPr>
        <w:spacing w:after="0" w:line="227" w:lineRule="exact"/>
        <w:rPr>
          <w:sz w:val="20"/>
          <w:szCs w:val="20"/>
          <w:color w:val="auto"/>
        </w:rPr>
      </w:pPr>
    </w:p>
    <w:p>
      <w:pPr>
        <w:jc w:val="both"/>
        <w:ind w:firstLine="582"/>
        <w:spacing w:after="0" w:line="258" w:lineRule="auto"/>
        <w:rPr>
          <w:sz w:val="20"/>
          <w:szCs w:val="20"/>
          <w:color w:val="auto"/>
        </w:rPr>
      </w:pPr>
      <w:r>
        <w:rPr>
          <w:rFonts w:ascii="Times New Roman" w:cs="Times New Roman" w:eastAsia="Times New Roman" w:hAnsi="Times New Roman"/>
          <w:sz w:val="18"/>
          <w:szCs w:val="18"/>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183" w:lineRule="exact"/>
        <w:rPr>
          <w:sz w:val="20"/>
          <w:szCs w:val="20"/>
          <w:color w:val="auto"/>
        </w:rPr>
      </w:pPr>
    </w:p>
    <w:p>
      <w:pPr>
        <w:jc w:val="both"/>
        <w:ind w:firstLine="582"/>
        <w:spacing w:after="0" w:line="266" w:lineRule="auto"/>
        <w:rPr>
          <w:sz w:val="20"/>
          <w:szCs w:val="20"/>
          <w:color w:val="auto"/>
        </w:rPr>
      </w:pPr>
      <w:r>
        <w:rPr>
          <w:rFonts w:ascii="Times New Roman" w:cs="Times New Roman" w:eastAsia="Times New Roman" w:hAnsi="Times New Roman"/>
          <w:sz w:val="18"/>
          <w:szCs w:val="18"/>
          <w:color w:val="auto"/>
        </w:rPr>
        <w:t>The agreements also include a €7.8 million commitment related to the development and manufacturing of licensed products, of which the Company had incurred €0.8 million and €0.7 million of expenses during the first six months ended June 30, 2022 and June 30, 2021, respectively. The cumulative expense to date is €6.2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AGC Biologics (formerly MolMed)</w:t>
      </w:r>
    </w:p>
    <w:p>
      <w:pPr>
        <w:spacing w:after="0" w:line="227" w:lineRule="exact"/>
        <w:rPr>
          <w:sz w:val="20"/>
          <w:szCs w:val="20"/>
          <w:color w:val="auto"/>
        </w:rPr>
      </w:pPr>
    </w:p>
    <w:p>
      <w:pPr>
        <w:jc w:val="both"/>
        <w:ind w:firstLine="583"/>
        <w:spacing w:after="0" w:line="252" w:lineRule="auto"/>
        <w:rPr>
          <w:sz w:val="20"/>
          <w:szCs w:val="20"/>
          <w:color w:val="auto"/>
        </w:rPr>
      </w:pPr>
      <w:r>
        <w:rPr>
          <w:rFonts w:ascii="Times New Roman" w:cs="Times New Roman" w:eastAsia="Times New Roman" w:hAnsi="Times New Roman"/>
          <w:sz w:val="18"/>
          <w:szCs w:val="18"/>
          <w:color w:val="auto"/>
        </w:rPr>
        <w:t xml:space="preserve">The AGC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for a total amount of €259,000,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 In October 2021 the Company entered into Side Letter to the Framework Service Agreement with ACG Biologics to perform the manufacture of one (1) additional </w:t>
      </w:r>
      <w:r>
        <w:rPr>
          <w:rFonts w:ascii="Times New Roman" w:cs="Times New Roman" w:eastAsia="Times New Roman" w:hAnsi="Times New Roman"/>
          <w:sz w:val="18"/>
          <w:szCs w:val="18"/>
          <w:i w:val="1"/>
          <w:iCs w:val="1"/>
          <w:color w:val="auto"/>
        </w:rPr>
        <w:t>GMP</w:t>
      </w:r>
      <w:r>
        <w:rPr>
          <w:rFonts w:ascii="Times New Roman" w:cs="Times New Roman" w:eastAsia="Times New Roman" w:hAnsi="Times New Roman"/>
          <w:sz w:val="18"/>
          <w:szCs w:val="18"/>
          <w:color w:val="auto"/>
        </w:rPr>
        <w:t xml:space="preserve"> batch of 24L INFa LV vector (TIA-126 LV) in 2021 (the “LVV Batch”) in connection with the Study TEM-GBM001, Genenta is in the process of completing, for a total amount of €311,280. In December 2021 the Company entered into Side Letter to the Framework Service Agreement with ACG Biologics to perform the manufacture of one (1) additional </w:t>
      </w:r>
      <w:r>
        <w:rPr>
          <w:rFonts w:ascii="Times New Roman" w:cs="Times New Roman" w:eastAsia="Times New Roman" w:hAnsi="Times New Roman"/>
          <w:sz w:val="18"/>
          <w:szCs w:val="18"/>
          <w:i w:val="1"/>
          <w:iCs w:val="1"/>
          <w:color w:val="auto"/>
        </w:rPr>
        <w:t>GMP</w:t>
      </w:r>
      <w:r>
        <w:rPr>
          <w:rFonts w:ascii="Times New Roman" w:cs="Times New Roman" w:eastAsia="Times New Roman" w:hAnsi="Times New Roman"/>
          <w:sz w:val="18"/>
          <w:szCs w:val="18"/>
          <w:color w:val="auto"/>
        </w:rPr>
        <w:t xml:space="preserve"> batch of 24L INFa LV vector (TIA-126 LV) in 2022 (the “LVV Batch”) in connection with the Study TEM-GBM001, Genenta is in the process of completing, for a total amount of €311,280. In March 2022 the Company entered into Side Letter to the Framework Service Agreement with ACG Biologics to perform the manufacture of one (1) additional GMP batch of 24L INFa LV vector (TIA-126 LV) in 2022 for use in connection with the Study for €272,800.</w:t>
      </w:r>
    </w:p>
    <w:p>
      <w:pPr>
        <w:spacing w:after="0" w:line="188" w:lineRule="exact"/>
        <w:rPr>
          <w:sz w:val="20"/>
          <w:szCs w:val="20"/>
          <w:color w:val="auto"/>
        </w:rPr>
      </w:pPr>
    </w:p>
    <w:p>
      <w:pPr>
        <w:jc w:val="both"/>
        <w:ind w:firstLine="582"/>
        <w:spacing w:after="0" w:line="266" w:lineRule="auto"/>
        <w:rPr>
          <w:sz w:val="20"/>
          <w:szCs w:val="20"/>
          <w:color w:val="auto"/>
        </w:rPr>
      </w:pPr>
      <w:r>
        <w:rPr>
          <w:rFonts w:ascii="Times New Roman" w:cs="Times New Roman" w:eastAsia="Times New Roman" w:hAnsi="Times New Roman"/>
          <w:sz w:val="18"/>
          <w:szCs w:val="18"/>
          <w:color w:val="auto"/>
        </w:rPr>
        <w:t>In early 2020, the Company and AGC amended the Master Service Agreement for the fourth time to regulate some new production activities for which the total estimated budget amounts to €0.3 million. At June 30, 2022, the Company is committed to pay a total of €32,200 relating to various stability timepoints, which will be realized and come due at different times.</w:t>
      </w:r>
    </w:p>
    <w:p>
      <w:pPr>
        <w:spacing w:after="0" w:line="176" w:lineRule="exact"/>
        <w:rPr>
          <w:sz w:val="20"/>
          <w:szCs w:val="20"/>
          <w:color w:val="auto"/>
        </w:rPr>
      </w:pPr>
    </w:p>
    <w:p>
      <w:pPr>
        <w:jc w:val="both"/>
        <w:ind w:firstLine="582"/>
        <w:spacing w:after="0" w:line="266" w:lineRule="auto"/>
        <w:rPr>
          <w:sz w:val="20"/>
          <w:szCs w:val="20"/>
          <w:color w:val="auto"/>
        </w:rPr>
      </w:pPr>
      <w:r>
        <w:rPr>
          <w:rFonts w:ascii="Times New Roman" w:cs="Times New Roman" w:eastAsia="Times New Roman" w:hAnsi="Times New Roman"/>
          <w:sz w:val="18"/>
          <w:szCs w:val="18"/>
          <w:color w:val="auto"/>
        </w:rPr>
        <w:t>In September 2021, the Company extended the stability studies on the plasmid batch pIFNa 16024 (p906) up to nine (9) years and at June 30, 2021, the Company was committed to pay a total of €51,000 relating to various stability timepoints which will be realized in the future. At June 30 ,2022, the total commitment of the Company for stability endpoints to be realized in the future amounts to €83,200.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 office rent</w:t>
      </w:r>
    </w:p>
    <w:p>
      <w:pPr>
        <w:spacing w:after="0" w:line="227"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On January 1, 2020, the Company began a six-year non-cancelable lease agreement for office space with OSR. Withdrawal is allowed from the fourth year with a notice of 12 months. Since the annual rent amounts to €13,400, at June 30, 2022, outstanding minimum payments amount to €6,700 until January 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lease</w:t>
      </w:r>
    </w:p>
    <w:p>
      <w:pPr>
        <w:spacing w:after="0" w:line="227" w:lineRule="exact"/>
        <w:rPr>
          <w:sz w:val="20"/>
          <w:szCs w:val="20"/>
          <w:color w:val="auto"/>
        </w:rPr>
      </w:pPr>
    </w:p>
    <w:p>
      <w:pPr>
        <w:jc w:val="both"/>
        <w:ind w:right="20" w:firstLine="583"/>
        <w:spacing w:after="0" w:line="282" w:lineRule="auto"/>
        <w:rPr>
          <w:sz w:val="20"/>
          <w:szCs w:val="20"/>
          <w:color w:val="auto"/>
        </w:rPr>
      </w:pPr>
      <w:r>
        <w:rPr>
          <w:rFonts w:ascii="Times New Roman" w:cs="Times New Roman" w:eastAsia="Times New Roman" w:hAnsi="Times New Roman"/>
          <w:sz w:val="18"/>
          <w:szCs w:val="18"/>
          <w:color w:val="auto"/>
        </w:rPr>
        <w:t>On February 11, 2022, the Company entered into a four (4) year car lease. This lease has been recognized as a capital lease. For the six months ended June 30, 2022, the Company recorded in the Consolidated Statement of Operations and Comprehensive amortization expenses of €4,583.</w:t>
      </w:r>
    </w:p>
    <w:p>
      <w:pPr>
        <w:spacing w:after="0" w:line="162" w:lineRule="exact"/>
        <w:rPr>
          <w:sz w:val="20"/>
          <w:szCs w:val="20"/>
          <w:color w:val="auto"/>
        </w:rPr>
      </w:pPr>
    </w:p>
    <w:p>
      <w:pPr>
        <w:jc w:val="both"/>
        <w:ind w:right="20" w:firstLine="583"/>
        <w:spacing w:after="0" w:line="282" w:lineRule="auto"/>
        <w:rPr>
          <w:sz w:val="20"/>
          <w:szCs w:val="20"/>
          <w:color w:val="auto"/>
        </w:rPr>
      </w:pPr>
      <w:r>
        <w:rPr>
          <w:rFonts w:ascii="Times New Roman" w:cs="Times New Roman" w:eastAsia="Times New Roman" w:hAnsi="Times New Roman"/>
          <w:sz w:val="18"/>
          <w:szCs w:val="18"/>
          <w:color w:val="auto"/>
        </w:rPr>
        <w:t>On June 30, 2022, the Company recorded €44,737 property and equipment, net and €12,330 and €32,407 for Lease Current and Non-Current liabilities, respectively.</w:t>
      </w:r>
    </w:p>
    <w:p>
      <w:pPr>
        <w:spacing w:after="0" w:line="162"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The car underling the lease agreement is fully covered by insurance policies for the duration of the lease agreement, for a total amount of €27,985. This insurance policy is considered a non-lease component, since it represents services provided separately from the car lease agreement. Therefore, it is accounted for in insurance expense in the Consolidated Statement of Operations and Comprehensive Loss when occurred. For the six months ended June 30, 2022, the Company recorded insurance costs of €2,332. On June 30, 2022, the outstanding payments for insurance expense related to the car under lease amounted to €25,653.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ind w:firstLine="582"/>
        <w:spacing w:after="0" w:line="255" w:lineRule="auto"/>
        <w:rPr>
          <w:sz w:val="20"/>
          <w:szCs w:val="20"/>
          <w:color w:val="auto"/>
        </w:rPr>
      </w:pPr>
      <w:r>
        <w:rPr>
          <w:rFonts w:ascii="Times New Roman" w:cs="Times New Roman" w:eastAsia="Times New Roman" w:hAnsi="Times New Roman"/>
          <w:sz w:val="18"/>
          <w:szCs w:val="18"/>
          <w:color w:val="auto"/>
        </w:rPr>
        <w:t>The Company is not currently party to any material legal proceedings. At each reporting date, the Company evaluates whether or not a potential loss amount or a potential range of loss is probable and reasonably estimable under the provisions of ASC 450, Contingencies.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Coronavirus Pandemic</w:t>
      </w:r>
    </w:p>
    <w:p>
      <w:pPr>
        <w:spacing w:after="0" w:line="227"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the coronavirus (COVID-19) pandemic. Significant uncertainties may arise with respect to potential shutdowns of operations or government orders to cease activities due to emergency declarations, inability to operate, or employee shortages, claims for business interruption insurance, etc. Although the Company has experienced minimal disruption to date and still has staff working remotely from home, the Company may find it difficult to enroll patients in its clinical trials, which could delay or prevent the Company from proceeding with the clinical trials of its product candidates; therefore, the coronavirus pandemic may still have a significant impact on the future results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Resignations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7, 2022, and July 8, 2022, Dr. Daniela Bellomo and Dr. Luca Guidotti, respectively, resigned from the Board. Dr. Bellomo’s and Dr.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Guidotti’s resignations did not result from any disagreements with management or the Board.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Grant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Nonqualified stock options on 392,740 shares were granted on July 21, 2022, to certain employees and directors of the Company. For these July 21, 2022, grants, the Company adopted a 30-day value weighted average pricing (“VWAP”) adjusted by Black Scholes method of stock option pricing, rounded to the nearest penny, to determine the exercise price of the options. The cost or expense of the stock option(s) to the Company is also based on the Black Scholes method.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OSR Letter Agreement</w:t>
      </w:r>
    </w:p>
    <w:p>
      <w:pPr>
        <w:spacing w:after="0" w:line="227"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On September 29, 2022, the Company entered into a letter agreement with OSR to extend each of the alternative indication notice period (as defined by the Amendment 4 to the License Agreement) and the competing product period (as defined in the Amendment 3 to the License Agreement) to December 23,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227"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financial statements and related notes included in Exhibit 99.1 to the report on Form 6-K (the “Form 6-K”) to which this Exhibit 99.2 relates. This discussion and other parts of this Exhibit 99.2 and the Form 6-K may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our annual report on Form 20-F</w:t>
      </w:r>
    </w:p>
    <w:p>
      <w:pPr>
        <w:spacing w:after="0" w:line="183" w:lineRule="exact"/>
        <w:rPr>
          <w:sz w:val="20"/>
          <w:szCs w:val="20"/>
          <w:color w:val="auto"/>
        </w:rPr>
      </w:pPr>
    </w:p>
    <w:p>
      <w:pPr>
        <w:jc w:val="both"/>
        <w:ind w:firstLine="583"/>
        <w:spacing w:after="0" w:line="284" w:lineRule="auto"/>
        <w:rPr>
          <w:sz w:val="20"/>
          <w:szCs w:val="20"/>
          <w:color w:val="auto"/>
        </w:rPr>
      </w:pPr>
      <w:r>
        <w:rPr>
          <w:rFonts w:ascii="Times New Roman" w:cs="Times New Roman" w:eastAsia="Times New Roman" w:hAnsi="Times New Roman"/>
          <w:sz w:val="18"/>
          <w:szCs w:val="18"/>
          <w:i w:val="1"/>
          <w:iCs w:val="1"/>
          <w:color w:val="auto"/>
        </w:rPr>
        <w:t>for the year ended December 31, 2021, filed with the Securities and Exchange Commission on May 2, 2022. References to “we,” “Genenta,” “us,” “our,” “the Company,” or “our company” herein are to Genenta Science S.p.A., including its subsidiaries.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 May 2021, we converted from a limited liability company (società a responsabilità limitata, or S.r.l.) to a joint stock company (società per azioni, or an S.p.A.) (the “Corporate Conversion”). This change in incorporation did not affect the financial information herein presented, except for the transformation of our quotas into ordinary shares. As such, our historical financial statements are not required to be retrospectively adjusted.</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Our reporting currency and functional currency is the Euro. Unless otherwise expressly stated or the context otherwise requires, references in this Exhibit 99.2 to “dollars,” “USD” or “$” are to U.S. dollars, and references to “euros,” “EUR” or “€” are to European Union euros.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prevent tumor relapse. Because our technology is not target dependent, we believe it can be used for treatment across a broad variety of cancers.</w:t>
      </w:r>
    </w:p>
    <w:p>
      <w:pPr>
        <w:spacing w:after="0" w:line="187"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Since our inception in 2014,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which through June 30, 2022, aggregated gross cash proceeds of approximately €67.0 million.</w:t>
      </w:r>
    </w:p>
    <w:p>
      <w:pPr>
        <w:spacing w:after="0" w:line="183" w:lineRule="exact"/>
        <w:rPr>
          <w:sz w:val="20"/>
          <w:szCs w:val="20"/>
          <w:color w:val="auto"/>
        </w:rPr>
      </w:pPr>
    </w:p>
    <w:p>
      <w:pPr>
        <w:jc w:val="both"/>
        <w:ind w:firstLine="583"/>
        <w:spacing w:after="0" w:line="255" w:lineRule="auto"/>
        <w:rPr>
          <w:sz w:val="20"/>
          <w:szCs w:val="20"/>
          <w:color w:val="auto"/>
        </w:rPr>
      </w:pPr>
      <w:r>
        <w:rPr>
          <w:rFonts w:ascii="Times New Roman" w:cs="Times New Roman" w:eastAsia="Times New Roman" w:hAnsi="Times New Roman"/>
          <w:sz w:val="18"/>
          <w:szCs w:val="18"/>
          <w:color w:val="auto"/>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 six months ended June 30, 2022, and June 30, 2021 were approximately €2.1 million and approximately €4.0 million, respectively. As of June 30, 2022, and December 31, 2021, we had an accumulated deficit of approximately €29.1 million and €27.0 million, respectively. Substantially all of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spacing w:after="0" w:line="189"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183" w:lineRule="exact"/>
        <w:rPr>
          <w:sz w:val="20"/>
          <w:szCs w:val="20"/>
          <w:color w:val="auto"/>
        </w:rPr>
      </w:pPr>
    </w:p>
    <w:p>
      <w:pPr>
        <w:jc w:val="both"/>
        <w:ind w:firstLine="583"/>
        <w:spacing w:after="0" w:line="254" w:lineRule="auto"/>
        <w:rPr>
          <w:sz w:val="20"/>
          <w:szCs w:val="20"/>
          <w:color w:val="auto"/>
        </w:rPr>
      </w:pPr>
      <w:r>
        <w:rPr>
          <w:rFonts w:ascii="Times New Roman" w:cs="Times New Roman" w:eastAsia="Times New Roman" w:hAnsi="Times New Roman"/>
          <w:sz w:val="18"/>
          <w:szCs w:val="18"/>
          <w:color w:val="auto"/>
        </w:rPr>
        <w:t>As a result, for our long-term strategy,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securities, including the net proceeds from our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spacing w:after="0" w:line="183"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As of June 30, 2022, we had cash and cash equivalents of approximately €34.7 million. We believe that our existing cash and cash equivalents as of June 30, 2022, will enable us to fund our operating expenses and capital expenditure requirements for substantially more than the next twelve months. We have based this estimate on assumptions that may prove to be wrong, and we could exhaust our available capital resources sooner than we expect. See “Liquidity and Capital Resources.” To finance our continuing operations, we may need to raise additional capital, which cannot be assured.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229" w:lineRule="exact"/>
        <w:rPr>
          <w:sz w:val="20"/>
          <w:szCs w:val="20"/>
          <w:color w:val="auto"/>
        </w:rPr>
      </w:pPr>
    </w:p>
    <w:p>
      <w:pPr>
        <w:jc w:val="both"/>
        <w:ind w:firstLine="583"/>
        <w:spacing w:after="0" w:line="254" w:lineRule="auto"/>
        <w:rPr>
          <w:sz w:val="20"/>
          <w:szCs w:val="20"/>
          <w:color w:val="auto"/>
        </w:rPr>
      </w:pPr>
      <w:r>
        <w:rPr>
          <w:rFonts w:ascii="Times New Roman" w:cs="Times New Roman" w:eastAsia="Times New Roman" w:hAnsi="Times New Roman"/>
          <w:sz w:val="18"/>
          <w:szCs w:val="18"/>
          <w:color w:val="auto"/>
        </w:rPr>
        <w:t>As of the date of the filing of the Form 6-K, the global healthcare community continues to respond to the coronavirus (COVID-19) pandemic, including the recent emergence of the delta and other variants. 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our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We have not experienced significant interruptions related to COVID-19. We may find it difficult to enroll patients in our clinical trials, which could delay or prevent us from proceeding with clinical trials of our product candidates. We continue to closely monitor this rapidly evolving situation and the potential impact on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not generated any revenue since inception and do not expect to generate any revenue from the sale of products in the near future until we obtain regulatory approval of, and commercialize,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current operating expenses consist of two components – research and development expenses, and general and administrative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incurred. These expenses consist of costs incurred in connection with the development of our product candidates, including:</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milestone payments incurred in connection with our license agreements;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scale-up expenses and the cost of acquiring and manufacturing preclinical and, in due course, clinical trial materials and commercial materials, including manufacturing validation batches;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social security charges, related benefits, severance indemnity in case of termination of employees’ relationships, travel and stock-based compensation expense for employees engaged in research and development functions and consulting fees;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costs, depreciation and other expenses, which include rent and utilities.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ind w:firstLine="583"/>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for managing our preclinical development, process development, manufacturing, and clinical development activities. These employees work across programs, and therefore, we do not track their costs by program. We elected to present the research and development credit net of the related research and development expenditure on the consolidated statements of operations and comprehensive loss. However, not all of our research and development expenses are allocated by program:</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5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6"/>
        </w:trPr>
        <w:tc>
          <w:tcPr>
            <w:tcW w:w="5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TEM-GBM</w:t>
            </w:r>
          </w:p>
        </w:tc>
        <w:tc>
          <w:tcPr>
            <w:tcW w:w="13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618,871</w:t>
            </w:r>
          </w:p>
        </w:tc>
        <w:tc>
          <w:tcPr>
            <w:tcW w:w="4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1,692,458</w:t>
            </w: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TEM -LT</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TEM-MM</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18,609</w:t>
            </w: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TEM-HC</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667</w:t>
            </w:r>
          </w:p>
        </w:tc>
      </w:tr>
      <w:tr>
        <w:trPr>
          <w:trHeight w:val="216"/>
        </w:trPr>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costs: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 (including share-based compensation)</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377,928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401,380</w:t>
            </w: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Consultants and other third parties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144,772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760,831</w:t>
            </w: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Materials &amp; supplies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397,790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312,844</w:t>
            </w: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Travel Expenses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10,445</w:t>
            </w:r>
          </w:p>
        </w:tc>
      </w:tr>
      <w:tr>
        <w:trPr>
          <w:trHeight w:val="23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1,640,579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3,199,234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8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our preclinical development activities, clinical trials and other research and development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preclinical development activities, clinical trials and other research and development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design, initiation and completion of,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clinical and commercial manufacturing capabilities or making arrangements with third-party manufacturers;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clinical trials and for commercial launch;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and maintaining, adequate coverage and reimbursement by the government and other payors for any product candidate for which we obtain marketing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w:t>
      </w:r>
    </w:p>
    <w:p>
      <w:pPr>
        <w:spacing w:after="0" w:line="225" w:lineRule="exact"/>
        <w:rPr>
          <w:sz w:val="20"/>
          <w:szCs w:val="20"/>
          <w:color w:val="auto"/>
        </w:rPr>
      </w:pPr>
    </w:p>
    <w:p>
      <w:pPr>
        <w:jc w:val="both"/>
        <w:ind w:firstLine="583"/>
        <w:spacing w:after="0" w:line="253"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European Medicines Agency (EMA), U.S. Food and Drug Administration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consulting fees,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76"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continue to incur additional accounting, audit, legal, regulatory, compliance, director and officer insurance costs as well as investor and public relations expenses associated with being a public company. Additionally, if and when we believe a regulatory approval of a product candidate appears likely, we anticipate an increase in payroll and other expense as a result of our preparation for commercial operations, especially as it relates to the sales and marketing of our product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jc w:val="both"/>
        <w:ind w:right="20" w:firstLine="583"/>
        <w:spacing w:after="0" w:line="282" w:lineRule="auto"/>
        <w:rPr>
          <w:sz w:val="20"/>
          <w:szCs w:val="20"/>
          <w:color w:val="auto"/>
        </w:rPr>
      </w:pPr>
      <w:r>
        <w:rPr>
          <w:rFonts w:ascii="Times New Roman" w:cs="Times New Roman" w:eastAsia="Times New Roman" w:hAnsi="Times New Roman"/>
          <w:sz w:val="18"/>
          <w:szCs w:val="18"/>
          <w:color w:val="auto"/>
        </w:rPr>
        <w:t>Other income (expense) consists primarily of interest income/(expense), foreign exchange income/(loss) and, for the six months ended June 30, 2022, a tax credit to be reimbursed to the Company by the Italian Revenue Agency.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We are subject to taxation in Italy and in the state of Delaware. Taxes are recorded on an accrual basis. They therefore represent the allowances for taxes paid or to be paid for the year, calculated according to the current enacted rates and applicable laws. Due to the tax loss position reported, no income taxes were due for the six months ended June 30, 2022, and June 30, 2021.</w:t>
      </w:r>
    </w:p>
    <w:p>
      <w:pPr>
        <w:spacing w:after="0" w:line="176"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As of each reporting date, we consider existing evidence, both positive and negative, that could impact our view regarding to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June 30, 2022.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statements of operations.</w:t>
      </w:r>
    </w:p>
    <w:p>
      <w:pPr>
        <w:spacing w:after="0" w:line="187"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There are open statutes of limitations for Italian tax authorities to audit our tax returns. There have been no material income tax-related interests or penalties assessed or recorded.</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There is no liability related to uncertain tax positions reported in our financial statements.</w:t>
      </w:r>
    </w:p>
    <w:p>
      <w:pPr>
        <w:spacing w:after="0" w:line="225"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In line with the legislation in force until December 31, 2019, companies in Italy that invested in eligible research and development activities, regardless of the legal form and economic sector in which they operate, could benefit from a tax credit up to 50% of the increase of annual research and development expenses compared to the median expense for the years 2012-2014, which could be used as compensation in order to reduce most taxes payable, including income tax or regional tax on productive activities, as well as of social security contributions.</w:t>
      </w:r>
    </w:p>
    <w:p>
      <w:pPr>
        <w:spacing w:after="0" w:line="180"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The 2020 Italian Budget Law established that: (i) the tax credit due is up to 12% of the research and development costs incurred (up to a maximum of € 3.0 million); (ii) the actual support of eligible expenditure and its correspondence with the accounting documents must result from a specific certification issued by the person responsible for the legal audit; (iii) the tax credit due can only be used as compensation in three equal annual installments. The 2021 Italian Budget Law established that: (i) the tax credit due is up to 20% of the costs incurred (up to a maximum of € 4.0 million); (ii) the tax credit can be used for 2021 and 2022 fiscal years; (iii) it is necessary to have, besides the audit report, a technical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to the Six Months Ended June 2021</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2022 and June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5"/>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rPr>
              <w:t>(Unaudited)</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1,640,579</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3,199,234</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2,513,558</w:t>
            </w:r>
          </w:p>
        </w:tc>
        <w:tc>
          <w:tcPr>
            <w:tcW w:w="3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842,236</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40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5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4,154,137</w:t>
            </w:r>
          </w:p>
        </w:tc>
        <w:tc>
          <w:tcPr>
            <w:tcW w:w="2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4,041,470</w:t>
            </w:r>
          </w:p>
        </w:tc>
        <w:tc>
          <w:tcPr>
            <w:tcW w:w="80" w:type="dxa"/>
            <w:vAlign w:val="bottom"/>
            <w:tcBorders>
              <w:top w:val="single" w:sz="8" w:color="CCEEFF"/>
              <w:bottom w:val="single" w:sz="8" w:color="CCEEFF"/>
            </w:tcBorders>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(4,154,137)</w:t>
            </w:r>
          </w:p>
        </w:tc>
        <w:tc>
          <w:tcPr>
            <w:tcW w:w="3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(4,041,470)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215,486</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2,679</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exchange rate gain</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1,826,330</w:t>
            </w:r>
          </w:p>
        </w:tc>
        <w:tc>
          <w:tcPr>
            <w:tcW w:w="3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2,041,816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(2,112,321)</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(4,047,902)</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4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benefit (expenses)</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(2,112,321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(4,047,902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(2,112,321)</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(4,047,902)</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4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1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(2,112,321)</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(4,047,902)</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40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per share - basic</w:t>
            </w:r>
          </w:p>
        </w:tc>
        <w:tc>
          <w:tcPr>
            <w:tcW w:w="150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40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5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18,216,858</w:t>
            </w: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14,772,610</w:t>
            </w: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0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4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approximately €1.6 million for the six months ended June 30, 2022, as compared to approximately €3.2 million for the six months ended June 30, 2021. The decrease of approximately €1.5 million was primarily due to the lower number of patients in trial, the different mix of therapy treatments to which patients in the trial were subjected, and the greater compensation effect of the tax credit recognized by the Italian Revenue Agency for research and development expenses accrued.</w:t>
      </w:r>
    </w:p>
    <w:p>
      <w:pPr>
        <w:spacing w:after="0" w:line="180"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we utilized approximately €0.3 million to offset certain social contributions and taxes payable, while during the six months ended June 30, 2021, we utilized approximately €0.2 million. The benefit recorded for the six months ended June 30, 2022, and June 30, 2021, to offset research and development expenses was approximately €0.7 million and €0.2 million, respectively. We reclassified to other non-current assets a portion of the receivable, which was expected to be realized beyond 12 months. The increase in the benefit recorded for the six months ended June 30, 2022, was due to the increase in the utilization rate of research and development credit, as a consequence of the increase in our structure compared to the previous period. This estimate was deemed reasonable and prudent based on the actual research and development tax credit utilization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approximately €2.5 million for the six months ended June 30, 2022, as compared to approximately €0.8 million for the six months ended June 30, 2021. The increase of approximately €1.7 million of general and administrative expenses was primarily due to the increase in size of our internal structure to manage the increase in operating activities mainly related to compliance, administration, and corporate governance, as a result of our initial public offering (IPO) that took place in December 2021.</w:t>
      </w:r>
    </w:p>
    <w:p>
      <w:pPr>
        <w:spacing w:after="0" w:line="180"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More specifically, the increase from the six months ended June 30, 2021 to the six months ended June 30, 2022 of €0.5 million in compensation expense (including share-based compensation), was due to new administrative staff hired at the end of the first half of 2021, an increase in board compensation in May 2021, a new employment agreement for the CEO and the CFO of the Company starting on December 15, 2021 and November 1, 2021, respectively, and a stock option granted to the former Chairman of the board of directors (the “Board”), Dr. Squinto, for €0.2 million on April 26, 2022.</w:t>
      </w:r>
    </w:p>
    <w:p>
      <w:pPr>
        <w:spacing w:after="0" w:line="183" w:lineRule="exact"/>
        <w:rPr>
          <w:sz w:val="20"/>
          <w:szCs w:val="20"/>
          <w:color w:val="auto"/>
        </w:rPr>
      </w:pPr>
    </w:p>
    <w:p>
      <w:pPr>
        <w:jc w:val="both"/>
        <w:ind w:right="20" w:firstLine="667"/>
        <w:spacing w:after="0" w:line="282" w:lineRule="auto"/>
        <w:rPr>
          <w:sz w:val="20"/>
          <w:szCs w:val="20"/>
          <w:color w:val="auto"/>
        </w:rPr>
      </w:pPr>
      <w:r>
        <w:rPr>
          <w:rFonts w:ascii="Times New Roman" w:cs="Times New Roman" w:eastAsia="Times New Roman" w:hAnsi="Times New Roman"/>
          <w:sz w:val="18"/>
          <w:szCs w:val="18"/>
          <w:color w:val="auto"/>
        </w:rPr>
        <w:t>We incurred an increase of approximately €0.2 million in accounting, legal and professional expenses that occurred in the six months ended June 30, 2022, compared to the six months ended June 30, 2021, mainly due to the costs related to our public company compliance.</w:t>
      </w:r>
    </w:p>
    <w:p>
      <w:pPr>
        <w:spacing w:after="0" w:line="162" w:lineRule="exact"/>
        <w:rPr>
          <w:sz w:val="20"/>
          <w:szCs w:val="20"/>
          <w:color w:val="auto"/>
        </w:rPr>
      </w:pPr>
    </w:p>
    <w:p>
      <w:pPr>
        <w:jc w:val="both"/>
        <w:ind w:firstLine="667"/>
        <w:spacing w:after="0" w:line="282" w:lineRule="auto"/>
        <w:rPr>
          <w:sz w:val="20"/>
          <w:szCs w:val="20"/>
          <w:color w:val="auto"/>
        </w:rPr>
      </w:pPr>
      <w:r>
        <w:rPr>
          <w:rFonts w:ascii="Times New Roman" w:cs="Times New Roman" w:eastAsia="Times New Roman" w:hAnsi="Times New Roman"/>
          <w:sz w:val="18"/>
          <w:szCs w:val="18"/>
          <w:color w:val="auto"/>
        </w:rPr>
        <w:t>We incurred an increase of approximately €0.3 million in advisory expenses in the six months ended June 30, 2022, compared to the six months ended June 30, 2021, mainly due to an advisory agreement with Roth Capital LLC entered into in January 2022 after the Company’s IPO.</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Finally, we incurred an increase of approximately €0.6 million in directors’ and officers’ liability insurance costs, and €0.1 million in miscellaneous other expenses in the six months ended June 30, 2022, compared to the six months ended June 30, 2021. The other administrative expense increases were mainly due to business travels, meetings and catering costs related to business development activities.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was approximately €0.21 million for the six months ended June 30, 2022, as compared to €2,679 for the six months ended June 30, 2021. The increase was due to approximately €0.2 million in tax reimbursement to be collected from the Italian Revenue Agency.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Gains</w:t>
      </w:r>
    </w:p>
    <w:p>
      <w:pPr>
        <w:spacing w:after="0" w:line="227"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Our foreign exchange gain was approximately €1.8 million for the six months ended June 30, 2022, due to cash held in USD, as compared to a loss of €9,111 for the six months ended June 30, 2021. The increase was due to the strengthening dollar and weakening Euro in the six months ended June 30,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Our net loss was approximately €2.1 million for the six months ended June 30, 2022, as compared to approximately €4.0 million for the six months ended June 30, 2021. The decrease of approximately €1.9 million was primarily due to the fluctuation in the foreign exchange rate and a decrease in our overall research and development spending, combined with the increased general and administrative expenses described above.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Since inception, we have not generated any revenue and have incurred significant operating losses and negative cash flows from our operations. We have funded our operations to date primarily with proceeds from the sales of quotas, in prior years as an S.r.l., and through our IPO, of our shares as an S.p.A. We received gross cash proceeds of approximately €33.6 million from sales of quotas (pre-IPO) and approximately €32.7 million of gross proceeds from the IPO. As of June 30, 2022, the Company had approximately €34.7 million in cash and cash equivalents.</w:t>
      </w:r>
    </w:p>
    <w:p>
      <w:pPr>
        <w:spacing w:after="0" w:line="180"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presents our cash flows for the periods indicated:</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5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6"/>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7"/>
        </w:trPr>
        <w:tc>
          <w:tcPr>
            <w:tcW w:w="5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4"/>
          </w:tcPr>
          <w:p>
            <w:pPr>
              <w:jc w:val="center"/>
              <w:ind w:left="650"/>
              <w:spacing w:after="0"/>
              <w:rPr>
                <w:sz w:val="20"/>
                <w:szCs w:val="20"/>
                <w:color w:val="auto"/>
              </w:rPr>
            </w:pPr>
            <w:r>
              <w:rPr>
                <w:rFonts w:ascii="Times New Roman" w:cs="Times New Roman" w:eastAsia="Times New Roman" w:hAnsi="Times New Roman"/>
                <w:sz w:val="18"/>
                <w:szCs w:val="18"/>
                <w:color w:val="auto"/>
              </w:rPr>
              <w:t>(Unaudited)</w:t>
            </w: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940" w:type="dxa"/>
            <w:vAlign w:val="bottom"/>
            <w:gridSpan w:val="2"/>
          </w:tcPr>
          <w:p>
            <w:pPr>
              <w:ind w:left="540"/>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r>
      <w:tr>
        <w:trPr>
          <w:trHeight w:val="249"/>
        </w:trPr>
        <w:tc>
          <w:tcPr>
            <w:tcW w:w="540" w:type="dxa"/>
            <w:vAlign w:val="bottom"/>
          </w:tcPr>
          <w:p>
            <w:pPr>
              <w:spacing w:after="0"/>
              <w:rPr>
                <w:sz w:val="21"/>
                <w:szCs w:val="21"/>
                <w:color w:val="auto"/>
              </w:rPr>
            </w:pPr>
          </w:p>
        </w:tc>
        <w:tc>
          <w:tcPr>
            <w:tcW w:w="54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(2,566,193</w:t>
            </w:r>
          </w:p>
        </w:tc>
        <w:tc>
          <w:tcPr>
            <w:tcW w:w="24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(4,690,869</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40" w:type="dxa"/>
            <w:vAlign w:val="bottom"/>
          </w:tcPr>
          <w:p>
            <w:pPr>
              <w:spacing w:after="0"/>
              <w:rPr>
                <w:sz w:val="18"/>
                <w:szCs w:val="18"/>
                <w:color w:val="auto"/>
              </w:rPr>
            </w:pPr>
          </w:p>
        </w:tc>
        <w:tc>
          <w:tcPr>
            <w:tcW w:w="54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(2,813</w:t>
            </w:r>
          </w:p>
        </w:tc>
        <w:tc>
          <w:tcPr>
            <w:tcW w:w="24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(3,727</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540" w:type="dxa"/>
            <w:vAlign w:val="bottom"/>
          </w:tcPr>
          <w:p>
            <w:pPr>
              <w:spacing w:after="0"/>
              <w:rPr>
                <w:sz w:val="20"/>
                <w:szCs w:val="20"/>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(216,741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540" w:type="dxa"/>
            <w:vAlign w:val="bottom"/>
          </w:tcPr>
          <w:p>
            <w:pPr>
              <w:spacing w:after="0"/>
              <w:rPr>
                <w:sz w:val="17"/>
                <w:szCs w:val="17"/>
                <w:color w:val="auto"/>
              </w:rPr>
            </w:pPr>
          </w:p>
        </w:tc>
        <w:tc>
          <w:tcPr>
            <w:tcW w:w="54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increase (Net decrease) in cash and cash equivalents</w:t>
            </w:r>
          </w:p>
        </w:tc>
        <w:tc>
          <w:tcPr>
            <w:tcW w:w="200" w:type="dxa"/>
            <w:vAlign w:val="bottom"/>
          </w:tcPr>
          <w:p>
            <w:pPr>
              <w:spacing w:after="0"/>
              <w:rPr>
                <w:sz w:val="17"/>
                <w:szCs w:val="17"/>
                <w:color w:val="auto"/>
              </w:rPr>
            </w:pPr>
          </w:p>
        </w:tc>
        <w:tc>
          <w:tcPr>
            <w:tcW w:w="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(2,569,006)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(4,911,337)</w:t>
            </w:r>
          </w:p>
        </w:tc>
        <w:tc>
          <w:tcPr>
            <w:tcW w:w="80" w:type="dxa"/>
            <w:vAlign w:val="bottom"/>
          </w:tcPr>
          <w:p>
            <w:pPr>
              <w:spacing w:after="0"/>
              <w:rPr>
                <w:sz w:val="17"/>
                <w:szCs w:val="17"/>
                <w:color w:val="auto"/>
              </w:rPr>
            </w:pPr>
          </w:p>
        </w:tc>
      </w:tr>
      <w:tr>
        <w:trPr>
          <w:trHeight w:val="249"/>
        </w:trPr>
        <w:tc>
          <w:tcPr>
            <w:tcW w:w="54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37,240,162</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15,465,243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0"/>
        </w:trPr>
        <w:tc>
          <w:tcPr>
            <w:tcW w:w="540" w:type="dxa"/>
            <w:vAlign w:val="bottom"/>
          </w:tcPr>
          <w:p>
            <w:pPr>
              <w:spacing w:after="0"/>
              <w:rPr>
                <w:sz w:val="18"/>
                <w:szCs w:val="18"/>
                <w:color w:val="auto"/>
              </w:rPr>
            </w:pPr>
          </w:p>
        </w:tc>
        <w:tc>
          <w:tcPr>
            <w:tcW w:w="54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34,671,156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10,553,906</w:t>
            </w:r>
          </w:p>
        </w:tc>
        <w:tc>
          <w:tcPr>
            <w:tcW w:w="8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and June 30, 2021, operating activities used approximately €2.6 million and €4.7 million, respectively, of cash and cash equivalents, resulting mainly from our loss of approximately €2.1 million. The net change in our operating assets and liabilities was primarily due to the decrease in payment from related party research and clinical activities. The non-cash charges primarily included approximately €0.2 million of stock-based compensation expense and other minor amounts of depreciation and retirement benefit obligation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cash flow from financing activities was €0, while during the six months ended June 30, 2021, cash flow from financing activities was €(216,741) consisting mainly in prepaid offering costs and cash proceeds from the exercise of options on our class B quota. During the six months ended June 30, 2021, €172 class B quota was repurchased from Drs. Naldini and Gentner at nominal value, cancelled, and allocated to the option plan as available for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Outlook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date, we have not generated revenue and do not expect to generate significant revenues from the sale of any product candidate in the near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our cash and cash equivalents were approximately €34.7 million. Our primary cash obligations relate to payments to Ospedale San Raffaele (OSR) pursuant to the license agreement and other providers of clinical trial related services.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our planned use of the net proceeds from our IPO and our existing cash, we estimate that such funds will be sufficient to fund our operations and capital expenditure requirements through the first half of 2024. We have based this estimate on assumptions that may prove to be wrong, and we could use our available capital resources sooner than we currently expect.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our operating plans may change as a result of many factors that may currently be unknown to us, and we may need to seek additional funds sooner than planned. Our future capital requirements will depend on many factors, including:</w:t>
      </w:r>
    </w:p>
    <w:p>
      <w:pPr>
        <w:spacing w:after="0" w:line="162"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COVID-19 pandemic and its impact on our planned clinical trials, operations and financial condition;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costs of our preclinical studies, clinical trials and other research and development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clinical trials and other research and development programs;</w:t>
      </w:r>
    </w:p>
    <w:p>
      <w:pPr>
        <w:spacing w:after="0" w:line="225" w:lineRule="exact"/>
        <w:rPr>
          <w:rFonts w:ascii="Times New Roman" w:cs="Times New Roman" w:eastAsia="Times New Roman" w:hAnsi="Times New Roman"/>
          <w:sz w:val="18"/>
          <w:szCs w:val="18"/>
          <w:color w:val="auto"/>
        </w:rPr>
      </w:pPr>
    </w:p>
    <w:p>
      <w:pPr>
        <w:ind w:left="5580" w:right="300" w:hanging="4924"/>
        <w:spacing w:after="0" w:line="532" w:lineRule="auto"/>
        <w:tabs>
          <w:tab w:leader="none" w:pos="98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that we may incur under in- and out-licensing arrangements relating to our product candidate that we may enter into in the future;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obtaining regulatory approval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enforcing and defending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and timing for, amending current manufacturing agreements for production of sufficient clinical and commercial quantities of our product candidates, or entering into new agreements with existing or new contract manufacturing organizations (CMOs);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contracting with third parties to provide marketing and distribution services for us or for building such capacities internally;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or undertaking the development and commercialization efforts for additional, future therapeutic applications of our product candidates and the magnitude of our general and administrative expenses.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Until we can generate significant revenues, if ever, we expect to satisfy our future cash needs through our existing cash, cash equivalents and short-term deposits.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expected use of cash and cash equivalents represents our intentions based upon our current plans and business conditions, which could change in the future as our plans and business conditions evolve. We may also use a portion of the available cash and cash equivalents to in-license, acquire, or invest in additional businesses, technologies, products, or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accounting policies described below are critical in order to understand the judgements and estimates used in the financial statements and to fully understand and evaluate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89" w:lineRule="exact"/>
        <w:rPr>
          <w:sz w:val="20"/>
          <w:szCs w:val="20"/>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central laboratories, in connection with preclinical development activities, especially, OSR, a co-founding shareholder, significant related party vendor and a leading center for ex-vivo gene therapy for inherited diseases;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research organizations (CROs) and investigative sites in connection with preclinical and clinical studies;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reward the efforts of employees, directors, and certain consultants to promote our growth, the Board has historically approved, during its existence, various share-based awards.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2021, the Board granted fully vested options on €169 quota B. In addition, the Board accelerated the vesting of other stock options on €546 quota B that were previously granted. This amounted to a total of €715 quota B that were exercised prior to the Corporate Conversion. All options were awarded with an exercise price of €1 per quota and, when exercised, were first converted to quota B of Genenta Science S.r.l. and then to ordinary shares giving effect to our Corporate Conversion to Genenta Science S.p.A. All options were granted and there were no outstanding options as of June 30, 2021.</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20, 2021, the Board approved the general terms (e.g., regulation) of our 2021 – 2025 Equity Incentive Plan. Under Italian law, there is no need to obtain the approval of the specific terms of our equity incentive plans from our shareholders. The number of stock options available are determined by the Company’s shareholders by vote at an annual or special meeting of shareholders. Currently, the Company has options on 1,821,685 shares (i.e., 10% of the number of shares outstanding, which are currently 18,216,858 shares outstanding); however, at the quotaholders’ meeting held on May 20, 2021, the quotaholders approved a paid share capital increase to service the Plan, up to a maximum amount of €27,000,000, through the issue of a maximum of 2,700,000 new ordinary shares (and in any case within the limit of 10% of the number of shares in circulation at the time of issue). Therefore, as the Company raises additional capital and the number of issued and outstanding shares grows, the Board has authority to issue shares in the range from 1,821,685 to 2,700,000, i.e., the Company does not have to obtain further authorization from shareholders to increase the number of shares available for equity grants until the outstanding shares exceed 27,000,000.</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Nonqualified stock options were granted on April 26, 2022 by the Board (i.e., the administrator of our 2021 – 2025 Equity Incentive Plan ) to Dr. Stephen Squinto, the Company’s Chairman of the Board at the time. Options granted on April 26, 2022 were priced based on a sub-plan called “2021-2025 Chairman Sub-Plan” attached to the Plan. The cost or expense of the stock option(s) to the Company is also based on the Black Scholes method.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measure share-based awards granted to employees and directors based on the fair value on the date of the grant and recognize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our statements of operations and comprehensive loss in the same manner in which the award recipient’s payroll costs are classified or in which the award recipient’s service payments are classified.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tax credit receivables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account for our research and development tax credit receivable in accordance with IAS 20 </w:t>
      </w:r>
      <w:r>
        <w:rPr>
          <w:rFonts w:ascii="Times New Roman" w:cs="Times New Roman" w:eastAsia="Times New Roman" w:hAnsi="Times New Roman"/>
          <w:sz w:val="18"/>
          <w:szCs w:val="18"/>
          <w:i w:val="1"/>
          <w:iCs w:val="1"/>
          <w:color w:val="auto"/>
        </w:rPr>
        <w:t>Accounting for Government Grants and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Government Assistance</w:t>
      </w:r>
      <w:r>
        <w:rPr>
          <w:rFonts w:ascii="Times New Roman" w:cs="Times New Roman" w:eastAsia="Times New Roman" w:hAnsi="Times New Roman"/>
          <w:sz w:val="18"/>
          <w:szCs w:val="18"/>
          <w:color w:val="auto"/>
        </w:rPr>
        <w:t>. The receivable is recognized when there is reasonable assurance that: (1) the recipient will comply with the relevant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 the grant will be received. We elected to present the credit net of the related expenditure on the statements of operations and comprehensive loss. While these tax credits can be carried forward indefinitely, we recognize an amount that reflects management’s best estimate of the amount reasonably assured to be realized or utilized in the foreseeable future based on historical benefits realized, adjusted for expected changes, as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Under the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engaged in any off-balance sheet arrangements, such as the use of unconsolidated subsidiaries, structured finance, special purpose entities or variable interest entities.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our off-balance sheet arrangements and commitments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results of operations and cash flow are not subject to significant fluctuations due to changes in foreign currency exchange rates. As discussed above, most of our liquid assets and our expenses are denominated in EUR. Changes of 5% and 10% in the USD/EUR exchange rate would not have significantly increased/decreased our operating expenses. As we continue to grow our business, our results of operations and cash flows might be subject to fluctuations due to changes in foreign currency exchange rates, which could adversely impact our results of operations.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July 2022, Dr. Daniela Bellomo and Dr. Luca Guidotti resigned from the Board. Dr. Bellomo’s and Dr. Guidotti’s resignations did not result from any disagreements with management or the Board.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01"/>
    </w:lvl>
    <w:lvl w:ilvl="1">
      <w:lvlJc w:val="left"/>
      <w:lvlText w:val="(%2)"/>
      <w:numFmt w:val="lowerRoman"/>
      <w:start w:val="3"/>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17"/>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2022-10-25T05:14:38Z</dcterms:created>
  <dcterms:modified xsi:type="dcterms:W3CDTF">2022-10-25T05:14:38Z</dcterms:modified>
</cp:coreProperties>
</file>