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20-fa.htm"/>
      <w:bookmarkStart w:id="1" w:name="ksform20f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30101__20"/>
      <w:bookmarkEnd w:id="2"/>
      <w:r>
        <w:rPr>
          <w:rFonts w:ascii="Times New Roman;Times;Serif" w:hAnsi="Times New Roman;Times;Serif"/>
          <w:b/>
          <w:i w:val="false"/>
          <w:caps w:val="false"/>
          <w:smallCaps w:val="false"/>
          <w:sz w:val="36"/>
        </w:rPr>
        <w:t>20-F/A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 No. 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bookmarkStart w:id="3" w:name="xdx_90A_edei--DocumentRegistrationStatem"/>
            <w:bookmarkEnd w:id="3"/>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PURSUANT TO SECTION 12(b) OR 12 (g) OF THE SECURITIES EXCHANGE ACT OF 1934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245"/>
        <w:gridCol w:w="9515"/>
      </w:tblGrid>
      <w:tr>
        <w:trPr/>
        <w:tc>
          <w:tcPr>
            <w:tcW w:w="245" w:type="dxa"/>
            <w:tcBorders/>
            <w:vAlign w:val="center"/>
          </w:tcPr>
          <w:p>
            <w:pPr>
              <w:pStyle w:val="TableContents"/>
              <w:bidi w:val="0"/>
              <w:spacing w:before="0" w:after="283"/>
              <w:jc w:val="left"/>
              <w:rPr>
                <w:caps w:val="false"/>
                <w:smallCaps w:val="false"/>
              </w:rPr>
            </w:pPr>
            <w:bookmarkStart w:id="4" w:name="xdx_90B_edei--DocumentAnnualReport_c2023"/>
            <w:bookmarkEnd w:id="4"/>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ANNUAL REPORT PURSUANT TO SECTION 13 OR 15(d) OF THE SECURITIES EXCHANGE ACT OF 1934 </w:t>
            </w:r>
          </w:p>
        </w:tc>
      </w:tr>
    </w:tbl>
    <w:p>
      <w:pPr>
        <w:pStyle w:val="TextBody"/>
        <w:bidi w:val="0"/>
        <w:spacing w:before="0" w:after="0"/>
        <w:ind w:left="34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5" w:name="xdx_90A_edei--CurrentFiscalYearEndDate_c"/>
      <w:bookmarkStart w:id="6" w:name="xdx_90D_edei--DocumentPeriodEndDate_c202"/>
      <w:bookmarkEnd w:id="5"/>
      <w:bookmarkEnd w:id="6"/>
      <w:r>
        <w:rPr>
          <w:rFonts w:ascii="Times New Roman;Times;Serif" w:hAnsi="Times New Roman;Times;Serif"/>
          <w:b/>
          <w:i w:val="false"/>
          <w:caps w:val="false"/>
          <w:smallCaps w:val="false"/>
          <w:sz w:val="20"/>
        </w:rPr>
        <w:t xml:space="preserve">December 31, </w:t>
      </w:r>
      <w:bookmarkStart w:id="7" w:name="xdx_90D_edei--DocumentFiscalYearFocus_c2"/>
      <w:bookmarkEnd w:id="7"/>
      <w:r>
        <w:rPr>
          <w:rFonts w:ascii="Times New Roman;Times;Serif" w:hAnsi="Times New Roman;Times;Serif"/>
          <w:b/>
          <w:i w:val="false"/>
          <w:caps w:val="false"/>
          <w:smallCaps w:val="false"/>
          <w:sz w:val="20"/>
        </w:rPr>
        <w:t>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245"/>
        <w:gridCol w:w="9920"/>
      </w:tblGrid>
      <w:tr>
        <w:trPr/>
        <w:tc>
          <w:tcPr>
            <w:tcW w:w="245" w:type="dxa"/>
            <w:tcBorders/>
            <w:vAlign w:val="center"/>
          </w:tcPr>
          <w:p>
            <w:pPr>
              <w:pStyle w:val="TableContents"/>
              <w:bidi w:val="0"/>
              <w:spacing w:before="0" w:after="283"/>
              <w:jc w:val="left"/>
              <w:rPr>
                <w:caps w:val="false"/>
                <w:smallCaps w:val="false"/>
              </w:rPr>
            </w:pPr>
            <w:bookmarkStart w:id="8" w:name="xdx_90B_edei--DocumentTransitionReport_c"/>
            <w:bookmarkEnd w:id="8"/>
            <w:r>
              <w:rPr>
                <w:caps w:val="false"/>
                <w:smallCaps w:val="false"/>
              </w:rPr>
              <w:t>☐</w:t>
            </w:r>
          </w:p>
        </w:tc>
        <w:tc>
          <w:tcPr>
            <w:tcW w:w="99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TRANSITION REPORT PURSUANT TO SECTION 13 OR 15(d) OF THE SECURITIES EXCHANGE ACT OF 1934 </w:t>
            </w:r>
          </w:p>
        </w:tc>
      </w:tr>
    </w:tbl>
    <w:p>
      <w:pPr>
        <w:pStyle w:val="TextBody"/>
        <w:bidi w:val="0"/>
        <w:spacing w:before="0" w:after="0"/>
        <w:ind w:left="8" w:right="0" w:hanging="0"/>
        <w:jc w:val="center"/>
        <w:rPr>
          <w:caps w:val="false"/>
          <w:smallCaps w:val="false"/>
        </w:rPr>
      </w:pPr>
      <w:r>
        <w:rPr>
          <w:caps w:val="false"/>
          <w:smallCaps w:val="false"/>
        </w:rPr>
        <w:t> </w:t>
      </w:r>
    </w:p>
    <w:p>
      <w:pPr>
        <w:pStyle w:val="TextBody"/>
        <w:bidi w:val="0"/>
        <w:spacing w:before="0" w:after="0"/>
        <w:ind w:left="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bookmarkStart w:id="9" w:name="xdx_90D_edei--DocumentShellCompanyReport"/>
            <w:bookmarkEnd w:id="9"/>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SHELL COMPANY REPORT PURSUANT TO SECTION 13 OR 15(d) OF THE SECURITIES EXCHANGE ACT OF 1934 </w:t>
            </w:r>
          </w:p>
        </w:tc>
      </w:tr>
    </w:tbl>
    <w:p>
      <w:pPr>
        <w:pStyle w:val="TextBody"/>
        <w:bidi w:val="0"/>
        <w:spacing w:before="0" w:after="0"/>
        <w:ind w:left="34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 to 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10" w:name="xdx_90D_edei--EntityFileNumber_c20230101"/>
      <w:bookmarkEnd w:id="10"/>
      <w:r>
        <w:rPr>
          <w:rFonts w:ascii="Times New Roman;Times;Serif" w:hAnsi="Times New Roman;Times;Serif"/>
          <w:b w:val="false"/>
          <w:i w:val="false"/>
          <w:caps w:val="false"/>
          <w:smallCaps w:val="false"/>
          <w:sz w:val="20"/>
        </w:rPr>
        <w:t>001-41115</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11" w:name="xdx_904_edei--EntityRegistrantName_c2023"/>
      <w:bookmarkEnd w:id="11"/>
      <w:r>
        <w:rPr>
          <w:rFonts w:ascii="Times New Roman;Times;Serif" w:hAnsi="Times New Roman;Times;Serif"/>
          <w:b/>
          <w:i w:val="false"/>
          <w:caps w:val="false"/>
          <w:smallCaps w:val="false"/>
          <w:sz w:val="36"/>
        </w:rPr>
        <w:t>Genenta Science S.p.A.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Italy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F_edei--EntityAddressAddressLine1_"/>
      <w:bookmarkEnd w:id="12"/>
      <w:r>
        <w:rPr>
          <w:rFonts w:ascii="Times New Roman;Times;Serif" w:hAnsi="Times New Roman;Times;Serif"/>
          <w:b/>
          <w:i w:val="false"/>
          <w:caps w:val="false"/>
          <w:smallCaps w:val="false"/>
          <w:sz w:val="20"/>
        </w:rPr>
        <w:t>Via Olgettina No. 58</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13" w:name="xdx_907_edei--EntityAddressPostalZipCode"/>
      <w:bookmarkEnd w:id="13"/>
      <w:r>
        <w:rPr>
          <w:rFonts w:ascii="Times New Roman;Times;Serif" w:hAnsi="Times New Roman;Times;Serif"/>
          <w:b/>
          <w:i w:val="false"/>
          <w:caps w:val="false"/>
          <w:smallCaps w:val="false"/>
          <w:sz w:val="20"/>
        </w:rPr>
        <w:t xml:space="preserve">20132 </w:t>
      </w:r>
      <w:bookmarkStart w:id="14" w:name="xdx_906_edei--EntityAddressCityOrTown_c2"/>
      <w:bookmarkEnd w:id="14"/>
      <w:r>
        <w:rPr>
          <w:rFonts w:ascii="Times New Roman;Times;Serif" w:hAnsi="Times New Roman;Times;Serif"/>
          <w:b/>
          <w:i w:val="false"/>
          <w:caps w:val="false"/>
          <w:smallCaps w:val="false"/>
          <w:sz w:val="20"/>
        </w:rPr>
        <w:t xml:space="preserve">Milan, </w:t>
      </w:r>
      <w:bookmarkStart w:id="15" w:name="xdx_909_edei--EntityAddressCountry_c2023"/>
      <w:bookmarkEnd w:id="15"/>
      <w:r>
        <w:rPr>
          <w:rFonts w:ascii="Times New Roman;Times;Serif" w:hAnsi="Times New Roman;Times;Serif"/>
          <w:b/>
          <w:i w:val="false"/>
          <w:caps w:val="false"/>
          <w:smallCaps w:val="false"/>
          <w:sz w:val="20"/>
        </w:rPr>
        <w:t>Italy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3_edei--EntityAddressAddressLine1_"/>
      <w:bookmarkEnd w:id="16"/>
      <w:r>
        <w:rPr>
          <w:rFonts w:ascii="Times New Roman;Times;Serif" w:hAnsi="Times New Roman;Times;Serif"/>
          <w:b/>
          <w:i w:val="false"/>
          <w:caps w:val="false"/>
          <w:smallCaps w:val="false"/>
          <w:sz w:val="20"/>
        </w:rPr>
        <w:t>Via Olgettina No. 58</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xdx_907_edei--EntityAddressPostalZipCode"/>
      <w:bookmarkEnd w:id="17"/>
      <w:r>
        <w:rPr>
          <w:rFonts w:ascii="Times New Roman;Times;Serif" w:hAnsi="Times New Roman;Times;Serif"/>
          <w:b/>
          <w:i w:val="false"/>
          <w:caps w:val="false"/>
          <w:smallCaps w:val="false"/>
          <w:sz w:val="20"/>
        </w:rPr>
        <w:t xml:space="preserve">20132 </w:t>
      </w:r>
      <w:bookmarkStart w:id="18" w:name="xdx_902_edei--EntityAddressCityOrTown_c2"/>
      <w:bookmarkEnd w:id="18"/>
      <w:r>
        <w:rPr>
          <w:rFonts w:ascii="Times New Roman;Times;Serif" w:hAnsi="Times New Roman;Times;Serif"/>
          <w:b/>
          <w:i w:val="false"/>
          <w:caps w:val="false"/>
          <w:smallCaps w:val="false"/>
          <w:sz w:val="20"/>
        </w:rPr>
        <w:t xml:space="preserve">Milan, </w:t>
      </w:r>
      <w:bookmarkStart w:id="19" w:name="xdx_90B_edei--EntityAddressCountry_c2023"/>
      <w:bookmarkEnd w:id="19"/>
      <w:r>
        <w:rPr>
          <w:rFonts w:ascii="Times New Roman;Times;Serif" w:hAnsi="Times New Roman;Times;Serif"/>
          <w:b/>
          <w:i w:val="false"/>
          <w:caps w:val="false"/>
          <w:smallCaps w:val="false"/>
          <w:sz w:val="20"/>
        </w:rPr>
        <w:t>Italy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Attn: </w:t>
      </w:r>
      <w:bookmarkStart w:id="20" w:name="xdx_90B_edei--ContactPersonnelName_c2023"/>
      <w:bookmarkEnd w:id="20"/>
      <w:r>
        <w:rPr>
          <w:rFonts w:ascii="Times New Roman;Times;Serif" w:hAnsi="Times New Roman;Times;Serif"/>
          <w:b/>
          <w:i w:val="false"/>
          <w:caps w:val="false"/>
          <w:smallCaps w:val="false"/>
          <w:sz w:val="20"/>
        </w:rPr>
        <w:t>Pierluigi Paracchi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 </w:t>
      </w:r>
      <w:bookmarkStart w:id="21" w:name="xdx_907_edei--LocalPhoneNumber_c20230101"/>
      <w:bookmarkEnd w:id="21"/>
      <w:r>
        <w:rPr>
          <w:rFonts w:ascii="Times New Roman;Times;Serif" w:hAnsi="Times New Roman;Times;Serif"/>
          <w:b/>
          <w:i w:val="false"/>
          <w:caps w:val="false"/>
          <w:smallCaps w:val="false"/>
          <w:sz w:val="20"/>
        </w:rPr>
        <w:t>+39-02-2643-4681</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Email: </w:t>
      </w:r>
      <w:bookmarkStart w:id="22" w:name="xdx_904_edei--ContactPersonnelEmailAddre"/>
      <w:bookmarkEnd w:id="22"/>
      <w:r>
        <w:rPr>
          <w:rFonts w:ascii="Times New Roman;Times;Serif" w:hAnsi="Times New Roman;Times;Serif"/>
          <w:b/>
          <w:i w:val="false"/>
          <w:caps w:val="false"/>
          <w:smallCaps w:val="false"/>
          <w:sz w:val="20"/>
        </w:rPr>
        <w:t>pierluigi.paracchi@genenta.com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37"/>
        <w:gridCol w:w="60"/>
        <w:gridCol w:w="1263"/>
        <w:gridCol w:w="60"/>
        <w:gridCol w:w="2785"/>
      </w:tblGrid>
      <w:tr>
        <w:trPr/>
        <w:tc>
          <w:tcPr>
            <w:tcW w:w="6037"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6037"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3" w:name="xdx_903_edei--Security12bTitle_c20230101"/>
            <w:bookmarkEnd w:id="23"/>
            <w:r>
              <w:rPr>
                <w:rFonts w:ascii="Times New Roman;Times;Serif" w:hAnsi="Times New Roman;Times;Serif"/>
                <w:b/>
                <w:i w:val="false"/>
                <w:caps w:val="false"/>
                <w:smallCaps w:val="false"/>
                <w:sz w:val="20"/>
              </w:rPr>
              <w:t>American depositary shares (each American depositary share representing one ordinary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4" w:name="xdx_903_edei--TradingSymbol_c20230101__2"/>
            <w:bookmarkEnd w:id="24"/>
            <w:r>
              <w:rPr>
                <w:rFonts w:ascii="Times New Roman;Times;Serif" w:hAnsi="Times New Roman;Times;Serif"/>
                <w:b/>
                <w:i w:val="false"/>
                <w:caps w:val="false"/>
                <w:smallCaps w:val="false"/>
                <w:sz w:val="20"/>
              </w:rPr>
              <w:t>GNTA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25" w:name="xdx_90A_edei--SecurityExchangeName_c2023"/>
            <w:bookmarkEnd w:id="25"/>
            <w:r>
              <w:rPr>
                <w:rFonts w:ascii="Times New Roman;Times;Serif" w:hAnsi="Times New Roman;Times;Serif"/>
                <w:b/>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Nasdaq Capital Market) </w:t>
            </w:r>
          </w:p>
        </w:tc>
      </w:tr>
      <w:tr>
        <w:trPr/>
        <w:tc>
          <w:tcPr>
            <w:tcW w:w="603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03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 w:name="xdx_90A_edei--Security12bTitle_c20230101"/>
            <w:bookmarkEnd w:id="26"/>
            <w:r>
              <w:rPr>
                <w:rFonts w:ascii="Times New Roman;Times;Serif" w:hAnsi="Times New Roman;Times;Serif"/>
                <w:b/>
                <w:i w:val="false"/>
                <w:caps w:val="false"/>
                <w:smallCaps w:val="false"/>
                <w:sz w:val="20"/>
              </w:rPr>
              <w:t>Ordinary shares, no par value</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27" w:name="xdx_90F_edei--SecurityExchangeName_c2023"/>
            <w:bookmarkEnd w:id="27"/>
            <w:r>
              <w:rPr>
                <w:rFonts w:ascii="Times New Roman;Times;Serif" w:hAnsi="Times New Roman;Times;Serif"/>
                <w:b/>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Nasdaq Capital Market) </w:t>
            </w:r>
          </w:p>
        </w:tc>
      </w:tr>
    </w:tbl>
    <w:p>
      <w:pPr>
        <w:pStyle w:val="TextBody"/>
        <w:pBdr>
          <w:bottom w:val="single" w:sz="12" w:space="1" w:color="000000"/>
        </w:pBd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140"/>
        <w:gridCol w:w="951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for trading, but only in connection with the listing of American depositary shares on The 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registrant had </w:t>
      </w:r>
      <w:bookmarkStart w:id="28" w:name="xdx_908_edei--EntityCommonStockSharesOut"/>
      <w:bookmarkEnd w:id="28"/>
      <w:r>
        <w:rPr>
          <w:rFonts w:ascii="Times New Roman;Times;Serif" w:hAnsi="Times New Roman;Times;Serif"/>
          <w:b/>
          <w:i w:val="false"/>
          <w:caps w:val="false"/>
          <w:smallCaps w:val="false"/>
          <w:sz w:val="20"/>
        </w:rPr>
        <w:t>18,216,958 ordinary shares outstanding as of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 Yes ☒ </w:t>
      </w:r>
      <w:bookmarkStart w:id="29" w:name="xdx_908_edei--EntityWellKnownSeasonedIss"/>
      <w:bookmarkEnd w:id="29"/>
      <w:r>
        <w:rPr>
          <w:rFonts w:ascii="Times New Roman;Times;Serif" w:hAnsi="Times New Roman;Times;Serif"/>
          <w:b w:val="false"/>
          <w:i w:val="false"/>
          <w:caps w:val="false"/>
          <w:smallCaps w:val="false"/>
          <w:sz w:val="20"/>
        </w:rPr>
        <w:t>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report is an annual or transition report, indicate by check mark if the registrant is not required to file reports pursuant to Section 13 or 15(d) of the Securities Exchange Act of 1934. ☐ Yes ☒ </w:t>
      </w:r>
      <w:bookmarkStart w:id="30" w:name="xdx_906_edei--EntityVoluntaryFilers_c202"/>
      <w:bookmarkEnd w:id="30"/>
      <w:r>
        <w:rPr>
          <w:rFonts w:ascii="Times New Roman;Times;Serif" w:hAnsi="Times New Roman;Times;Serif"/>
          <w:b w:val="false"/>
          <w:i w:val="false"/>
          <w:caps w:val="false"/>
          <w:smallCaps w:val="false"/>
          <w:sz w:val="20"/>
        </w:rPr>
        <w:t>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 Checking the box above will not relieve any registrant required to file reports pursuant to Section 13 or 15(d) of the Securities Exchange Act of 1934 from their obligations under those 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w:t>
      </w:r>
      <w:bookmarkStart w:id="31" w:name="xdx_908_edei--EntityCurrentReportingStat"/>
      <w:bookmarkEnd w:id="31"/>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both"/>
        <w:rPr>
          <w:caps w:val="false"/>
          <w:smallCaps w:val="false"/>
        </w:rPr>
      </w:pPr>
      <w:r>
        <w:rPr>
          <w:caps w:val="false"/>
          <w:smallCaps w:val="false"/>
        </w:rPr>
        <w:t xml:space="preserve">☒ </w:t>
      </w:r>
      <w:bookmarkStart w:id="32" w:name="xdx_907_edei--EntityInteractiveDataCurre"/>
      <w:bookmarkEnd w:id="32"/>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 (Check one):</w:t>
      </w:r>
    </w:p>
    <w:p>
      <w:pPr>
        <w:pStyle w:val="TextBody"/>
        <w:bidi w:val="0"/>
        <w:spacing w:before="0" w:after="0"/>
        <w:ind w:left="0" w:right="0" w:hanging="0"/>
        <w:jc w:val="both"/>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2060"/>
        <w:gridCol w:w="1580"/>
        <w:gridCol w:w="1940"/>
        <w:gridCol w:w="2465"/>
      </w:tblGrid>
      <w:tr>
        <w:trPr/>
        <w:tc>
          <w:tcPr>
            <w:tcW w:w="2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1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3" w:name="xdx_902_edei--EntityFilerCategory_c20230"/>
            <w:bookmarkEnd w:id="33"/>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34" w:name="xdx_903_edei--EntityEmergingGrowthCompan"/>
            <w:bookmarkEnd w:id="34"/>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bookmarkStart w:id="35" w:name="xdx_909_edei--EntityExTransitionPeriod_c"/>
      <w:bookmarkEnd w:id="3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aps w:val="false"/>
                <w:smallCaps w:val="false"/>
                <w:position w:val="-2"/>
                <w:sz w:val="19"/>
              </w:rPr>
            </w:pPr>
            <w:r>
              <w:rPr>
                <w:caps w:val="false"/>
                <w:smallCaps w:val="false"/>
                <w:position w:val="-2"/>
                <w:sz w:val="19"/>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17"/>
        <w:gridCol w:w="60"/>
        <w:gridCol w:w="8267"/>
        <w:gridCol w:w="60"/>
        <w:gridCol w:w="701"/>
      </w:tblGrid>
      <w:tr>
        <w:trPr/>
        <w:tc>
          <w:tcPr>
            <w:tcW w:w="11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GAAP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Financial Reporting Standards as issued by the International Accounting Standards Board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 Item 17 ☐ Item 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is an annual report, indicate by check mark whether the registrant is a shell company (as defined in Rule 12b-2 of the Exchange Act). ☐ Yes ☒ </w:t>
      </w:r>
      <w:bookmarkStart w:id="36" w:name="xdx_908_edei--EntityShellCompany_c202301"/>
      <w:bookmarkEnd w:id="36"/>
      <w:r>
        <w:rPr>
          <w:rFonts w:ascii="Times New Roman;Times;Serif" w:hAnsi="Times New Roman;Times;Serif"/>
          <w:b w:val="false"/>
          <w:i w:val="false"/>
          <w:caps w:val="false"/>
          <w:smallCaps w:val="false"/>
          <w:sz w:val="20"/>
        </w:rPr>
        <w:t>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ONLY TO ISSUERS INVOLVED IN BANKRUPTCY PROCEEDINGS DURING THE PAST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all documents and reports required to be filed by Sections 12, 13 or 15(d) of the Securities Exchange Act of 1934 subsequent to the distribution of securities under a plan confirmed by a court. ☐ Yes ☐ No</w:t>
      </w:r>
    </w:p>
    <w:p>
      <w:pPr>
        <w:pStyle w:val="TextBody"/>
        <w:bidi w:val="0"/>
        <w:spacing w:before="0" w:after="0"/>
        <w:ind w:left="0" w:right="0" w:hanging="0"/>
        <w:jc w:val="both"/>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2465"/>
        <w:gridCol w:w="1580"/>
        <w:gridCol w:w="2030"/>
      </w:tblGrid>
      <w:tr>
        <w:trPr/>
        <w:tc>
          <w:tcPr>
            <w:tcW w:w="2465" w:type="dxa"/>
            <w:tcBorders/>
            <w:vAlign w:val="center"/>
          </w:tcPr>
          <w:p>
            <w:pPr>
              <w:pStyle w:val="TableContents"/>
              <w:bidi w:val="0"/>
              <w:spacing w:before="0" w:after="283"/>
              <w:jc w:val="center"/>
              <w:rPr/>
            </w:pPr>
            <w:r>
              <w:rPr/>
              <w:t>Auditor Name</w:t>
            </w:r>
          </w:p>
        </w:tc>
        <w:tc>
          <w:tcPr>
            <w:tcW w:w="1580" w:type="dxa"/>
            <w:tcBorders/>
            <w:vAlign w:val="center"/>
          </w:tcPr>
          <w:p>
            <w:pPr>
              <w:pStyle w:val="TableContents"/>
              <w:bidi w:val="0"/>
              <w:spacing w:before="0" w:after="283"/>
              <w:jc w:val="center"/>
              <w:rPr/>
            </w:pPr>
            <w:r>
              <w:rPr/>
              <w:t>Auditor Firm ID</w:t>
            </w:r>
          </w:p>
        </w:tc>
        <w:tc>
          <w:tcPr>
            <w:tcW w:w="2030" w:type="dxa"/>
            <w:tcBorders/>
            <w:vAlign w:val="center"/>
          </w:tcPr>
          <w:p>
            <w:pPr>
              <w:pStyle w:val="TableContents"/>
              <w:bidi w:val="0"/>
              <w:spacing w:before="0" w:after="283"/>
              <w:jc w:val="center"/>
              <w:rPr/>
            </w:pPr>
            <w:r>
              <w:rPr/>
              <w:t>Auditor Location</w:t>
            </w:r>
          </w:p>
        </w:tc>
      </w:tr>
      <w:tr>
        <w:trPr/>
        <w:tc>
          <w:tcPr>
            <w:tcW w:w="2465" w:type="dxa"/>
            <w:tcBorders/>
            <w:vAlign w:val="center"/>
          </w:tcPr>
          <w:p>
            <w:pPr>
              <w:pStyle w:val="TableContents"/>
              <w:bidi w:val="0"/>
              <w:spacing w:before="0" w:after="283"/>
              <w:jc w:val="center"/>
              <w:rPr/>
            </w:pPr>
            <w:bookmarkStart w:id="37" w:name="xdx_90F_edei--AuditorName_c20230101__202"/>
            <w:bookmarkEnd w:id="37"/>
            <w:r>
              <w:rPr/>
              <w:t>Dannible &amp; McKee, LLP</w:t>
            </w:r>
          </w:p>
        </w:tc>
        <w:tc>
          <w:tcPr>
            <w:tcW w:w="1580" w:type="dxa"/>
            <w:tcBorders/>
            <w:vAlign w:val="center"/>
          </w:tcPr>
          <w:p>
            <w:pPr>
              <w:pStyle w:val="TableContents"/>
              <w:bidi w:val="0"/>
              <w:spacing w:before="0" w:after="283"/>
              <w:jc w:val="center"/>
              <w:rPr/>
            </w:pPr>
            <w:bookmarkStart w:id="38" w:name="xdx_90F_edei--AuditorFirmId_c20230101__2"/>
            <w:bookmarkEnd w:id="38"/>
            <w:r>
              <w:rPr/>
              <w:t>528</w:t>
            </w:r>
          </w:p>
        </w:tc>
        <w:tc>
          <w:tcPr>
            <w:tcW w:w="2030" w:type="dxa"/>
            <w:tcBorders/>
            <w:vAlign w:val="center"/>
          </w:tcPr>
          <w:p>
            <w:pPr>
              <w:pStyle w:val="TableContents"/>
              <w:bidi w:val="0"/>
              <w:spacing w:before="0" w:after="283"/>
              <w:jc w:val="center"/>
              <w:rPr/>
            </w:pPr>
            <w:bookmarkStart w:id="39" w:name="xdx_90C_edei--AuditorLocation_c20230101_"/>
            <w:bookmarkEnd w:id="39"/>
            <w:r>
              <w:rPr/>
              <w:t>Syracuse, New York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 w:name="xdx_902_edei--AmendmentDescription_c2023"/>
      <w:bookmarkEnd w:id="40"/>
      <w:r>
        <w:rPr>
          <w:rFonts w:ascii="Times New Roman;Times;Serif" w:hAnsi="Times New Roman;Times;Serif"/>
          <w:b w:val="false"/>
          <w:i w:val="false"/>
          <w:caps w:val="false"/>
          <w:smallCaps w:val="false"/>
          <w:sz w:val="20"/>
        </w:rPr>
        <w:t>On March 29, 2024, Genenta Science S.p.A. (the “Company”) filed its Annual Report on Form 20-F for the fiscal year ended December 31, 2023 (the “Original Filing”). This Amendment No. 1 (the “Amendment”) amends the Original Filing solely to file the consent of the Company’s independent registered public accounting firm, Dannible &amp; McKee, LLP (the “Auditor Consent”), which was inadvertently omitted in the Original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is being filed solely to file the Auditor Consent. No other changes were made to the Original Filing. Further, no attempt has been made in this Amendment to modify or update the other disclosures presented in the Original Filing. This Amendment does not reflect events occurring after the date of the Original Filing or modify or update those disclosures that may be affected by subsequent events. Accordingly, this Amendment should be read in conjunction with the Original Filing and the registrant’s other filings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required by Rule 12b-15 under the Securities Exchange Act of 1934, as amended (the “Exchange Act”), new certifications by the Company’s principal executive officer and principal financial officer are filed herewith as exhibits to this Amendment pursuant to Rule 13a-14(a) or 15d- 14(a) of the Exchange Act.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5"/>
        <w:gridCol w:w="60"/>
        <w:gridCol w:w="9270"/>
      </w:tblGrid>
      <w:tr>
        <w:trPr/>
        <w:tc>
          <w:tcPr>
            <w:tcW w:w="875"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w:anchor="ex12-1.htm">
              <w:r>
                <w:rPr>
                  <w:rStyle w:val="InternetLink"/>
                  <w:rFonts w:ascii="Times New Roman;Times;Serif" w:hAnsi="Times New Roman;Times;Serif"/>
                  <w:b w:val="false"/>
                  <w:i w:val="false"/>
                  <w:caps w:val="false"/>
                  <w:smallCaps w:val="false"/>
                  <w:sz w:val="20"/>
                </w:rPr>
                <w:t>Certification of the Chief Executive Officer (Principal Executive Officer) pursuant to Rule 13a-14(a) of the Securities Exchange Act, as amended</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w:anchor="ex12-2.htm">
              <w:r>
                <w:rPr>
                  <w:rStyle w:val="InternetLink"/>
                  <w:rFonts w:ascii="Times New Roman;Times;Serif" w:hAnsi="Times New Roman;Times;Serif"/>
                  <w:b w:val="false"/>
                  <w:i w:val="false"/>
                  <w:caps w:val="false"/>
                  <w:smallCaps w:val="false"/>
                  <w:sz w:val="20"/>
                </w:rPr>
                <w:t>Certification of the Chief Financial Officer (Principal Financial Officer) pursuant to Rule 13a-14(a) of the Securities Exchange Act, as amended</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w:anchor="ex13-1.htm">
              <w:r>
                <w:rPr>
                  <w:rStyle w:val="InternetLink"/>
                  <w:rFonts w:ascii="Times New Roman;Times;Serif" w:hAnsi="Times New Roman;Times;Serif"/>
                  <w:b w:val="false"/>
                  <w:i w:val="false"/>
                  <w:caps w:val="false"/>
                  <w:smallCaps w:val="false"/>
                  <w:sz w:val="20"/>
                </w:rPr>
                <w:t>Certification of the Chief Executive Officer and Chief Financial Officer pursuant to 18 U.S.C. 1350, as adopted pursuant to Section 906 of the Sarbanes-Oxley Act of 2002</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Dannible &amp; McKee. LLP</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3"/>
        <w:gridCol w:w="3959"/>
        <w:gridCol w:w="60"/>
        <w:gridCol w:w="538"/>
        <w:gridCol w:w="5095"/>
      </w:tblGrid>
      <w:tr>
        <w:trPr/>
        <w:tc>
          <w:tcPr>
            <w:tcW w:w="5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5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Richard B. Slansky</w:t>
            </w:r>
          </w:p>
        </w:tc>
      </w:tr>
      <w:tr>
        <w:trPr/>
        <w:tc>
          <w:tcPr>
            <w:tcW w:w="5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 Slansky</w:t>
            </w:r>
          </w:p>
        </w:tc>
      </w:tr>
      <w:tr>
        <w:trPr/>
        <w:tc>
          <w:tcPr>
            <w:tcW w:w="5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(Principal Executive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and Accounting Officer)</w:t>
            </w:r>
          </w:p>
        </w:tc>
      </w:tr>
      <w:tr>
        <w:trPr/>
        <w:tc>
          <w:tcPr>
            <w:tcW w:w="5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39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5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2024</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1" w:name="ex12-1.htm"/>
      <w:bookmarkStart w:id="42" w:name="ksex121"/>
      <w:bookmarkEnd w:id="41"/>
      <w:bookmarkEnd w:id="4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Executive Officer (Principal Executive Officer) pursuant to Rule 13a-14(a) of the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Pierluigi Paracchi, certify that:</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of Genenta Science S.p.A.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Company’s other certifying officer(s) and I have disclosed, based on our most recent evaluation of internal control over financial reporting, to the Company’s auditors and the board of statutory auditors, acting as the audit committee of the Company’s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 2024</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590"/>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3" w:name="ex12-2.htm"/>
      <w:bookmarkStart w:id="44" w:name="ksex122"/>
      <w:bookmarkEnd w:id="43"/>
      <w:bookmarkEnd w:id="4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Financial Officer (Principal Financial Officer) pursuant to Rule 13a-14(a) of the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Richard B. Slansky,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20-F of Genenta Science S.p.A.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Company’s other certifying officer(s) and I have disclosed, based on our most recent evaluation of internal control over financial reporting, to the Company’s auditors and the board of statutory auditors, acting as the audit committee of the Company’s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 2024</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545"/>
        <w:gridCol w:w="3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Richard B. Slansky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 Slansky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5" w:name="ex13-1.htm"/>
      <w:bookmarkStart w:id="46" w:name="ksex131"/>
      <w:bookmarkEnd w:id="45"/>
      <w:bookmarkEnd w:id="4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Executive Officer and Chief Financial Officer pursuant to 18 U.S.C. 1350, as adopted pursuant to 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U.S.C. Section 1350 of the Sarbanes-Oxley Act of 2002 (subsections (a) and (b) of Section 1350, Chapter 63 of Title 18, United States Code), as adopted pursuant to Section 906 of the Sarbanes-Oxley Act of 2002, each of the undersigned officers of Genenta Science S.p.A. (the “Company”), does hereby certify, to such officer’s knowledge,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Report on Form 20-F for the year ended December 31, 2023 of the Company (the “Annual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Annual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310" w:type="dxa"/>
        <w:jc w:val="left"/>
        <w:tblInd w:w="0" w:type="dxa"/>
        <w:tblLayout w:type="fixed"/>
        <w:tblCellMar>
          <w:top w:w="0" w:type="dxa"/>
          <w:left w:w="0" w:type="dxa"/>
          <w:bottom w:w="0" w:type="dxa"/>
          <w:right w:w="0" w:type="dxa"/>
        </w:tblCellMar>
      </w:tblPr>
      <w:tblGrid>
        <w:gridCol w:w="1115"/>
        <w:gridCol w:w="545"/>
        <w:gridCol w:w="3650"/>
      </w:tblGrid>
      <w:tr>
        <w:trPr/>
        <w:tc>
          <w:tcPr>
            <w:tcW w:w="1115" w:type="dxa"/>
            <w:tcBorders/>
            <w:vAlign w:val="center"/>
          </w:tcPr>
          <w:p>
            <w:pPr>
              <w:pStyle w:val="TableContents"/>
              <w:bidi w:val="0"/>
              <w:spacing w:before="0" w:after="283"/>
              <w:jc w:val="left"/>
              <w:rPr>
                <w:caps w:val="false"/>
                <w:smallCaps w:val="false"/>
              </w:rPr>
            </w:pPr>
            <w:r>
              <w:rPr>
                <w:caps w:val="false"/>
                <w:smallCaps w:val="false"/>
              </w:rPr>
              <w:t> </w:t>
            </w:r>
          </w:p>
        </w:tc>
        <w:tc>
          <w:tcPr>
            <w:tcW w:w="41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tc>
      </w:tr>
      <w:tr>
        <w:trPr/>
        <w:tc>
          <w:tcPr>
            <w:tcW w:w="1115" w:type="dxa"/>
            <w:tcBorders/>
            <w:vAlign w:val="center"/>
          </w:tcPr>
          <w:p>
            <w:pPr>
              <w:pStyle w:val="TableContents"/>
              <w:bidi w:val="0"/>
              <w:spacing w:before="0" w:after="283"/>
              <w:jc w:val="left"/>
              <w:rPr>
                <w:caps w:val="false"/>
                <w:smallCaps w:val="false"/>
              </w:rPr>
            </w:pPr>
            <w:r>
              <w:rPr>
                <w:caps w:val="false"/>
                <w:smallCaps w:val="false"/>
              </w:rPr>
              <w:t> </w:t>
            </w:r>
          </w:p>
        </w:tc>
        <w:tc>
          <w:tcPr>
            <w:tcW w:w="419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2024</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r>
      <w:tr>
        <w:trPr/>
        <w:tc>
          <w:tcPr>
            <w:tcW w:w="111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r>
      <w:tr>
        <w:trPr/>
        <w:tc>
          <w:tcPr>
            <w:tcW w:w="111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11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11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2024</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Richard B. Slansky</w:t>
            </w:r>
          </w:p>
        </w:tc>
      </w:tr>
      <w:tr>
        <w:trPr/>
        <w:tc>
          <w:tcPr>
            <w:tcW w:w="111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 Slansky</w:t>
            </w:r>
          </w:p>
        </w:tc>
      </w:tr>
      <w:tr>
        <w:trPr/>
        <w:tc>
          <w:tcPr>
            <w:tcW w:w="111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11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47" w:name="ex23-1.htm"/>
      <w:bookmarkStart w:id="48" w:name="ksex231"/>
      <w:bookmarkEnd w:id="47"/>
      <w:bookmarkEnd w:id="4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381750"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81750" cy="714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29, 2024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 on Form F-3 (No. 333-271901) of our report dated March 29, 2024, with respect to the consolidated financial statements of Genenta Science S.p.A included in this Form 20-F of Genenta Science S.p.A for the year ended December 31, 2023.</w:t>
      </w:r>
    </w:p>
    <w:p>
      <w:pPr>
        <w:pStyle w:val="TextBody"/>
        <w:bidi w:val="0"/>
        <w:spacing w:before="0" w:after="0"/>
        <w:ind w:left="0" w:right="0" w:hanging="0"/>
        <w:jc w:val="both"/>
        <w:rPr>
          <w:caps w:val="false"/>
          <w:smallCaps w:val="false"/>
        </w:rPr>
      </w:pPr>
      <w:r>
        <w:rPr>
          <w:caps w:val="false"/>
          <w:smallCaps w:val="false"/>
        </w:rPr>
        <w:t> </w:t>
      </w:r>
    </w:p>
    <w:tbl>
      <w:tblPr>
        <w:tblW w:w="2420" w:type="dxa"/>
        <w:jc w:val="left"/>
        <w:tblInd w:w="0" w:type="dxa"/>
        <w:tblLayout w:type="fixed"/>
        <w:tblCellMar>
          <w:top w:w="0" w:type="dxa"/>
          <w:left w:w="0" w:type="dxa"/>
          <w:bottom w:w="0" w:type="dxa"/>
          <w:right w:w="0" w:type="dxa"/>
        </w:tblCellMar>
      </w:tblPr>
      <w:tblGrid>
        <w:gridCol w:w="75"/>
        <w:gridCol w:w="60"/>
        <w:gridCol w:w="22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Dannible &amp; McKee, LLP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Dannible &amp; McKee, LLP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Syracuse, New York</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333750" cy="400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33750" cy="4000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2722</Words>
  <Characters>14966</Characters>
  <CharactersWithSpaces>17683</CharactersWithSpaces>
  <Paragraphs>416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