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354330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6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23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Report of Foreign Private Issuer</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Pursuant to Rule 13a-16 or 15d-16</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 the month of October 2025</w:t>
      </w:r>
    </w:p>
    <w:p>
      <w:pPr>
        <w:spacing w:after="0" w:line="2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Commission File Number: 001-41115</w:t>
      </w:r>
    </w:p>
    <w:p>
      <w:pPr>
        <w:spacing w:after="0" w:line="200"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32"/>
          <w:szCs w:val="32"/>
          <w:b w:val="1"/>
          <w:bCs w:val="1"/>
          <w:color w:val="auto"/>
        </w:rPr>
        <w:t>GENENTA SCIENCE S.P.A.</w:t>
      </w:r>
    </w:p>
    <w:p>
      <w:pPr>
        <w:spacing w:after="0" w:line="4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(Translation of Registrant’s Name into English)</w:t>
      </w:r>
    </w:p>
    <w:p>
      <w:pPr>
        <w:spacing w:after="0" w:line="20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Via Olgettina No. 58</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20132 Milan, Italy</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(Address of principal executive office)</w:t>
      </w: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of Form 20-F or Form 40-F:</w:t>
      </w:r>
    </w:p>
    <w:p>
      <w:pPr>
        <w:spacing w:after="0" w:line="184"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Form 40-F </w:t>
      </w:r>
      <w:r>
        <w:rPr>
          <w:rFonts w:ascii="MS PGothic" w:cs="MS PGothic" w:eastAsia="MS PGothic" w:hAnsi="MS PGothic"/>
          <w:sz w:val="18"/>
          <w:szCs w:val="18"/>
          <w:color w:val="auto"/>
        </w:rPr>
        <w:t>☐</w:t>
      </w:r>
    </w:p>
    <w:p>
      <w:pPr>
        <w:spacing w:after="0" w:line="225"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if the registrant is submitting the Form 6-K in paper as permitted by Regulation S-T Rule 101(b)(1): </w:t>
      </w:r>
      <w:r>
        <w:rPr>
          <w:rFonts w:ascii="MS PGothic" w:cs="MS PGothic" w:eastAsia="MS PGothic" w:hAnsi="MS PGothic"/>
          <w:sz w:val="18"/>
          <w:szCs w:val="18"/>
          <w:color w:val="auto"/>
        </w:rPr>
        <w:t>☐</w:t>
      </w:r>
    </w:p>
    <w:p>
      <w:pPr>
        <w:spacing w:after="0" w:line="225"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if the registrant is submitting the Form 6-K in paper as permitted by Regulation S-T Rule 101(b)(7): </w:t>
      </w:r>
      <w:r>
        <w:rPr>
          <w:rFonts w:ascii="MS PGothic" w:cs="MS PGothic" w:eastAsia="MS PGothic" w:hAnsi="MS PGothic"/>
          <w:sz w:val="18"/>
          <w:szCs w:val="18"/>
          <w:color w:val="auto"/>
        </w:rPr>
        <w:t>☐</w:t>
      </w:r>
    </w:p>
    <w:p>
      <w:pPr>
        <w:spacing w:after="0" w:line="26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This report on Form 6-K, including Exhibits 5.1 and 10.1, is incorporated by reference into the registrant’s registration statement on Form F-3 (File No.</w:t>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333-271901).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160020</wp:posOffset>
            </wp:positionV>
            <wp:extent cx="7132320" cy="431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485775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40"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u w:val="single" w:color="auto"/>
          <w:color w:val="auto"/>
        </w:rPr>
        <w:t>Registered Direct Offering</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On October 26, 2025, Genenta Science S.p.A. (“Genenta” or the “Company”) entered into a Securities Purchase Agreement (the “Purchase Agreement”) with certain institutional investors (each, an “Investor”) relating to the offer and sale of 4,285,715 American Depositary Shares (“ADSs”), at a purchase price of $3.50 per ADS, for gross proceeds of approximately $15.0 million, in a registered direct offering (the “Registered Offering”). Each ADS represents one (1) ordinary share, no par value per share (“Ordinary Share”) of the Company. The Registered Offering is expected to close on or about October 28, 2025, subject to customary closing conditions. The Purchase Agreement contains customary representations, warranties and covenants of the Company and each Investor, and customary indemnification provisions for a transaction of this type. The representations, warranties and covenants contained in the Purchase Agreement were made only for purposes of such agreement and as of specific dates, were solely for the benefit of the parties to such agreement and may be subject to limitations agreed upon by the contracting parties.</w:t>
      </w:r>
    </w:p>
    <w:p>
      <w:pPr>
        <w:spacing w:after="0" w:line="19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In addition, the Company agreed that for a period of ninety (90) days from the closing date of the Registered Offering, it will not, including but not limited to: (i) issue, enter into any agreement to issue or announce the issuance or proposed issuance of any ADSs, Ordinary Shares or equivalent securities; or (ii) file or caused to be filed any registration statement or amendment or supplement thereto, subject to certain limited exceptions. In addition, the Company agreed that it will not conduct any sales of ADSs, Ordinary Shares or equivalent securities involving a variable rate transaction (as defined in the Purchase Agreement) for a period of six (6) months from the closing date of the Registered Offering, subject to certain exceptions as described in the Purchase Agreement.</w:t>
      </w:r>
    </w:p>
    <w:p>
      <w:pPr>
        <w:spacing w:after="0" w:line="18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Company currently intends to use the net proceeds from the Registered Offering for working capital and general corporate purposes. The ADSs to be issued in the Registered Offering will be issued pursuant to a prospectus supplement to be filed with the U.S. Securities and Exchange Commission (the “SEC”) in connection with a takedown from the Company’s shelf registration statement on Form F-3 (File No. 333-271901) (the “Registration Statement”), which became effective on May 24, 2023.</w:t>
      </w:r>
    </w:p>
    <w:p>
      <w:pPr>
        <w:spacing w:after="0" w:line="18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Company also entered into a Placement Agency Agreement dated October 26, 2025 (the “Placement Agency Agreement”) with Maxim Group LLC and Rodman &amp; Renshaw LLC (together, the “Placement Agents”), pursuant to which Maxim Group LLC acted as the lead placement agent and Rodman &amp; Renshaw LLC acted as the co-placement agent for the Registered Offering. Pursuant to the terms and conditions set forth in the Placement Agency Agreement, the Company has agreed to pay the Placement Agents a cash fee in an amount equal to 6.0% of the aggregate gross proceeds of the Registered Offering. The Company also agreed to pay the Placement Agents an expense allowance of up to $75,000 for legal fees and other out-of-pocket expenses.</w:t>
      </w:r>
    </w:p>
    <w:p>
      <w:pPr>
        <w:spacing w:after="0" w:line="18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connection with the Registered Offering and pursuant to certain lock-up agreements that were required to be entered into as a condition to the closing of the Registered Offering, the Company’s officers and directors have agreed, for a period of ninety (90) days from the closing date of the Registered Offering, among other things, not to offer, sell, contract to sell, hypothecate, pledge or otherwise dispose of, or enter into any transaction which is designed to, or might reasonably be expected to, result in the disposition of any securities of the Company or otherwise publicly disclose the intention to do so, subject to certain exceptions.</w:t>
      </w:r>
    </w:p>
    <w:p>
      <w:pPr>
        <w:spacing w:after="0" w:line="18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foregoing description of the Purchase Agreement is not complete and qualified in its entirety by references to the full text of the Purchase Agreement, which is filed as Exhibit 10.1 to this Current Report on Form 6-K (this “Report”) and incorporated by reference herein.</w:t>
      </w:r>
    </w:p>
    <w:p>
      <w:pPr>
        <w:spacing w:after="0" w:line="162"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A copy of the legal opinion and consent of Lexia, Italian counsel to the Company, relating to the validity of the Ordinary Shares represented by the ADSs to be issued pursuant to the Purchase Agreement is filed as Exhibit 5.1 to this Report.</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On October 26, 2025, the Company issued a press release announcing the pricing of the Registered Offering. A copy of the press release is furnished as Exhibit 99.1 hereto and is incorporated herein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251460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i w:val="1"/>
          <w:iCs w:val="1"/>
          <w:color w:val="auto"/>
        </w:rPr>
        <w:t>Forward-Looking Statements</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This Report contains forward-looking statements that involve risks and uncertainties, such as statements related to the anticipated closing of the Registered Offering, the amount of proceeds expected from the Registered Offering and the anticipated use of proceeds from the Registered Offering. The risks and uncertainties involved include the Company’s ability to satisfy certain conditions to closing on a timely basis or at all, market conditions, and other risks detailed from time to time in the Company’s periodic reports and other filings with the SEC. You are cautioned not to place undue reliance on forward-looking statements, which are based on the Company’s current expectations and assumptions and speak only as of the date of this Report. The Company does not intend to revise or update any forward-looking statement in this Report as a result of new information, future events or otherwise, except as required by law.</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SUBMITTED HEREWITH</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Attached to this Report for the month of October 2025, and incorporated by reference herein, is: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9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Exhibit No.</w:t>
            </w:r>
          </w:p>
        </w:tc>
        <w:tc>
          <w:tcPr>
            <w:tcW w:w="120" w:type="dxa"/>
            <w:vAlign w:val="bottom"/>
          </w:tcPr>
          <w:p>
            <w:pPr>
              <w:spacing w:after="0"/>
              <w:rPr>
                <w:sz w:val="20"/>
                <w:szCs w:val="20"/>
                <w:color w:val="auto"/>
              </w:rPr>
            </w:pPr>
          </w:p>
        </w:tc>
        <w:tc>
          <w:tcPr>
            <w:tcW w:w="10140" w:type="dxa"/>
            <w:vAlign w:val="bottom"/>
            <w:tcBorders>
              <w:bottom w:val="single" w:sz="8" w:color="auto"/>
            </w:tcBorders>
            <w:gridSpan w:val="5"/>
          </w:tcPr>
          <w:p>
            <w:pPr>
              <w:spacing w:after="0"/>
              <w:rPr>
                <w:sz w:val="20"/>
                <w:szCs w:val="20"/>
                <w:color w:val="auto"/>
              </w:rPr>
            </w:pPr>
            <w:r>
              <w:rPr>
                <w:rFonts w:ascii="Times New Roman" w:cs="Times New Roman" w:eastAsia="Times New Roman" w:hAnsi="Times New Roman"/>
                <w:sz w:val="18"/>
                <w:szCs w:val="18"/>
                <w:color w:val="auto"/>
              </w:rPr>
              <w:t>Description</w:t>
            </w:r>
          </w:p>
        </w:tc>
      </w:tr>
      <w:tr>
        <w:trPr>
          <w:trHeight w:val="216"/>
        </w:trPr>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040" w:type="dxa"/>
            <w:vAlign w:val="bottom"/>
          </w:tcPr>
          <w:p>
            <w:pPr>
              <w:spacing w:after="0"/>
              <w:rPr>
                <w:sz w:val="18"/>
                <w:szCs w:val="18"/>
                <w:color w:val="auto"/>
              </w:rPr>
            </w:pPr>
          </w:p>
        </w:tc>
      </w:tr>
      <w:tr>
        <w:trPr>
          <w:trHeight w:val="176"/>
        </w:trPr>
        <w:tc>
          <w:tcPr>
            <w:tcW w:w="98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5.1</w:t>
            </w:r>
          </w:p>
        </w:tc>
        <w:tc>
          <w:tcPr>
            <w:tcW w:w="120" w:type="dxa"/>
            <w:vAlign w:val="bottom"/>
            <w:shd w:val="clear" w:color="auto" w:fill="CCEEFF"/>
          </w:tcPr>
          <w:p>
            <w:pPr>
              <w:spacing w:after="0"/>
              <w:rPr>
                <w:sz w:val="15"/>
                <w:szCs w:val="15"/>
                <w:color w:val="auto"/>
              </w:rPr>
            </w:pPr>
          </w:p>
        </w:tc>
        <w:tc>
          <w:tcPr>
            <w:tcW w:w="10140" w:type="dxa"/>
            <w:vAlign w:val="bottom"/>
            <w:gridSpan w:val="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Opinion of Lexia.</w:t>
            </w:r>
          </w:p>
        </w:tc>
      </w:tr>
      <w:tr>
        <w:trPr>
          <w:trHeight w:val="20"/>
        </w:trPr>
        <w:tc>
          <w:tcPr>
            <w:tcW w:w="9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80" w:type="dxa"/>
            <w:vAlign w:val="bottom"/>
            <w:tcBorders>
              <w:top w:val="single" w:sz="8" w:color="0000EE"/>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704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98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10.1*</w:t>
            </w:r>
          </w:p>
        </w:tc>
        <w:tc>
          <w:tcPr>
            <w:tcW w:w="120" w:type="dxa"/>
            <w:vAlign w:val="bottom"/>
          </w:tcPr>
          <w:p>
            <w:pPr>
              <w:spacing w:after="0"/>
              <w:rPr>
                <w:sz w:val="15"/>
                <w:szCs w:val="15"/>
                <w:color w:val="auto"/>
              </w:rPr>
            </w:pPr>
          </w:p>
        </w:tc>
        <w:tc>
          <w:tcPr>
            <w:tcW w:w="10140" w:type="dxa"/>
            <w:vAlign w:val="bottom"/>
            <w:tcBorders>
              <w:bottom w:val="single" w:sz="8" w:color="0000EE"/>
            </w:tcBorders>
            <w:gridSpan w:val="5"/>
          </w:tcPr>
          <w:p>
            <w:pPr>
              <w:spacing w:after="0" w:line="176" w:lineRule="exact"/>
              <w:rPr>
                <w:sz w:val="20"/>
                <w:szCs w:val="20"/>
                <w:color w:val="auto"/>
              </w:rPr>
            </w:pPr>
            <w:r>
              <w:rPr>
                <w:rFonts w:ascii="Times New Roman" w:cs="Times New Roman" w:eastAsia="Times New Roman" w:hAnsi="Times New Roman"/>
                <w:sz w:val="18"/>
                <w:szCs w:val="18"/>
                <w:color w:val="0000EE"/>
              </w:rPr>
              <w:t>Form of Securities Purchase Agreement, dated as of October 26, 2025, by and between Genenta Science S.p.A. and the investors identified</w:t>
            </w:r>
          </w:p>
        </w:tc>
      </w:tr>
      <w:tr>
        <w:trPr>
          <w:trHeight w:val="196"/>
        </w:trPr>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40" w:type="dxa"/>
            <w:vAlign w:val="bottom"/>
            <w:gridSpan w:val="5"/>
          </w:tcPr>
          <w:p>
            <w:pPr>
              <w:spacing w:after="0" w:line="196" w:lineRule="exact"/>
              <w:rPr>
                <w:sz w:val="20"/>
                <w:szCs w:val="20"/>
                <w:color w:val="auto"/>
              </w:rPr>
            </w:pPr>
            <w:r>
              <w:rPr>
                <w:rFonts w:ascii="Times New Roman" w:cs="Times New Roman" w:eastAsia="Times New Roman" w:hAnsi="Times New Roman"/>
                <w:sz w:val="18"/>
                <w:szCs w:val="18"/>
                <w:color w:val="0000EE"/>
              </w:rPr>
              <w:t>on the signature pages thereto.</w:t>
            </w:r>
          </w:p>
        </w:tc>
      </w:tr>
      <w:tr>
        <w:trPr>
          <w:trHeight w:val="21"/>
        </w:trPr>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Borders>
              <w:top w:val="single" w:sz="8" w:color="0000EE"/>
            </w:tcBorders>
          </w:tcPr>
          <w:p>
            <w:pPr>
              <w:spacing w:after="0" w:line="20" w:lineRule="exact"/>
              <w:rPr>
                <w:sz w:val="1"/>
                <w:szCs w:val="1"/>
                <w:color w:val="auto"/>
              </w:rPr>
            </w:pPr>
          </w:p>
        </w:tc>
        <w:tc>
          <w:tcPr>
            <w:tcW w:w="920" w:type="dxa"/>
            <w:vAlign w:val="bottom"/>
            <w:tcBorders>
              <w:top w:val="single" w:sz="8" w:color="0000EE"/>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040" w:type="dxa"/>
            <w:vAlign w:val="bottom"/>
          </w:tcPr>
          <w:p>
            <w:pPr>
              <w:spacing w:after="0" w:line="20" w:lineRule="exact"/>
              <w:rPr>
                <w:sz w:val="1"/>
                <w:szCs w:val="1"/>
                <w:color w:val="auto"/>
              </w:rPr>
            </w:pPr>
          </w:p>
        </w:tc>
      </w:tr>
      <w:tr>
        <w:trPr>
          <w:trHeight w:val="196"/>
        </w:trPr>
        <w:tc>
          <w:tcPr>
            <w:tcW w:w="98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23.1</w:t>
            </w:r>
          </w:p>
        </w:tc>
        <w:tc>
          <w:tcPr>
            <w:tcW w:w="120" w:type="dxa"/>
            <w:vAlign w:val="bottom"/>
            <w:tcBorders>
              <w:bottom w:val="single" w:sz="8" w:color="CCEEFF"/>
            </w:tcBorders>
            <w:shd w:val="clear" w:color="auto" w:fill="CCEEFF"/>
          </w:tcPr>
          <w:p>
            <w:pPr>
              <w:spacing w:after="0"/>
              <w:rPr>
                <w:sz w:val="17"/>
                <w:szCs w:val="17"/>
                <w:color w:val="auto"/>
              </w:rPr>
            </w:pPr>
          </w:p>
        </w:tc>
        <w:tc>
          <w:tcPr>
            <w:tcW w:w="3100" w:type="dxa"/>
            <w:vAlign w:val="bottom"/>
            <w:tcBorders>
              <w:bottom w:val="single" w:sz="8" w:color="0000EE"/>
            </w:tcBorders>
            <w:gridSpan w:val="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Consent of Lexia (included in Exhibit 5.1).</w:t>
            </w:r>
          </w:p>
        </w:tc>
        <w:tc>
          <w:tcPr>
            <w:tcW w:w="7040" w:type="dxa"/>
            <w:vAlign w:val="bottom"/>
            <w:tcBorders>
              <w:bottom w:val="single" w:sz="8" w:color="CCEEFF"/>
            </w:tcBorders>
            <w:shd w:val="clear" w:color="auto" w:fill="CCEEFF"/>
          </w:tcPr>
          <w:p>
            <w:pPr>
              <w:spacing w:after="0"/>
              <w:rPr>
                <w:sz w:val="17"/>
                <w:szCs w:val="17"/>
                <w:color w:val="auto"/>
              </w:rPr>
            </w:pPr>
          </w:p>
        </w:tc>
      </w:tr>
      <w:tr>
        <w:trPr>
          <w:trHeight w:val="175"/>
        </w:trPr>
        <w:tc>
          <w:tcPr>
            <w:tcW w:w="98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99.1</w:t>
            </w:r>
          </w:p>
        </w:tc>
        <w:tc>
          <w:tcPr>
            <w:tcW w:w="120" w:type="dxa"/>
            <w:vAlign w:val="bottom"/>
          </w:tcPr>
          <w:p>
            <w:pPr>
              <w:spacing w:after="0"/>
              <w:rPr>
                <w:sz w:val="15"/>
                <w:szCs w:val="15"/>
                <w:color w:val="auto"/>
              </w:rPr>
            </w:pPr>
          </w:p>
        </w:tc>
        <w:tc>
          <w:tcPr>
            <w:tcW w:w="10140" w:type="dxa"/>
            <w:vAlign w:val="bottom"/>
            <w:gridSpan w:val="5"/>
          </w:tcPr>
          <w:p>
            <w:pPr>
              <w:spacing w:after="0" w:line="176" w:lineRule="exact"/>
              <w:rPr>
                <w:sz w:val="20"/>
                <w:szCs w:val="20"/>
                <w:color w:val="auto"/>
              </w:rPr>
            </w:pPr>
            <w:r>
              <w:rPr>
                <w:rFonts w:ascii="Times New Roman" w:cs="Times New Roman" w:eastAsia="Times New Roman" w:hAnsi="Times New Roman"/>
                <w:sz w:val="18"/>
                <w:szCs w:val="18"/>
                <w:color w:val="0000EE"/>
              </w:rPr>
              <w:t>Press Release dated October 26, 2025.</w:t>
            </w:r>
          </w:p>
        </w:tc>
      </w:tr>
      <w:tr>
        <w:trPr>
          <w:trHeight w:val="20"/>
        </w:trPr>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040" w:type="dxa"/>
            <w:vAlign w:val="bottom"/>
          </w:tcPr>
          <w:p>
            <w:pPr>
              <w:spacing w:after="0" w:line="20" w:lineRule="exact"/>
              <w:rPr>
                <w:sz w:val="1"/>
                <w:szCs w:val="1"/>
                <w:color w:val="auto"/>
              </w:rPr>
            </w:pPr>
          </w:p>
        </w:tc>
      </w:tr>
    </w:tbl>
    <w:p>
      <w:pPr>
        <w:spacing w:after="0" w:line="225" w:lineRule="exact"/>
        <w:rPr>
          <w:sz w:val="20"/>
          <w:szCs w:val="20"/>
          <w:color w:val="auto"/>
        </w:rPr>
      </w:pPr>
    </w:p>
    <w:p>
      <w:pPr>
        <w:ind w:firstLine="8"/>
        <w:spacing w:after="0" w:line="282" w:lineRule="auto"/>
        <w:tabs>
          <w:tab w:leader="none" w:pos="164"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Non-material schedules and exhibits have been omitted pursuant to Item 601(a)(5) of Regulation S-K. The Company hereby undertakes to furnish supplemental copies of any of the omitted schedules and exhibits upon request by the SEC.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251460</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color w:val="auto"/>
        </w:rPr>
        <w:t>SIGNATURE</w:t>
      </w:r>
    </w:p>
    <w:p>
      <w:pPr>
        <w:spacing w:after="0" w:line="225"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660" w:type="dxa"/>
            <w:vAlign w:val="bottom"/>
          </w:tcPr>
          <w:p>
            <w:pPr>
              <w:spacing w:after="0"/>
              <w:rPr>
                <w:sz w:val="20"/>
                <w:szCs w:val="20"/>
                <w:color w:val="auto"/>
              </w:rPr>
            </w:pPr>
          </w:p>
        </w:tc>
        <w:tc>
          <w:tcPr>
            <w:tcW w:w="7580" w:type="dxa"/>
            <w:vAlign w:val="bottom"/>
            <w:gridSpan w:val="2"/>
          </w:tcPr>
          <w:p>
            <w:pPr>
              <w:ind w:left="1980"/>
              <w:spacing w:after="0"/>
              <w:rPr>
                <w:sz w:val="20"/>
                <w:szCs w:val="20"/>
                <w:color w:val="auto"/>
              </w:rPr>
            </w:pPr>
            <w:r>
              <w:rPr>
                <w:rFonts w:ascii="Times New Roman" w:cs="Times New Roman" w:eastAsia="Times New Roman" w:hAnsi="Times New Roman"/>
                <w:sz w:val="18"/>
                <w:szCs w:val="18"/>
                <w:b w:val="1"/>
                <w:bCs w:val="1"/>
                <w:color w:val="auto"/>
              </w:rPr>
              <w:t>GENENTA SCIENCE S.P.A.</w:t>
            </w:r>
          </w:p>
        </w:tc>
      </w:tr>
      <w:tr>
        <w:trPr>
          <w:trHeight w:val="432"/>
        </w:trPr>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Date: October 28, 2025</w:t>
            </w:r>
          </w:p>
        </w:tc>
        <w:tc>
          <w:tcPr>
            <w:tcW w:w="7580" w:type="dxa"/>
            <w:vAlign w:val="bottom"/>
            <w:gridSpan w:val="2"/>
          </w:tcPr>
          <w:p>
            <w:pPr>
              <w:ind w:left="198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 Pierluigi Paracchi</w:t>
            </w:r>
          </w:p>
        </w:tc>
      </w:tr>
      <w:tr>
        <w:trPr>
          <w:trHeight w:val="228"/>
        </w:trPr>
        <w:tc>
          <w:tcPr>
            <w:tcW w:w="3660" w:type="dxa"/>
            <w:vAlign w:val="bottom"/>
          </w:tcPr>
          <w:p>
            <w:pPr>
              <w:spacing w:after="0"/>
              <w:rPr>
                <w:sz w:val="19"/>
                <w:szCs w:val="19"/>
                <w:color w:val="auto"/>
              </w:rPr>
            </w:pPr>
          </w:p>
        </w:tc>
        <w:tc>
          <w:tcPr>
            <w:tcW w:w="2300" w:type="dxa"/>
            <w:vAlign w:val="bottom"/>
          </w:tcPr>
          <w:p>
            <w:pPr>
              <w:spacing w:after="0"/>
              <w:rPr>
                <w:sz w:val="19"/>
                <w:szCs w:val="19"/>
                <w:color w:val="auto"/>
              </w:rPr>
            </w:pPr>
          </w:p>
        </w:tc>
        <w:tc>
          <w:tcPr>
            <w:tcW w:w="52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Pierluigi Paracchi, Chief Executive Officer</w:t>
            </w:r>
          </w:p>
        </w:tc>
      </w:tr>
      <w:tr>
        <w:trPr>
          <w:trHeight w:val="414"/>
        </w:trPr>
        <w:tc>
          <w:tcPr>
            <w:tcW w:w="3660" w:type="dxa"/>
            <w:vAlign w:val="bottom"/>
            <w:tcBorders>
              <w:bottom w:val="single" w:sz="8" w:color="auto"/>
            </w:tcBorders>
          </w:tcPr>
          <w:p>
            <w:pPr>
              <w:spacing w:after="0"/>
              <w:rPr>
                <w:sz w:val="24"/>
                <w:szCs w:val="24"/>
                <w:color w:val="auto"/>
              </w:rPr>
            </w:pPr>
          </w:p>
        </w:tc>
        <w:tc>
          <w:tcPr>
            <w:tcW w:w="2300" w:type="dxa"/>
            <w:vAlign w:val="bottom"/>
            <w:tcBorders>
              <w:bottom w:val="single" w:sz="8" w:color="auto"/>
            </w:tcBorders>
          </w:tcPr>
          <w:p>
            <w:pPr>
              <w:spacing w:after="0"/>
              <w:rPr>
                <w:sz w:val="24"/>
                <w:szCs w:val="24"/>
                <w:color w:val="auto"/>
              </w:rPr>
            </w:pPr>
          </w:p>
        </w:tc>
        <w:tc>
          <w:tcPr>
            <w:tcW w:w="52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8" w:right="33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8"/>
          <w:szCs w:val="18"/>
          <w:b w:val="1"/>
          <w:bCs w:val="1"/>
          <w:color w:val="auto"/>
        </w:rPr>
        <w:t>Exhibit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294005</wp:posOffset>
            </wp:positionV>
            <wp:extent cx="1054100" cy="5397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054100" cy="539750"/>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156845</wp:posOffset>
            </wp:positionV>
            <wp:extent cx="1080135" cy="90043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080135" cy="9004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October 27, 2025</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Genenta Science S.p.A.</w:t>
      </w:r>
    </w:p>
    <w:p>
      <w:pPr>
        <w:spacing w:after="0" w:line="22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Via Olgettina, 58</w:t>
      </w:r>
    </w:p>
    <w:p>
      <w:pPr>
        <w:spacing w:after="0" w:line="22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20132 - Milan</w:t>
      </w:r>
    </w:p>
    <w:p>
      <w:pPr>
        <w:spacing w:after="0" w:line="22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21"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RE:</w:t>
      </w:r>
      <w:r>
        <w:rPr>
          <w:sz w:val="20"/>
          <w:szCs w:val="20"/>
          <w:color w:val="auto"/>
        </w:rPr>
        <w:tab/>
      </w:r>
      <w:r>
        <w:rPr>
          <w:rFonts w:ascii="Times New Roman" w:cs="Times New Roman" w:eastAsia="Times New Roman" w:hAnsi="Times New Roman"/>
          <w:sz w:val="18"/>
          <w:szCs w:val="18"/>
          <w:b w:val="1"/>
          <w:bCs w:val="1"/>
          <w:color w:val="auto"/>
        </w:rPr>
        <w:t>Genenta Science S.p.A. –Registration Statement on Form F-3</w:t>
      </w:r>
    </w:p>
    <w:p>
      <w:pPr>
        <w:spacing w:after="0" w:line="225" w:lineRule="exact"/>
        <w:rPr>
          <w:sz w:val="20"/>
          <w:szCs w:val="20"/>
          <w:color w:val="auto"/>
        </w:rPr>
      </w:pPr>
    </w:p>
    <w:p>
      <w:pPr>
        <w:ind w:left="660" w:hanging="652"/>
        <w:spacing w:after="0"/>
        <w:tabs>
          <w:tab w:leader="none" w:pos="660"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Introduction</w:t>
      </w:r>
    </w:p>
    <w:p>
      <w:pPr>
        <w:spacing w:after="0" w:line="229" w:lineRule="exact"/>
        <w:rPr>
          <w:rFonts w:ascii="Times New Roman" w:cs="Times New Roman" w:eastAsia="Times New Roman" w:hAnsi="Times New Roman"/>
          <w:sz w:val="18"/>
          <w:szCs w:val="18"/>
          <w:b w:val="1"/>
          <w:bCs w:val="1"/>
          <w:color w:val="auto"/>
        </w:rPr>
      </w:pPr>
    </w:p>
    <w:p>
      <w:pPr>
        <w:jc w:val="both"/>
        <w:ind w:left="660"/>
        <w:spacing w:after="0" w:line="253"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We have acted as Italian legal advisers to Genenta Science S.p.A., a joint stock company incorporated under Italian law with its registered office at Via Olgettina 58, 20132, Milan, Italy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on certain legal matters of Italian law in connection with the Company’s registration statement on Form F-3 (the “</w:t>
      </w:r>
      <w:r>
        <w:rPr>
          <w:rFonts w:ascii="Times New Roman" w:cs="Times New Roman" w:eastAsia="Times New Roman" w:hAnsi="Times New Roman"/>
          <w:sz w:val="18"/>
          <w:szCs w:val="18"/>
          <w:b w:val="1"/>
          <w:bCs w:val="1"/>
          <w:color w:val="auto"/>
        </w:rPr>
        <w:t>Registration Statement</w:t>
      </w:r>
      <w:r>
        <w:rPr>
          <w:rFonts w:ascii="Times New Roman" w:cs="Times New Roman" w:eastAsia="Times New Roman" w:hAnsi="Times New Roman"/>
          <w:sz w:val="18"/>
          <w:szCs w:val="18"/>
          <w:color w:val="auto"/>
        </w:rPr>
        <w:t>”) filed with the United States Securities and Exchange Commission (“</w:t>
      </w:r>
      <w:r>
        <w:rPr>
          <w:rFonts w:ascii="Times New Roman" w:cs="Times New Roman" w:eastAsia="Times New Roman" w:hAnsi="Times New Roman"/>
          <w:sz w:val="18"/>
          <w:szCs w:val="18"/>
          <w:b w:val="1"/>
          <w:bCs w:val="1"/>
          <w:color w:val="auto"/>
        </w:rPr>
        <w:t>SEC</w:t>
      </w:r>
      <w:r>
        <w:rPr>
          <w:rFonts w:ascii="Times New Roman" w:cs="Times New Roman" w:eastAsia="Times New Roman" w:hAnsi="Times New Roman"/>
          <w:sz w:val="18"/>
          <w:szCs w:val="18"/>
          <w:color w:val="auto"/>
        </w:rPr>
        <w:t>”) on May 12, 2023 and declared effective on May 22, 2023 under the United States Securities Act of 1933, as amended (the “</w:t>
      </w:r>
      <w:r>
        <w:rPr>
          <w:rFonts w:ascii="Times New Roman" w:cs="Times New Roman" w:eastAsia="Times New Roman" w:hAnsi="Times New Roman"/>
          <w:sz w:val="18"/>
          <w:szCs w:val="18"/>
          <w:b w:val="1"/>
          <w:bCs w:val="1"/>
          <w:color w:val="auto"/>
        </w:rPr>
        <w:t>Securities Act of 1933</w:t>
      </w:r>
      <w:r>
        <w:rPr>
          <w:rFonts w:ascii="Times New Roman" w:cs="Times New Roman" w:eastAsia="Times New Roman" w:hAnsi="Times New Roman"/>
          <w:sz w:val="18"/>
          <w:szCs w:val="18"/>
          <w:color w:val="auto"/>
        </w:rPr>
        <w:t>”), the base prospectus contained within the Registration Statement (the “</w:t>
      </w:r>
      <w:r>
        <w:rPr>
          <w:rFonts w:ascii="Times New Roman" w:cs="Times New Roman" w:eastAsia="Times New Roman" w:hAnsi="Times New Roman"/>
          <w:sz w:val="18"/>
          <w:szCs w:val="18"/>
          <w:b w:val="1"/>
          <w:bCs w:val="1"/>
          <w:color w:val="auto"/>
        </w:rPr>
        <w:t>Base Prospectus</w:t>
      </w:r>
      <w:r>
        <w:rPr>
          <w:rFonts w:ascii="Times New Roman" w:cs="Times New Roman" w:eastAsia="Times New Roman" w:hAnsi="Times New Roman"/>
          <w:sz w:val="18"/>
          <w:szCs w:val="18"/>
          <w:color w:val="auto"/>
        </w:rPr>
        <w:t>”), the prospectus supplement to the Base Prospectus to be filed with the SEC pursuant to Rule 424(b) of the Securities Act of 1933 (the “</w:t>
      </w:r>
      <w:r>
        <w:rPr>
          <w:rFonts w:ascii="Times New Roman" w:cs="Times New Roman" w:eastAsia="Times New Roman" w:hAnsi="Times New Roman"/>
          <w:sz w:val="18"/>
          <w:szCs w:val="18"/>
          <w:b w:val="1"/>
          <w:bCs w:val="1"/>
          <w:color w:val="auto"/>
        </w:rPr>
        <w:t>Prospectus Supplement</w:t>
      </w:r>
      <w:r>
        <w:rPr>
          <w:rFonts w:ascii="Times New Roman" w:cs="Times New Roman" w:eastAsia="Times New Roman" w:hAnsi="Times New Roman"/>
          <w:sz w:val="18"/>
          <w:szCs w:val="18"/>
          <w:color w:val="auto"/>
        </w:rPr>
        <w:t>” and, together with the Base Prospectus, the “</w:t>
      </w:r>
      <w:r>
        <w:rPr>
          <w:rFonts w:ascii="Times New Roman" w:cs="Times New Roman" w:eastAsia="Times New Roman" w:hAnsi="Times New Roman"/>
          <w:sz w:val="18"/>
          <w:szCs w:val="18"/>
          <w:b w:val="1"/>
          <w:bCs w:val="1"/>
          <w:color w:val="auto"/>
        </w:rPr>
        <w:t>Prospectus</w:t>
      </w:r>
      <w:r>
        <w:rPr>
          <w:rFonts w:ascii="Times New Roman" w:cs="Times New Roman" w:eastAsia="Times New Roman" w:hAnsi="Times New Roman"/>
          <w:sz w:val="18"/>
          <w:szCs w:val="18"/>
          <w:color w:val="auto"/>
        </w:rPr>
        <w:t>”) relating to the offer and sale by the Company through Maxim Group LLC and Rodman &amp; Renshaw LLC, as the placement agents, of 4,285,715 American Depositary Shares (“</w:t>
      </w:r>
      <w:r>
        <w:rPr>
          <w:rFonts w:ascii="Times New Roman" w:cs="Times New Roman" w:eastAsia="Times New Roman" w:hAnsi="Times New Roman"/>
          <w:sz w:val="18"/>
          <w:szCs w:val="18"/>
          <w:b w:val="1"/>
          <w:bCs w:val="1"/>
          <w:color w:val="auto"/>
        </w:rPr>
        <w:t>ADSs</w:t>
      </w:r>
      <w:r>
        <w:rPr>
          <w:rFonts w:ascii="Times New Roman" w:cs="Times New Roman" w:eastAsia="Times New Roman" w:hAnsi="Times New Roman"/>
          <w:sz w:val="18"/>
          <w:szCs w:val="18"/>
          <w:color w:val="auto"/>
        </w:rPr>
        <w:t>”), each representing one (1) new ordinary shares without par value of the Company (the “</w:t>
      </w:r>
      <w:r>
        <w:rPr>
          <w:rFonts w:ascii="Times New Roman" w:cs="Times New Roman" w:eastAsia="Times New Roman" w:hAnsi="Times New Roman"/>
          <w:sz w:val="18"/>
          <w:szCs w:val="18"/>
          <w:b w:val="1"/>
          <w:bCs w:val="1"/>
          <w:color w:val="auto"/>
        </w:rPr>
        <w:t>Placement Shares</w:t>
      </w:r>
      <w:r>
        <w:rPr>
          <w:rFonts w:ascii="Times New Roman" w:cs="Times New Roman" w:eastAsia="Times New Roman" w:hAnsi="Times New Roman"/>
          <w:sz w:val="18"/>
          <w:szCs w:val="18"/>
          <w:color w:val="auto"/>
        </w:rPr>
        <w:t>”), having an aggregate offering price of USD 15,000,002.50 pursuant to that certain Securities Purchase Agreement, dated as of October 26, 2025, by and among the Company and the purchasers Alyeska Master Fund LP, Brookdale Global Opportunity Fund, Brookdale International Partners LP, Citadel Multi-Strategy Equities Master Fund Ltd., Ghisallo Master Fund LP (the “</w:t>
      </w:r>
      <w:r>
        <w:rPr>
          <w:rFonts w:ascii="Times New Roman" w:cs="Times New Roman" w:eastAsia="Times New Roman" w:hAnsi="Times New Roman"/>
          <w:sz w:val="18"/>
          <w:szCs w:val="18"/>
          <w:b w:val="1"/>
          <w:bCs w:val="1"/>
          <w:color w:val="auto"/>
        </w:rPr>
        <w:t>Purchasers</w:t>
      </w:r>
      <w:r>
        <w:rPr>
          <w:rFonts w:ascii="Times New Roman" w:cs="Times New Roman" w:eastAsia="Times New Roman" w:hAnsi="Times New Roman"/>
          <w:sz w:val="18"/>
          <w:szCs w:val="18"/>
          <w:color w:val="auto"/>
        </w:rPr>
        <w:t>” and the “</w:t>
      </w:r>
      <w:r>
        <w:rPr>
          <w:rFonts w:ascii="Times New Roman" w:cs="Times New Roman" w:eastAsia="Times New Roman" w:hAnsi="Times New Roman"/>
          <w:sz w:val="18"/>
          <w:szCs w:val="18"/>
          <w:b w:val="1"/>
          <w:bCs w:val="1"/>
          <w:color w:val="auto"/>
        </w:rPr>
        <w:t>Securities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Purchase Agreement</w:t>
      </w:r>
      <w:r>
        <w:rPr>
          <w:rFonts w:ascii="Times New Roman" w:cs="Times New Roman" w:eastAsia="Times New Roman" w:hAnsi="Times New Roman"/>
          <w:sz w:val="18"/>
          <w:szCs w:val="18"/>
          <w:color w:val="auto"/>
        </w:rPr>
        <w:t>”).</w:t>
      </w:r>
    </w:p>
    <w:p>
      <w:pPr>
        <w:spacing w:after="0" w:line="186" w:lineRule="exact"/>
        <w:rPr>
          <w:sz w:val="20"/>
          <w:szCs w:val="20"/>
          <w:color w:val="auto"/>
        </w:rPr>
      </w:pPr>
    </w:p>
    <w:p>
      <w:pPr>
        <w:jc w:val="both"/>
        <w:ind w:left="660" w:hanging="647"/>
        <w:spacing w:after="0" w:line="286" w:lineRule="auto"/>
        <w:tabs>
          <w:tab w:leader="none" w:pos="640" w:val="left"/>
        </w:tabs>
        <w:rPr>
          <w:sz w:val="20"/>
          <w:szCs w:val="20"/>
          <w:color w:val="auto"/>
        </w:rPr>
      </w:pPr>
      <w:r>
        <w:rPr>
          <w:rFonts w:ascii="Times New Roman" w:cs="Times New Roman" w:eastAsia="Times New Roman" w:hAnsi="Times New Roman"/>
          <w:sz w:val="18"/>
          <w:szCs w:val="18"/>
          <w:color w:val="auto"/>
        </w:rPr>
        <w:t>1.1.</w:t>
      </w:r>
      <w:r>
        <w:rPr>
          <w:sz w:val="20"/>
          <w:szCs w:val="20"/>
          <w:color w:val="auto"/>
        </w:rPr>
        <w:tab/>
      </w:r>
      <w:r>
        <w:rPr>
          <w:rFonts w:ascii="Times New Roman" w:cs="Times New Roman" w:eastAsia="Times New Roman" w:hAnsi="Times New Roman"/>
          <w:sz w:val="18"/>
          <w:szCs w:val="18"/>
          <w:color w:val="auto"/>
        </w:rPr>
        <w:t>For the purpose of giving the opinion set forth below, we have examined copies of documents (the “</w:t>
      </w:r>
      <w:r>
        <w:rPr>
          <w:rFonts w:ascii="Times New Roman" w:cs="Times New Roman" w:eastAsia="Times New Roman" w:hAnsi="Times New Roman"/>
          <w:sz w:val="18"/>
          <w:szCs w:val="18"/>
          <w:b w:val="1"/>
          <w:bCs w:val="1"/>
          <w:color w:val="auto"/>
        </w:rPr>
        <w:t>Documents</w:t>
      </w:r>
      <w:r>
        <w:rPr>
          <w:rFonts w:ascii="Times New Roman" w:cs="Times New Roman" w:eastAsia="Times New Roman" w:hAnsi="Times New Roman"/>
          <w:sz w:val="18"/>
          <w:szCs w:val="18"/>
          <w:color w:val="auto"/>
        </w:rPr>
        <w:t>”) set out in the schedule A attached hereto (the “</w:t>
      </w:r>
      <w:r>
        <w:rPr>
          <w:rFonts w:ascii="Times New Roman" w:cs="Times New Roman" w:eastAsia="Times New Roman" w:hAnsi="Times New Roman"/>
          <w:sz w:val="18"/>
          <w:szCs w:val="18"/>
          <w:b w:val="1"/>
          <w:bCs w:val="1"/>
          <w:color w:val="auto"/>
        </w:rPr>
        <w:t>Schedule A</w:t>
      </w:r>
      <w:r>
        <w:rPr>
          <w:rFonts w:ascii="Times New Roman" w:cs="Times New Roman" w:eastAsia="Times New Roman" w:hAnsi="Times New Roman"/>
          <w:sz w:val="18"/>
          <w:szCs w:val="18"/>
          <w:color w:val="auto"/>
        </w:rPr>
        <w:t>”).</w:t>
      </w:r>
    </w:p>
    <w:p>
      <w:pPr>
        <w:spacing w:after="0" w:line="159" w:lineRule="exact"/>
        <w:rPr>
          <w:sz w:val="20"/>
          <w:szCs w:val="20"/>
          <w:color w:val="auto"/>
        </w:rPr>
      </w:pPr>
    </w:p>
    <w:p>
      <w:pPr>
        <w:jc w:val="both"/>
        <w:ind w:left="660" w:hanging="647"/>
        <w:spacing w:after="0" w:line="261" w:lineRule="auto"/>
        <w:tabs>
          <w:tab w:leader="none" w:pos="640" w:val="left"/>
        </w:tabs>
        <w:rPr>
          <w:sz w:val="20"/>
          <w:szCs w:val="20"/>
          <w:color w:val="auto"/>
        </w:rPr>
      </w:pPr>
      <w:r>
        <w:rPr>
          <w:rFonts w:ascii="Times New Roman" w:cs="Times New Roman" w:eastAsia="Times New Roman" w:hAnsi="Times New Roman"/>
          <w:sz w:val="18"/>
          <w:szCs w:val="18"/>
          <w:color w:val="auto"/>
        </w:rPr>
        <w:t>1.2.</w:t>
      </w:r>
      <w:r>
        <w:rPr>
          <w:sz w:val="20"/>
          <w:szCs w:val="20"/>
          <w:color w:val="auto"/>
        </w:rPr>
        <w:tab/>
      </w:r>
      <w:r>
        <w:rPr>
          <w:rFonts w:ascii="Times New Roman" w:cs="Times New Roman" w:eastAsia="Times New Roman" w:hAnsi="Times New Roman"/>
          <w:sz w:val="18"/>
          <w:szCs w:val="18"/>
          <w:color w:val="auto"/>
        </w:rPr>
        <w:t>We have made no searches or enquiries concerning the Company or any other person or entity, and we have examined no corporate records of the foresaid, save for those searches, enquiries, instruments, documents, or corporate records expressly specified as being made or examined in this opinion. Subject to the foregoing, we have reviewed exclusively those provisions of the law of the Republic of Italy that we have considered appropriate for the purpose of this opinion.</w:t>
      </w:r>
    </w:p>
    <w:p>
      <w:pPr>
        <w:spacing w:after="0" w:line="180" w:lineRule="exact"/>
        <w:rPr>
          <w:sz w:val="20"/>
          <w:szCs w:val="20"/>
          <w:color w:val="auto"/>
        </w:rPr>
      </w:pPr>
    </w:p>
    <w:p>
      <w:pPr>
        <w:jc w:val="both"/>
        <w:ind w:left="660" w:hanging="647"/>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1.3.</w:t>
      </w:r>
      <w:r>
        <w:rPr>
          <w:sz w:val="20"/>
          <w:szCs w:val="20"/>
          <w:color w:val="auto"/>
        </w:rPr>
        <w:tab/>
      </w:r>
      <w:r>
        <w:rPr>
          <w:rFonts w:ascii="Times New Roman" w:cs="Times New Roman" w:eastAsia="Times New Roman" w:hAnsi="Times New Roman"/>
          <w:sz w:val="18"/>
          <w:szCs w:val="18"/>
          <w:color w:val="auto"/>
        </w:rPr>
        <w:t>This letter, the opinions given in it, and any non-contractual obligations arising out of or in connection with this letter and/or the opinions given in it, are governed by, and to be construed in accordance with, Italian law and relate only to Italian law as applied by the Italian courts, including the laws of the European Union to the extent having the force of law in Italy, as at today’s date.</w:t>
      </w:r>
    </w:p>
    <w:p>
      <w:pPr>
        <w:spacing w:after="0" w:line="176" w:lineRule="exact"/>
        <w:rPr>
          <w:sz w:val="20"/>
          <w:szCs w:val="20"/>
          <w:color w:val="auto"/>
        </w:rPr>
      </w:pPr>
    </w:p>
    <w:p>
      <w:pPr>
        <w:jc w:val="both"/>
        <w:ind w:left="660" w:hanging="647"/>
        <w:spacing w:after="0" w:line="261" w:lineRule="auto"/>
        <w:tabs>
          <w:tab w:leader="none" w:pos="640" w:val="left"/>
        </w:tabs>
        <w:rPr>
          <w:sz w:val="20"/>
          <w:szCs w:val="20"/>
          <w:color w:val="auto"/>
        </w:rPr>
      </w:pPr>
      <w:r>
        <w:rPr>
          <w:rFonts w:ascii="Times New Roman" w:cs="Times New Roman" w:eastAsia="Times New Roman" w:hAnsi="Times New Roman"/>
          <w:sz w:val="18"/>
          <w:szCs w:val="18"/>
          <w:color w:val="auto"/>
        </w:rPr>
        <w:t>1.4.</w:t>
      </w:r>
      <w:r>
        <w:rPr>
          <w:sz w:val="20"/>
          <w:szCs w:val="20"/>
          <w:color w:val="auto"/>
        </w:rPr>
        <w:tab/>
      </w:r>
      <w:r>
        <w:rPr>
          <w:rFonts w:ascii="Times New Roman" w:cs="Times New Roman" w:eastAsia="Times New Roman" w:hAnsi="Times New Roman"/>
          <w:sz w:val="18"/>
          <w:szCs w:val="18"/>
          <w:color w:val="auto"/>
        </w:rPr>
        <w:t>In this legal opinion, Italian legal concepts are expressed in English terms and not in their original Italian language. The concepts concerned may not be identical to the concepts described by the same English terms as they exist under the laws of other jurisdictions. This legal opinion may, therefore, only be relied upon under the express condition that any issues of interpretation or liability arising hereunder will be governed by Italian law and that any dispute arising out of or in connection with this legal opinion shall be subject to the exclusive jurisdiction of the Court of Milan.</w:t>
      </w:r>
    </w:p>
    <w:p>
      <w:pPr>
        <w:spacing w:after="0" w:line="176" w:lineRule="exact"/>
        <w:rPr>
          <w:sz w:val="20"/>
          <w:szCs w:val="20"/>
          <w:color w:val="auto"/>
        </w:rPr>
      </w:pPr>
    </w:p>
    <w:p>
      <w:pPr>
        <w:ind w:left="660" w:hanging="652"/>
        <w:spacing w:after="0"/>
        <w:tabs>
          <w:tab w:leader="none" w:pos="66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Assumptions</w:t>
      </w:r>
    </w:p>
    <w:p>
      <w:pPr>
        <w:spacing w:after="0" w:line="229"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2.1.</w:t>
      </w:r>
      <w:r>
        <w:rPr>
          <w:sz w:val="20"/>
          <w:szCs w:val="20"/>
          <w:color w:val="auto"/>
        </w:rPr>
        <w:tab/>
      </w:r>
      <w:r>
        <w:rPr>
          <w:rFonts w:ascii="Times New Roman" w:cs="Times New Roman" w:eastAsia="Times New Roman" w:hAnsi="Times New Roman"/>
          <w:sz w:val="17"/>
          <w:szCs w:val="17"/>
          <w:color w:val="auto"/>
        </w:rPr>
        <w:t>In giving this opinion, we have assumed that:</w:t>
      </w:r>
    </w:p>
    <w:p>
      <w:pPr>
        <w:spacing w:after="0" w:line="225" w:lineRule="exact"/>
        <w:rPr>
          <w:sz w:val="20"/>
          <w:szCs w:val="20"/>
          <w:color w:val="auto"/>
        </w:rPr>
      </w:pPr>
    </w:p>
    <w:p>
      <w:pPr>
        <w:ind w:left="1300" w:hanging="647"/>
        <w:spacing w:after="0" w:line="282" w:lineRule="auto"/>
        <w:tabs>
          <w:tab w:leader="none" w:pos="1280" w:val="left"/>
        </w:tabs>
        <w:rPr>
          <w:sz w:val="20"/>
          <w:szCs w:val="20"/>
          <w:color w:val="auto"/>
        </w:rPr>
      </w:pPr>
      <w:r>
        <w:rPr>
          <w:rFonts w:ascii="Times New Roman" w:cs="Times New Roman" w:eastAsia="Times New Roman" w:hAnsi="Times New Roman"/>
          <w:sz w:val="18"/>
          <w:szCs w:val="18"/>
          <w:color w:val="auto"/>
        </w:rPr>
        <w:t>2.1.1.</w:t>
        <w:tab/>
        <w:t>all Documents submitted to us as copy or specimen documents are conformed to their originals, and the originals are genuine, updated and complete;</w:t>
      </w:r>
    </w:p>
    <w:p>
      <w:pPr>
        <w:spacing w:after="0" w:line="16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5" w:name="page6"/>
    <w:bookmarkEnd w:id="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3508375</wp:posOffset>
            </wp:positionH>
            <wp:positionV relativeFrom="page">
              <wp:posOffset>448945</wp:posOffset>
            </wp:positionV>
            <wp:extent cx="539750" cy="677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clrChange>
                        <a:clrFrom>
                          <a:srgbClr val="FFFFFF"/>
                        </a:clrFrom>
                        <a:clrTo>
                          <a:srgbClr val="FFFFFF">
                            <a:alpha val="0"/>
                          </a:srgbClr>
                        </a:clrTo>
                      </a:clrChange>
                      <a:extLst>
                        <a:ext uri="{28A0092B-C50C-407E-A947-70E740481C1C}"/>
                      </a:extLst>
                    </a:blip>
                    <a:srcRect/>
                    <a:stretch>
                      <a:fillRect/>
                    </a:stretch>
                  </pic:blipFill>
                  <pic:spPr bwMode="auto">
                    <a:xfrm>
                      <a:off x="0" y="0"/>
                      <a:ext cx="539750" cy="677545"/>
                    </a:xfrm>
                    <a:prstGeom prst="rect">
                      <a:avLst/>
                    </a:prstGeom>
                    <a:noFill/>
                  </pic:spPr>
                </pic:pic>
              </a:graphicData>
            </a:graphic>
          </wp:anchor>
        </w:drawing>
      </w:r>
    </w:p>
    <w:p>
      <w:pPr>
        <w:spacing w:after="0" w:line="331"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color w:val="auto"/>
        </w:rPr>
        <w:t>2.1.2.</w:t>
      </w:r>
      <w:r>
        <w:rPr>
          <w:sz w:val="20"/>
          <w:szCs w:val="20"/>
          <w:color w:val="auto"/>
        </w:rPr>
        <w:tab/>
      </w:r>
      <w:r>
        <w:rPr>
          <w:rFonts w:ascii="Times New Roman" w:cs="Times New Roman" w:eastAsia="Times New Roman" w:hAnsi="Times New Roman"/>
          <w:sz w:val="17"/>
          <w:szCs w:val="17"/>
          <w:color w:val="auto"/>
        </w:rPr>
        <w:t>the signatures stamps and seals on the originals of all Documents submitted to us are genuine;</w:t>
      </w:r>
    </w:p>
    <w:p>
      <w:pPr>
        <w:spacing w:after="0" w:line="225" w:lineRule="exact"/>
        <w:rPr>
          <w:sz w:val="20"/>
          <w:szCs w:val="20"/>
          <w:color w:val="auto"/>
        </w:rPr>
      </w:pPr>
    </w:p>
    <w:p>
      <w:pPr>
        <w:jc w:val="both"/>
        <w:ind w:left="1300" w:hanging="647"/>
        <w:spacing w:after="0" w:line="282" w:lineRule="auto"/>
        <w:tabs>
          <w:tab w:leader="none" w:pos="1280" w:val="left"/>
        </w:tabs>
        <w:rPr>
          <w:sz w:val="20"/>
          <w:szCs w:val="20"/>
          <w:color w:val="auto"/>
        </w:rPr>
      </w:pPr>
      <w:r>
        <w:rPr>
          <w:rFonts w:ascii="Times New Roman" w:cs="Times New Roman" w:eastAsia="Times New Roman" w:hAnsi="Times New Roman"/>
          <w:sz w:val="18"/>
          <w:szCs w:val="18"/>
          <w:color w:val="auto"/>
        </w:rPr>
        <w:t>2.1.3.</w:t>
        <w:tab/>
        <w:t>all statements contained in the Registration Statement, the Base Prospectus, the Prospectus Supplement, and in the Documents were true and accurate when made and remain true and accurate;</w:t>
      </w:r>
    </w:p>
    <w:p>
      <w:pPr>
        <w:spacing w:after="0" w:line="162" w:lineRule="exact"/>
        <w:rPr>
          <w:sz w:val="20"/>
          <w:szCs w:val="20"/>
          <w:color w:val="auto"/>
        </w:rPr>
      </w:pPr>
    </w:p>
    <w:p>
      <w:pPr>
        <w:jc w:val="both"/>
        <w:ind w:left="1300" w:hanging="647"/>
        <w:spacing w:after="0" w:line="282" w:lineRule="auto"/>
        <w:tabs>
          <w:tab w:leader="none" w:pos="1280" w:val="left"/>
        </w:tabs>
        <w:rPr>
          <w:sz w:val="20"/>
          <w:szCs w:val="20"/>
          <w:color w:val="auto"/>
        </w:rPr>
      </w:pPr>
      <w:r>
        <w:rPr>
          <w:rFonts w:ascii="Times New Roman" w:cs="Times New Roman" w:eastAsia="Times New Roman" w:hAnsi="Times New Roman"/>
          <w:sz w:val="18"/>
          <w:szCs w:val="18"/>
          <w:color w:val="auto"/>
        </w:rPr>
        <w:t>2.1.4.</w:t>
        <w:tab/>
        <w:t>a warranty by the Company that it is not aware, or has no notice, of any act, matter, thing or circumstance means that the same does not exist or has not occurred;</w:t>
      </w:r>
    </w:p>
    <w:p>
      <w:pPr>
        <w:spacing w:after="0" w:line="158" w:lineRule="exact"/>
        <w:rPr>
          <w:sz w:val="20"/>
          <w:szCs w:val="20"/>
          <w:color w:val="auto"/>
        </w:rPr>
      </w:pPr>
    </w:p>
    <w:p>
      <w:pPr>
        <w:jc w:val="both"/>
        <w:ind w:left="1300" w:right="20" w:hanging="647"/>
        <w:spacing w:after="0" w:line="286" w:lineRule="auto"/>
        <w:tabs>
          <w:tab w:leader="none" w:pos="1280" w:val="left"/>
        </w:tabs>
        <w:rPr>
          <w:sz w:val="20"/>
          <w:szCs w:val="20"/>
          <w:color w:val="auto"/>
        </w:rPr>
      </w:pPr>
      <w:r>
        <w:rPr>
          <w:rFonts w:ascii="Times New Roman" w:cs="Times New Roman" w:eastAsia="Times New Roman" w:hAnsi="Times New Roman"/>
          <w:sz w:val="18"/>
          <w:szCs w:val="18"/>
          <w:color w:val="auto"/>
        </w:rPr>
        <w:t>2.1.5.</w:t>
        <w:tab/>
        <w:t>there has not been any amendment to the bylaws of the Company (the “</w:t>
      </w:r>
      <w:r>
        <w:rPr>
          <w:rFonts w:ascii="Times New Roman" w:cs="Times New Roman" w:eastAsia="Times New Roman" w:hAnsi="Times New Roman"/>
          <w:sz w:val="18"/>
          <w:szCs w:val="18"/>
          <w:b w:val="1"/>
          <w:bCs w:val="1"/>
          <w:color w:val="auto"/>
        </w:rPr>
        <w:t>Bylaws</w:t>
      </w:r>
      <w:r>
        <w:rPr>
          <w:rFonts w:ascii="Times New Roman" w:cs="Times New Roman" w:eastAsia="Times New Roman" w:hAnsi="Times New Roman"/>
          <w:sz w:val="18"/>
          <w:szCs w:val="18"/>
          <w:color w:val="auto"/>
        </w:rPr>
        <w:t>”) referred to and defined in Schedule A under point (i), other than as a consequence of the Capital Increase Resolution (as defined in the Schedule A);</w:t>
      </w:r>
    </w:p>
    <w:p>
      <w:pPr>
        <w:spacing w:after="0" w:line="159" w:lineRule="exact"/>
        <w:rPr>
          <w:sz w:val="20"/>
          <w:szCs w:val="20"/>
          <w:color w:val="auto"/>
        </w:rPr>
      </w:pPr>
    </w:p>
    <w:p>
      <w:pPr>
        <w:jc w:val="both"/>
        <w:ind w:left="1300" w:hanging="647"/>
        <w:spacing w:after="0" w:line="266" w:lineRule="auto"/>
        <w:tabs>
          <w:tab w:leader="none" w:pos="1280" w:val="left"/>
        </w:tabs>
        <w:rPr>
          <w:sz w:val="20"/>
          <w:szCs w:val="20"/>
          <w:color w:val="auto"/>
        </w:rPr>
      </w:pPr>
      <w:r>
        <w:rPr>
          <w:rFonts w:ascii="Times New Roman" w:cs="Times New Roman" w:eastAsia="Times New Roman" w:hAnsi="Times New Roman"/>
          <w:sz w:val="18"/>
          <w:szCs w:val="18"/>
          <w:color w:val="auto"/>
        </w:rPr>
        <w:t>2.1.6.</w:t>
        <w:tab/>
        <w:t>that the resolutions referred to in Schedule A under points (ii), (iii) and (iv) have duly resolved in the manner set forth therein, are true records of the resolutions of, respectively, the Company’s shareholders and Board and have not been revoked, superseded, challenged, or amended, in full or in part, and are still in force;</w:t>
      </w:r>
    </w:p>
    <w:p>
      <w:pPr>
        <w:spacing w:after="0" w:line="176" w:lineRule="exact"/>
        <w:rPr>
          <w:sz w:val="20"/>
          <w:szCs w:val="20"/>
          <w:color w:val="auto"/>
        </w:rPr>
      </w:pPr>
    </w:p>
    <w:p>
      <w:pPr>
        <w:jc w:val="both"/>
        <w:ind w:left="1300" w:hanging="647"/>
        <w:spacing w:after="0" w:line="258" w:lineRule="auto"/>
        <w:tabs>
          <w:tab w:leader="none" w:pos="1280" w:val="left"/>
        </w:tabs>
        <w:rPr>
          <w:sz w:val="20"/>
          <w:szCs w:val="20"/>
          <w:color w:val="auto"/>
        </w:rPr>
      </w:pPr>
      <w:r>
        <w:rPr>
          <w:rFonts w:ascii="Times New Roman" w:cs="Times New Roman" w:eastAsia="Times New Roman" w:hAnsi="Times New Roman"/>
          <w:sz w:val="18"/>
          <w:szCs w:val="18"/>
          <w:color w:val="auto"/>
        </w:rPr>
        <w:t>2.1.7.</w:t>
        <w:tab/>
        <w:t>no offer whatsoever of Placement Shares, within the meaning of article 1, paragraph 1, lett. t) of Legislative Decree 58/1998 and article 2, paragraph 1, lett. d) of Regulation (EU) 2017/1129, as amended from time to time, will take place in the Republic of Italy and/or in the European Union or, in the event such offer takes place in the Republic of Italy and/or in the European Union, the same will be subject to the exemptions referred to in article 100 of Legislative Decree 58/1998, article 34-ter of the Consob Regulations 11971/99 and article 1, paragraph 4, of Regulation (EU) 2017/1129, as amended from time to time;</w:t>
      </w:r>
    </w:p>
    <w:p>
      <w:pPr>
        <w:spacing w:after="0" w:line="183" w:lineRule="exact"/>
        <w:rPr>
          <w:sz w:val="20"/>
          <w:szCs w:val="20"/>
          <w:color w:val="auto"/>
        </w:rPr>
      </w:pPr>
    </w:p>
    <w:p>
      <w:pPr>
        <w:jc w:val="both"/>
        <w:ind w:left="1300" w:hanging="647"/>
        <w:spacing w:after="0" w:line="266" w:lineRule="auto"/>
        <w:tabs>
          <w:tab w:leader="none" w:pos="1280" w:val="left"/>
        </w:tabs>
        <w:rPr>
          <w:sz w:val="20"/>
          <w:szCs w:val="20"/>
          <w:color w:val="auto"/>
        </w:rPr>
      </w:pPr>
      <w:r>
        <w:rPr>
          <w:rFonts w:ascii="Times New Roman" w:cs="Times New Roman" w:eastAsia="Times New Roman" w:hAnsi="Times New Roman"/>
          <w:sz w:val="18"/>
          <w:szCs w:val="18"/>
          <w:color w:val="auto"/>
        </w:rPr>
        <w:t>2.1.8.</w:t>
        <w:tab/>
        <w:t>for the purposes of this opinion, the term “non-assessable” used under paragraph 3.1(a) below means that the owner of the Placement Shares cannot be required by the Company to pay additional amounts for its Placement Shares once the subscription price is fully and duly paid; and</w:t>
      </w:r>
    </w:p>
    <w:p>
      <w:pPr>
        <w:spacing w:after="0" w:line="176" w:lineRule="exact"/>
        <w:rPr>
          <w:sz w:val="20"/>
          <w:szCs w:val="20"/>
          <w:color w:val="auto"/>
        </w:rPr>
      </w:pPr>
    </w:p>
    <w:p>
      <w:pPr>
        <w:jc w:val="both"/>
        <w:ind w:left="1300" w:hanging="647"/>
        <w:spacing w:after="0" w:line="282" w:lineRule="auto"/>
        <w:tabs>
          <w:tab w:leader="none" w:pos="1280" w:val="left"/>
        </w:tabs>
        <w:rPr>
          <w:sz w:val="20"/>
          <w:szCs w:val="20"/>
          <w:color w:val="auto"/>
        </w:rPr>
      </w:pPr>
      <w:r>
        <w:rPr>
          <w:rFonts w:ascii="Times New Roman" w:cs="Times New Roman" w:eastAsia="Times New Roman" w:hAnsi="Times New Roman"/>
          <w:sz w:val="18"/>
          <w:szCs w:val="18"/>
          <w:color w:val="auto"/>
        </w:rPr>
        <w:t>2.1.9.</w:t>
        <w:tab/>
        <w:t>there are no facts, documents, circumstances or matters which may be material to the opinions set out herein and which have not been disclosed to us by the Company, notwithstanding our reasonable inquiry.</w:t>
      </w:r>
    </w:p>
    <w:p>
      <w:pPr>
        <w:spacing w:after="0" w:line="162" w:lineRule="exact"/>
        <w:rPr>
          <w:sz w:val="20"/>
          <w:szCs w:val="20"/>
          <w:color w:val="auto"/>
        </w:rPr>
      </w:pPr>
    </w:p>
    <w:p>
      <w:pPr>
        <w:ind w:left="66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2.2.</w:t>
      </w:r>
      <w:r>
        <w:rPr>
          <w:sz w:val="20"/>
          <w:szCs w:val="20"/>
          <w:color w:val="auto"/>
        </w:rPr>
        <w:tab/>
      </w:r>
      <w:r>
        <w:rPr>
          <w:rFonts w:ascii="Times New Roman" w:cs="Times New Roman" w:eastAsia="Times New Roman" w:hAnsi="Times New Roman"/>
          <w:sz w:val="18"/>
          <w:szCs w:val="18"/>
          <w:color w:val="auto"/>
        </w:rPr>
        <w:t>We express no opinion as to any laws other than the laws of Italy in force at the date hereof and we have assumed that none of the opinions expressed below will be affected by the laws of any jurisdiction other than the Republic of Italy.</w:t>
      </w:r>
    </w:p>
    <w:p>
      <w:pPr>
        <w:spacing w:after="0" w:line="158" w:lineRule="exact"/>
        <w:rPr>
          <w:sz w:val="20"/>
          <w:szCs w:val="20"/>
          <w:color w:val="auto"/>
        </w:rPr>
      </w:pPr>
    </w:p>
    <w:p>
      <w:pPr>
        <w:ind w:left="660" w:hanging="652"/>
        <w:spacing w:after="0"/>
        <w:tabs>
          <w:tab w:leader="none" w:pos="66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Opinion</w:t>
      </w:r>
    </w:p>
    <w:p>
      <w:pPr>
        <w:spacing w:after="0" w:line="229" w:lineRule="exact"/>
        <w:rPr>
          <w:sz w:val="20"/>
          <w:szCs w:val="20"/>
          <w:color w:val="auto"/>
        </w:rPr>
      </w:pPr>
    </w:p>
    <w:p>
      <w:pPr>
        <w:ind w:left="660" w:right="2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3.1.</w:t>
      </w:r>
      <w:r>
        <w:rPr>
          <w:sz w:val="20"/>
          <w:szCs w:val="20"/>
          <w:color w:val="auto"/>
        </w:rPr>
        <w:tab/>
      </w:r>
      <w:r>
        <w:rPr>
          <w:rFonts w:ascii="Times New Roman" w:cs="Times New Roman" w:eastAsia="Times New Roman" w:hAnsi="Times New Roman"/>
          <w:sz w:val="18"/>
          <w:szCs w:val="18"/>
          <w:color w:val="auto"/>
        </w:rPr>
        <w:t>Based and relying upon the foregoing and subject to the assumptions, qualifications and reservations contained herein and to any matter not disclosed to us, we are of the opinion that:</w:t>
      </w:r>
    </w:p>
    <w:p>
      <w:pPr>
        <w:spacing w:after="0" w:line="162" w:lineRule="exact"/>
        <w:rPr>
          <w:sz w:val="20"/>
          <w:szCs w:val="20"/>
          <w:color w:val="auto"/>
        </w:rPr>
      </w:pPr>
    </w:p>
    <w:p>
      <w:pPr>
        <w:jc w:val="both"/>
        <w:ind w:left="660"/>
        <w:spacing w:after="0" w:line="258" w:lineRule="auto"/>
        <w:rPr>
          <w:sz w:val="20"/>
          <w:szCs w:val="20"/>
          <w:color w:val="auto"/>
        </w:rPr>
      </w:pPr>
      <w:r>
        <w:rPr>
          <w:rFonts w:ascii="Times New Roman" w:cs="Times New Roman" w:eastAsia="Times New Roman" w:hAnsi="Times New Roman"/>
          <w:sz w:val="18"/>
          <w:szCs w:val="18"/>
          <w:color w:val="auto"/>
        </w:rPr>
        <w:t>as at today’s date, the Placement Shares, when issued and registered in the name of each of the Purchasers in the electronic books and registers of the relevant intermediaries and delivered as described in the Securities Purchase Agreement and the Prospectus Supplement will be duly and validly authorized and issued, fully paid or credited as fully paid (subject to the receipt of valid consideration by the Company for the issue thereof in connection with the offering pursuant to the Securities Purchase Agreement as set forth in the Registration Statement and the Prospectus) and will not be subject to any call for payment of further capital in connection therewith.</w:t>
      </w:r>
    </w:p>
    <w:p>
      <w:pPr>
        <w:spacing w:after="0" w:line="179" w:lineRule="exact"/>
        <w:rPr>
          <w:sz w:val="20"/>
          <w:szCs w:val="20"/>
          <w:color w:val="auto"/>
        </w:rPr>
      </w:pPr>
    </w:p>
    <w:p>
      <w:pPr>
        <w:ind w:left="660" w:hanging="652"/>
        <w:spacing w:after="0"/>
        <w:tabs>
          <w:tab w:leader="none" w:pos="66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Qualifications</w:t>
      </w:r>
    </w:p>
    <w:p>
      <w:pPr>
        <w:spacing w:after="0" w:line="229" w:lineRule="exact"/>
        <w:rPr>
          <w:sz w:val="20"/>
          <w:szCs w:val="20"/>
          <w:color w:val="auto"/>
        </w:rPr>
      </w:pPr>
    </w:p>
    <w:p>
      <w:pPr>
        <w:jc w:val="both"/>
        <w:ind w:left="660" w:hanging="647"/>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4.1.</w:t>
      </w:r>
      <w:r>
        <w:rPr>
          <w:sz w:val="20"/>
          <w:szCs w:val="20"/>
          <w:color w:val="auto"/>
        </w:rPr>
        <w:tab/>
      </w:r>
      <w:r>
        <w:rPr>
          <w:rFonts w:ascii="Times New Roman" w:cs="Times New Roman" w:eastAsia="Times New Roman" w:hAnsi="Times New Roman"/>
          <w:sz w:val="18"/>
          <w:szCs w:val="18"/>
          <w:color w:val="auto"/>
        </w:rPr>
        <w:t>We are giving no opinion either as to (i) the contents of the Registration Statement, the Base Prospectus, the Prospectus Supplement (including any documents incorporated by reference therein), or (ii) bankruptcy, insolvency, liquidation, reorganization moratorium and similar laws of general applicability relating to or affecting the rights of creditors of the Company in general.</w:t>
      </w:r>
    </w:p>
    <w:p>
      <w:pPr>
        <w:spacing w:after="0" w:line="176" w:lineRule="exact"/>
        <w:rPr>
          <w:sz w:val="20"/>
          <w:szCs w:val="20"/>
          <w:color w:val="auto"/>
        </w:rPr>
      </w:pPr>
    </w:p>
    <w:p>
      <w:pPr>
        <w:jc w:val="both"/>
        <w:ind w:left="660" w:hanging="647"/>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4.2.</w:t>
      </w:r>
      <w:r>
        <w:rPr>
          <w:sz w:val="20"/>
          <w:szCs w:val="20"/>
          <w:color w:val="auto"/>
        </w:rPr>
        <w:tab/>
      </w:r>
      <w:r>
        <w:rPr>
          <w:rFonts w:ascii="Times New Roman" w:cs="Times New Roman" w:eastAsia="Times New Roman" w:hAnsi="Times New Roman"/>
          <w:sz w:val="18"/>
          <w:szCs w:val="18"/>
          <w:color w:val="auto"/>
        </w:rPr>
        <w:t>It should be understood that (i) the opinions expressed above are based upon our examination of the Documents listed in Schedule A, as applicable, and (ii) we have not been responsible for investigating or verifying the accuracy of the facts or statements of foreign law, or that no material facts have been omitted from them and express no opinion with respect thereto.</w:t>
      </w:r>
    </w:p>
    <w:p>
      <w:pPr>
        <w:spacing w:after="0" w:line="176"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4.3.</w:t>
      </w:r>
      <w:r>
        <w:rPr>
          <w:sz w:val="20"/>
          <w:szCs w:val="20"/>
          <w:color w:val="auto"/>
        </w:rPr>
        <w:tab/>
      </w:r>
      <w:r>
        <w:rPr>
          <w:rFonts w:ascii="Times New Roman" w:cs="Times New Roman" w:eastAsia="Times New Roman" w:hAnsi="Times New Roman"/>
          <w:sz w:val="17"/>
          <w:szCs w:val="17"/>
          <w:color w:val="auto"/>
        </w:rPr>
        <w:t>An Italian court may stay proceedings brought in such court if concurrent proceedings are being brought elsewhere.</w:t>
      </w:r>
    </w:p>
    <w:p>
      <w:pPr>
        <w:spacing w:after="0" w:line="223" w:lineRule="exact"/>
        <w:rPr>
          <w:sz w:val="20"/>
          <w:szCs w:val="20"/>
          <w:color w:val="auto"/>
        </w:rPr>
      </w:pPr>
    </w:p>
    <w:p>
      <w:pPr>
        <w:jc w:val="both"/>
        <w:ind w:left="660" w:hanging="647"/>
        <w:spacing w:after="0" w:line="261" w:lineRule="auto"/>
        <w:tabs>
          <w:tab w:leader="none" w:pos="640" w:val="left"/>
        </w:tabs>
        <w:rPr>
          <w:sz w:val="20"/>
          <w:szCs w:val="20"/>
          <w:color w:val="auto"/>
        </w:rPr>
      </w:pPr>
      <w:r>
        <w:rPr>
          <w:rFonts w:ascii="Times New Roman" w:cs="Times New Roman" w:eastAsia="Times New Roman" w:hAnsi="Times New Roman"/>
          <w:sz w:val="18"/>
          <w:szCs w:val="18"/>
          <w:color w:val="auto"/>
        </w:rPr>
        <w:t>4.4.</w:t>
      </w:r>
      <w:r>
        <w:rPr>
          <w:sz w:val="20"/>
          <w:szCs w:val="20"/>
          <w:color w:val="auto"/>
        </w:rPr>
        <w:tab/>
      </w:r>
      <w:r>
        <w:rPr>
          <w:rFonts w:ascii="Times New Roman" w:cs="Times New Roman" w:eastAsia="Times New Roman" w:hAnsi="Times New Roman"/>
          <w:sz w:val="18"/>
          <w:szCs w:val="18"/>
          <w:color w:val="auto"/>
        </w:rPr>
        <w:t>Pursuant to Article 2379-</w:t>
      </w:r>
      <w:r>
        <w:rPr>
          <w:rFonts w:ascii="Times New Roman" w:cs="Times New Roman" w:eastAsia="Times New Roman" w:hAnsi="Times New Roman"/>
          <w:sz w:val="18"/>
          <w:szCs w:val="18"/>
          <w:i w:val="1"/>
          <w:iCs w:val="1"/>
          <w:color w:val="auto"/>
        </w:rPr>
        <w:t>ter</w:t>
      </w:r>
      <w:r>
        <w:rPr>
          <w:rFonts w:ascii="Times New Roman" w:cs="Times New Roman" w:eastAsia="Times New Roman" w:hAnsi="Times New Roman"/>
          <w:sz w:val="18"/>
          <w:szCs w:val="18"/>
          <w:color w:val="auto"/>
        </w:rPr>
        <w:t xml:space="preserve"> of the Italian Civil Code, in the event of the lack of call of the relevant meeting, the absence of the minutes of the relevant meeting, the impossibility of the subject of the resolutions and/or if the subject of resolutions is not licit, the resolution adopted by the extraordinary shareholders’ meeting of the Company held on May 20, 2021 may be challenged by any individual/entity having a legitimate interest thereto during the 3 (three) years following the registration of the resolution with the competent Register of Enterprises.</w:t>
      </w:r>
    </w:p>
    <w:p>
      <w:pPr>
        <w:spacing w:after="0" w:line="18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 w:name="page7"/>
    <w:bookmarkEnd w:id="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3508375</wp:posOffset>
            </wp:positionH>
            <wp:positionV relativeFrom="page">
              <wp:posOffset>448945</wp:posOffset>
            </wp:positionV>
            <wp:extent cx="539750" cy="677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clrChange>
                        <a:clrFrom>
                          <a:srgbClr val="FFFFFF"/>
                        </a:clrFrom>
                        <a:clrTo>
                          <a:srgbClr val="FFFFFF">
                            <a:alpha val="0"/>
                          </a:srgbClr>
                        </a:clrTo>
                      </a:clrChange>
                      <a:extLst>
                        <a:ext uri="{28A0092B-C50C-407E-A947-70E740481C1C}"/>
                      </a:extLst>
                    </a:blip>
                    <a:srcRect/>
                    <a:stretch>
                      <a:fillRect/>
                    </a:stretch>
                  </pic:blipFill>
                  <pic:spPr bwMode="auto">
                    <a:xfrm>
                      <a:off x="0" y="0"/>
                      <a:ext cx="539750" cy="677545"/>
                    </a:xfrm>
                    <a:prstGeom prst="rect">
                      <a:avLst/>
                    </a:prstGeom>
                    <a:noFill/>
                  </pic:spPr>
                </pic:pic>
              </a:graphicData>
            </a:graphic>
          </wp:anchor>
        </w:drawing>
      </w:r>
    </w:p>
    <w:p>
      <w:pPr>
        <w:spacing w:after="0" w:line="327" w:lineRule="exact"/>
        <w:rPr>
          <w:sz w:val="20"/>
          <w:szCs w:val="20"/>
          <w:color w:val="auto"/>
        </w:rPr>
      </w:pPr>
    </w:p>
    <w:p>
      <w:pPr>
        <w:ind w:left="652" w:hanging="652"/>
        <w:spacing w:after="0"/>
        <w:tabs>
          <w:tab w:leader="none" w:pos="652"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Reliance</w:t>
      </w:r>
    </w:p>
    <w:p>
      <w:pPr>
        <w:spacing w:after="0" w:line="229" w:lineRule="exact"/>
        <w:rPr>
          <w:sz w:val="20"/>
          <w:szCs w:val="20"/>
          <w:color w:val="auto"/>
        </w:rPr>
      </w:pPr>
    </w:p>
    <w:p>
      <w:pPr>
        <w:jc w:val="both"/>
        <w:ind w:left="652" w:hanging="647"/>
        <w:spacing w:after="0" w:line="258" w:lineRule="auto"/>
        <w:tabs>
          <w:tab w:leader="none" w:pos="632" w:val="left"/>
        </w:tabs>
        <w:rPr>
          <w:sz w:val="20"/>
          <w:szCs w:val="20"/>
          <w:color w:val="auto"/>
        </w:rPr>
      </w:pPr>
      <w:r>
        <w:rPr>
          <w:rFonts w:ascii="Times New Roman" w:cs="Times New Roman" w:eastAsia="Times New Roman" w:hAnsi="Times New Roman"/>
          <w:sz w:val="18"/>
          <w:szCs w:val="18"/>
          <w:color w:val="auto"/>
        </w:rPr>
        <w:t>5.1.</w:t>
      </w:r>
      <w:r>
        <w:rPr>
          <w:sz w:val="20"/>
          <w:szCs w:val="20"/>
          <w:color w:val="auto"/>
        </w:rPr>
        <w:tab/>
      </w:r>
      <w:r>
        <w:rPr>
          <w:rFonts w:ascii="Times New Roman" w:cs="Times New Roman" w:eastAsia="Times New Roman" w:hAnsi="Times New Roman"/>
          <w:sz w:val="18"/>
          <w:szCs w:val="18"/>
          <w:color w:val="auto"/>
        </w:rPr>
        <w:t>This opinion is given on the basis that there will be no amendment to or termination or replacement of the Documents, referred to in Schedule A to this opinion and on the basis of the laws of Italy in force as at the date of this opinion. This opinion speaks as of its date and is given on the basis that we undertake no responsibility to notify any addressee of this opinion of any change in the laws of Italy after the date of this opinion. We also disclaim any obligation to advise you of facts, circumstances, events or developments which hereafter may be brought to our attention and which may alter, affect or modify the opinion expressed herein.</w:t>
      </w:r>
    </w:p>
    <w:p>
      <w:pPr>
        <w:spacing w:after="0" w:line="183" w:lineRule="exact"/>
        <w:rPr>
          <w:sz w:val="20"/>
          <w:szCs w:val="20"/>
          <w:color w:val="auto"/>
        </w:rPr>
      </w:pPr>
    </w:p>
    <w:p>
      <w:pPr>
        <w:jc w:val="both"/>
        <w:ind w:left="652" w:hanging="647"/>
        <w:spacing w:after="0" w:line="261" w:lineRule="auto"/>
        <w:tabs>
          <w:tab w:leader="none" w:pos="632" w:val="left"/>
        </w:tabs>
        <w:rPr>
          <w:sz w:val="20"/>
          <w:szCs w:val="20"/>
          <w:color w:val="auto"/>
        </w:rPr>
      </w:pPr>
      <w:r>
        <w:rPr>
          <w:rFonts w:ascii="Times New Roman" w:cs="Times New Roman" w:eastAsia="Times New Roman" w:hAnsi="Times New Roman"/>
          <w:sz w:val="18"/>
          <w:szCs w:val="18"/>
          <w:color w:val="auto"/>
        </w:rPr>
        <w:t>5.2.</w:t>
      </w:r>
      <w:r>
        <w:rPr>
          <w:sz w:val="20"/>
          <w:szCs w:val="20"/>
          <w:color w:val="auto"/>
        </w:rPr>
        <w:tab/>
      </w:r>
      <w:r>
        <w:rPr>
          <w:rFonts w:ascii="Times New Roman" w:cs="Times New Roman" w:eastAsia="Times New Roman" w:hAnsi="Times New Roman"/>
          <w:sz w:val="18"/>
          <w:szCs w:val="18"/>
          <w:color w:val="auto"/>
        </w:rPr>
        <w:t>We consent to the filing of this opinion letter as Exhibit 5.1 to a Report on Form 6-K of the Company filed with the SEC and its incorporation by reference into the Registration Statement and to the references to this firm under the caption “Legal Matters” in the prospectus which is a part of the Registration Statement. In giving this consent, we do not admit that we are thereby within the category of persons whose consent is required under Section 7 of the Securities Act of 1933 or the rules and regulation thereunder.</w:t>
      </w:r>
    </w:p>
    <w:p>
      <w:pPr>
        <w:spacing w:after="0" w:line="180" w:lineRule="exact"/>
        <w:rPr>
          <w:sz w:val="20"/>
          <w:szCs w:val="20"/>
          <w:color w:val="auto"/>
        </w:rPr>
      </w:pPr>
    </w:p>
    <w:p>
      <w:pPr>
        <w:jc w:val="both"/>
        <w:ind w:left="652" w:hanging="647"/>
        <w:spacing w:after="0" w:line="266" w:lineRule="auto"/>
        <w:tabs>
          <w:tab w:leader="none" w:pos="632" w:val="left"/>
        </w:tabs>
        <w:rPr>
          <w:sz w:val="20"/>
          <w:szCs w:val="20"/>
          <w:color w:val="auto"/>
        </w:rPr>
      </w:pPr>
      <w:r>
        <w:rPr>
          <w:rFonts w:ascii="Times New Roman" w:cs="Times New Roman" w:eastAsia="Times New Roman" w:hAnsi="Times New Roman"/>
          <w:sz w:val="18"/>
          <w:szCs w:val="18"/>
          <w:color w:val="auto"/>
        </w:rPr>
        <w:t>5.3.</w:t>
      </w:r>
      <w:r>
        <w:rPr>
          <w:sz w:val="20"/>
          <w:szCs w:val="20"/>
          <w:color w:val="auto"/>
        </w:rPr>
        <w:tab/>
      </w:r>
      <w:r>
        <w:rPr>
          <w:rFonts w:ascii="Times New Roman" w:cs="Times New Roman" w:eastAsia="Times New Roman" w:hAnsi="Times New Roman"/>
          <w:sz w:val="18"/>
          <w:szCs w:val="18"/>
          <w:color w:val="auto"/>
        </w:rPr>
        <w:t>Any issue of liability connected with our rendering this opinion shall be solely subject to the substantive laws of Italy regardless of any reference to the laws of another jurisdiction pursuant to any applicable rule governing conflicts of laws. Any dispute shall be subject to the exclusive jurisdiction of the Court of Milan.</w:t>
      </w:r>
    </w:p>
    <w:p>
      <w:pPr>
        <w:spacing w:after="0" w:line="176" w:lineRule="exact"/>
        <w:rPr>
          <w:sz w:val="20"/>
          <w:szCs w:val="20"/>
          <w:color w:val="auto"/>
        </w:rPr>
      </w:pPr>
    </w:p>
    <w:p>
      <w:pPr>
        <w:ind w:left="12"/>
        <w:spacing w:after="0"/>
        <w:rPr>
          <w:sz w:val="20"/>
          <w:szCs w:val="20"/>
          <w:color w:val="auto"/>
        </w:rPr>
      </w:pPr>
      <w:r>
        <w:rPr>
          <w:rFonts w:ascii="Times New Roman" w:cs="Times New Roman" w:eastAsia="Times New Roman" w:hAnsi="Times New Roman"/>
          <w:sz w:val="18"/>
          <w:szCs w:val="18"/>
          <w:color w:val="auto"/>
        </w:rPr>
        <w:t>Yours faithfully</w:t>
      </w:r>
    </w:p>
    <w:p>
      <w:pPr>
        <w:spacing w:after="0" w:line="221" w:lineRule="exact"/>
        <w:rPr>
          <w:sz w:val="20"/>
          <w:szCs w:val="20"/>
          <w:color w:val="auto"/>
        </w:rPr>
      </w:pPr>
    </w:p>
    <w:p>
      <w:pPr>
        <w:ind w:left="12"/>
        <w:spacing w:after="0"/>
        <w:rPr>
          <w:sz w:val="20"/>
          <w:szCs w:val="20"/>
          <w:color w:val="auto"/>
        </w:rPr>
      </w:pPr>
      <w:r>
        <w:rPr>
          <w:rFonts w:ascii="Times New Roman" w:cs="Times New Roman" w:eastAsia="Times New Roman" w:hAnsi="Times New Roman"/>
          <w:sz w:val="18"/>
          <w:szCs w:val="18"/>
          <w:b w:val="1"/>
          <w:bCs w:val="1"/>
          <w:color w:val="auto"/>
        </w:rPr>
        <w:t>/s/ LEXIA</w:t>
      </w:r>
    </w:p>
    <w:p>
      <w:pPr>
        <w:spacing w:after="0" w:line="229" w:lineRule="exact"/>
        <w:rPr>
          <w:sz w:val="20"/>
          <w:szCs w:val="20"/>
          <w:color w:val="auto"/>
        </w:rPr>
      </w:pPr>
    </w:p>
    <w:p>
      <w:pPr>
        <w:jc w:val="center"/>
        <w:ind w:right="-51"/>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71323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32"/>
          </w:cols>
          <w:pgMar w:left="328" w:top="1440" w:right="339" w:bottom="1440" w:gutter="0" w:footer="0" w:header="0"/>
        </w:sectPr>
      </w:pPr>
    </w:p>
    <w:bookmarkStart w:id="7" w:name="page8"/>
    <w:bookmarkEnd w:id="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3508375</wp:posOffset>
            </wp:positionH>
            <wp:positionV relativeFrom="page">
              <wp:posOffset>448945</wp:posOffset>
            </wp:positionV>
            <wp:extent cx="539750" cy="677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clrChange>
                        <a:clrFrom>
                          <a:srgbClr val="FFFFFF"/>
                        </a:clrFrom>
                        <a:clrTo>
                          <a:srgbClr val="FFFFFF">
                            <a:alpha val="0"/>
                          </a:srgbClr>
                        </a:clrTo>
                      </a:clrChange>
                      <a:extLst>
                        <a:ext uri="{28A0092B-C50C-407E-A947-70E740481C1C}"/>
                      </a:extLst>
                    </a:blip>
                    <a:srcRect/>
                    <a:stretch>
                      <a:fillRect/>
                    </a:stretch>
                  </pic:blipFill>
                  <pic:spPr bwMode="auto">
                    <a:xfrm>
                      <a:off x="0" y="0"/>
                      <a:ext cx="539750" cy="677545"/>
                    </a:xfrm>
                    <a:prstGeom prst="rect">
                      <a:avLst/>
                    </a:prstGeom>
                    <a:noFill/>
                  </pic:spPr>
                </pic:pic>
              </a:graphicData>
            </a:graphic>
          </wp:anchor>
        </w:drawing>
      </w:r>
    </w:p>
    <w:p>
      <w:pPr>
        <w:spacing w:after="0" w:line="327"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SCHEDULE A</w:t>
      </w:r>
    </w:p>
    <w:p>
      <w:pPr>
        <w:spacing w:after="0" w:line="229" w:lineRule="exact"/>
        <w:rPr>
          <w:sz w:val="20"/>
          <w:szCs w:val="20"/>
          <w:color w:val="auto"/>
        </w:rPr>
      </w:pPr>
    </w:p>
    <w:p>
      <w:pPr>
        <w:ind w:left="660" w:hanging="652"/>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copy of the Company’s currently effective Bylaws;</w:t>
      </w:r>
    </w:p>
    <w:p>
      <w:pPr>
        <w:spacing w:after="0" w:line="225" w:lineRule="exact"/>
        <w:rPr>
          <w:rFonts w:ascii="Times New Roman" w:cs="Times New Roman" w:eastAsia="Times New Roman" w:hAnsi="Times New Roman"/>
          <w:sz w:val="18"/>
          <w:szCs w:val="18"/>
          <w:color w:val="auto"/>
        </w:rPr>
      </w:pPr>
    </w:p>
    <w:p>
      <w:pPr>
        <w:jc w:val="both"/>
        <w:ind w:left="660" w:hanging="652"/>
        <w:spacing w:after="0" w:line="255"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copy of the minutes of the resolution of the shareholders passed at the general meeting of the shareholders of the Company dated May 20, 2021 approving, inter alia, the grant to the board of directors of the Company (the “</w:t>
      </w:r>
      <w:r>
        <w:rPr>
          <w:rFonts w:ascii="Times New Roman" w:cs="Times New Roman" w:eastAsia="Times New Roman" w:hAnsi="Times New Roman"/>
          <w:sz w:val="18"/>
          <w:szCs w:val="18"/>
          <w:b w:val="1"/>
          <w:bCs w:val="1"/>
          <w:color w:val="auto"/>
        </w:rPr>
        <w:t>Board</w:t>
      </w:r>
      <w:r>
        <w:rPr>
          <w:rFonts w:ascii="Times New Roman" w:cs="Times New Roman" w:eastAsia="Times New Roman" w:hAnsi="Times New Roman"/>
          <w:sz w:val="18"/>
          <w:szCs w:val="18"/>
          <w:color w:val="auto"/>
        </w:rPr>
        <w:t>” and the “</w:t>
      </w:r>
      <w:r>
        <w:rPr>
          <w:rFonts w:ascii="Times New Roman" w:cs="Times New Roman" w:eastAsia="Times New Roman" w:hAnsi="Times New Roman"/>
          <w:sz w:val="18"/>
          <w:szCs w:val="18"/>
          <w:b w:val="1"/>
          <w:bCs w:val="1"/>
          <w:color w:val="auto"/>
        </w:rPr>
        <w:t>Directors</w:t>
      </w:r>
      <w:r>
        <w:rPr>
          <w:rFonts w:ascii="Times New Roman" w:cs="Times New Roman" w:eastAsia="Times New Roman" w:hAnsi="Times New Roman"/>
          <w:sz w:val="18"/>
          <w:szCs w:val="18"/>
          <w:color w:val="auto"/>
        </w:rPr>
        <w:t>”), of the authorization to increase the share capital (the “</w:t>
      </w:r>
      <w:r>
        <w:rPr>
          <w:rFonts w:ascii="Times New Roman" w:cs="Times New Roman" w:eastAsia="Times New Roman" w:hAnsi="Times New Roman"/>
          <w:sz w:val="18"/>
          <w:szCs w:val="18"/>
          <w:b w:val="1"/>
          <w:bCs w:val="1"/>
          <w:color w:val="auto"/>
        </w:rPr>
        <w:t>Shareholders’ Resolution</w:t>
      </w:r>
      <w:r>
        <w:rPr>
          <w:rFonts w:ascii="Times New Roman" w:cs="Times New Roman" w:eastAsia="Times New Roman" w:hAnsi="Times New Roman"/>
          <w:sz w:val="18"/>
          <w:szCs w:val="18"/>
          <w:color w:val="auto"/>
        </w:rPr>
        <w:t>”), for a five-year period, against payment, in one or more instalments and on a divisible basis, up to a maximum amount of EUR 300,000,000 (including share premium), by issuance of a maximum number of 30,000,000 new ordinary shares without par value and with regular dividend entitlement, also without pre-emption right or free of charge, or otherwise for the five-year period, also in support of third-party grants of participating interests and/or industrial and intellectual property rights and similar intangible assets (such as patents, marks and know-how) which can be granted and held by the Board of Directors itself in pursuit of the corporate object;</w:t>
      </w:r>
    </w:p>
    <w:p>
      <w:pPr>
        <w:spacing w:after="0" w:line="188" w:lineRule="exact"/>
        <w:rPr>
          <w:rFonts w:ascii="Times New Roman" w:cs="Times New Roman" w:eastAsia="Times New Roman" w:hAnsi="Times New Roman"/>
          <w:sz w:val="18"/>
          <w:szCs w:val="18"/>
          <w:color w:val="auto"/>
        </w:rPr>
      </w:pPr>
    </w:p>
    <w:p>
      <w:pPr>
        <w:jc w:val="both"/>
        <w:ind w:left="660" w:hanging="652"/>
        <w:spacing w:after="0" w:line="253"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copy of the resolutions passed by the Board of Directors of the Company on October 26, 2025 pursuant to which it was resolved to increase the share capital in accordance with the Shareholders’ Resolution, within the final term of May 31, 2026, up to a maximum amount equal to the equivalent in euros of USD 100,000,000 (including share premium), to be determined according to the exchange rate existing on the date of each transaction carried out pursuant to the Prospectus, by issuing new ordinary shares to be paid in cash, to be executed, also in several tranches, with exclusion of pre-emption rights, to serve one or more offerings pursuant to the Base Prospectus (each, a “</w:t>
      </w:r>
      <w:r>
        <w:rPr>
          <w:rFonts w:ascii="Times New Roman" w:cs="Times New Roman" w:eastAsia="Times New Roman" w:hAnsi="Times New Roman"/>
          <w:sz w:val="18"/>
          <w:szCs w:val="18"/>
          <w:b w:val="1"/>
          <w:bCs w:val="1"/>
          <w:color w:val="auto"/>
        </w:rPr>
        <w:t>Shelf Offering</w:t>
      </w:r>
      <w:r>
        <w:rPr>
          <w:rFonts w:ascii="Times New Roman" w:cs="Times New Roman" w:eastAsia="Times New Roman" w:hAnsi="Times New Roman"/>
          <w:sz w:val="18"/>
          <w:szCs w:val="18"/>
          <w:color w:val="auto"/>
        </w:rPr>
        <w:t>”), including the Placement Shares provided by the Securities Purchase Agreement, and expressly recognizing that the offering of the Placement Shares is in any case authorized also under the Previous Capital Increase Resolution (as defined hereinafter); the number of new ordinary shares to be issued in each Shelf Offering shall be determined within the limits of the above authorization and in compliance with the implicit accounting par value of the outstanding ordinary shares, based on the specific economic terms of each Shelf Offering as defined in the relevant offering documentation (including any securities purchase agreement) which shall set forth, inter alia, the number of securities to be issued and the subscription price per share, determined in accordance with methodologies customarily applied for this type of transaction and in line with U.S. market practices (the “</w:t>
      </w:r>
      <w:r>
        <w:rPr>
          <w:rFonts w:ascii="Times New Roman" w:cs="Times New Roman" w:eastAsia="Times New Roman" w:hAnsi="Times New Roman"/>
          <w:sz w:val="18"/>
          <w:szCs w:val="18"/>
          <w:b w:val="1"/>
          <w:bCs w:val="1"/>
          <w:color w:val="auto"/>
        </w:rPr>
        <w:t>Capital Increase Resolution</w:t>
      </w:r>
      <w:r>
        <w:rPr>
          <w:rFonts w:ascii="Times New Roman" w:cs="Times New Roman" w:eastAsia="Times New Roman" w:hAnsi="Times New Roman"/>
          <w:sz w:val="18"/>
          <w:szCs w:val="18"/>
          <w:color w:val="auto"/>
        </w:rPr>
        <w:t>”), as well as to grant the powers to enter into the Securities Purchase Agreement and any agreements related to the offering of Placement Shares and to approve the filing of the Prospectus Supplement and related items;</w:t>
      </w:r>
    </w:p>
    <w:p>
      <w:pPr>
        <w:spacing w:after="0" w:line="187"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copy of the resolutions passed by the Board of Directors of the Company on May 10, 2023 pursuant to which it was resolved to increase the share capital up to a maximum amount equal to the equivalent in euros of USD 30,000,000, serving inter alia any offering pursuant to the Registration Statement (the “</w:t>
      </w:r>
      <w:r>
        <w:rPr>
          <w:rFonts w:ascii="Times New Roman" w:cs="Times New Roman" w:eastAsia="Times New Roman" w:hAnsi="Times New Roman"/>
          <w:sz w:val="18"/>
          <w:szCs w:val="18"/>
          <w:b w:val="1"/>
          <w:bCs w:val="1"/>
          <w:color w:val="auto"/>
        </w:rPr>
        <w:t>Previous Capital Increase Resolution</w:t>
      </w:r>
      <w:r>
        <w:rPr>
          <w:rFonts w:ascii="Times New Roman" w:cs="Times New Roman" w:eastAsia="Times New Roman" w:hAnsi="Times New Roman"/>
          <w:sz w:val="18"/>
          <w:szCs w:val="18"/>
          <w:color w:val="auto"/>
        </w:rPr>
        <w:t>”);</w:t>
      </w:r>
    </w:p>
    <w:p>
      <w:pPr>
        <w:spacing w:after="0" w:line="175"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Registration Statement, the Base Prospectus, the Prospectus Supplement; and</w:t>
      </w:r>
    </w:p>
    <w:p>
      <w:pPr>
        <w:spacing w:after="0" w:line="225"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Securities Purchase Agreement executed on October 26, 2025.</w:t>
      </w:r>
    </w:p>
    <w:p>
      <w:pPr>
        <w:spacing w:after="0" w:line="22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 w:name="page9"/>
    <w:bookmarkEnd w:id="8"/>
    <w:p>
      <w:pPr>
        <w:ind w:left="10320"/>
        <w:spacing w:after="0"/>
        <w:rPr>
          <w:sz w:val="20"/>
          <w:szCs w:val="20"/>
          <w:color w:val="auto"/>
        </w:rPr>
      </w:pPr>
      <w:r>
        <w:rPr>
          <w:rFonts w:ascii="Times New Roman" w:cs="Times New Roman" w:eastAsia="Times New Roman" w:hAnsi="Times New Roman"/>
          <w:sz w:val="17"/>
          <w:szCs w:val="17"/>
          <w:b w:val="1"/>
          <w:bCs w:val="1"/>
          <w:color w:val="auto"/>
        </w:rPr>
        <w:t>Exhibit 10.1</w:t>
      </w: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PURCHASE AGREEMENT</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This Securities Purchase Agreement (this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is dated as of October 26, 2025, between Genenta Science S.p.A., a Republic of Italy joint stock company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and each purchaser identified on the signature pages hereto (each, including its successors and assigns, a “</w:t>
      </w:r>
      <w:r>
        <w:rPr>
          <w:rFonts w:ascii="Times New Roman" w:cs="Times New Roman" w:eastAsia="Times New Roman" w:hAnsi="Times New Roman"/>
          <w:sz w:val="18"/>
          <w:szCs w:val="18"/>
          <w:u w:val="single" w:color="auto"/>
          <w:color w:val="auto"/>
        </w:rPr>
        <w:t>Purchaser</w:t>
      </w:r>
      <w:r>
        <w:rPr>
          <w:rFonts w:ascii="Times New Roman" w:cs="Times New Roman" w:eastAsia="Times New Roman" w:hAnsi="Times New Roman"/>
          <w:sz w:val="18"/>
          <w:szCs w:val="18"/>
          <w:color w:val="auto"/>
        </w:rPr>
        <w:t>” and collectively the “</w:t>
      </w:r>
      <w:r>
        <w:rPr>
          <w:rFonts w:ascii="Times New Roman" w:cs="Times New Roman" w:eastAsia="Times New Roman" w:hAnsi="Times New Roman"/>
          <w:sz w:val="18"/>
          <w:szCs w:val="18"/>
          <w:u w:val="single" w:color="auto"/>
          <w:color w:val="auto"/>
        </w:rPr>
        <w:t>Purchasers</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WHEREAS, subject to the terms and conditions set forth in this Agreement and pursuant to an effective registration statement under the Securities Act (as defined below), the Company desires to issue and sell to each Purchaser, and each Purchaser, severally and not jointly, desires to purchase from the Company, securities of the Company as more fully described in this Agreement.</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NOW, THEREFORE, IN CONSIDERATION of the mutual covenants contained in this Agreement, and for other good and valuable consideration the receipt and adequacy of which are hereby acknowledged, the Company and each Purchaser agree as follows: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DEFINITIONS</w:t>
      </w:r>
    </w:p>
    <w:p>
      <w:pPr>
        <w:spacing w:after="0" w:line="207"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 xml:space="preserve">1.1 </w:t>
      </w:r>
      <w:r>
        <w:rPr>
          <w:rFonts w:ascii="Times New Roman" w:cs="Times New Roman" w:eastAsia="Times New Roman" w:hAnsi="Times New Roman"/>
          <w:sz w:val="18"/>
          <w:szCs w:val="18"/>
          <w:u w:val="single" w:color="auto"/>
          <w:color w:val="auto"/>
        </w:rPr>
        <w:t>Definitions</w:t>
      </w:r>
      <w:r>
        <w:rPr>
          <w:rFonts w:ascii="Times New Roman" w:cs="Times New Roman" w:eastAsia="Times New Roman" w:hAnsi="Times New Roman"/>
          <w:sz w:val="18"/>
          <w:szCs w:val="18"/>
          <w:color w:val="auto"/>
        </w:rPr>
        <w:t>. In addition to the terms defined elsewhere in this Agreement, for all purposes of this Agreement, the following terms have the meanings set forth in this Section 1.1:</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Acquiring Person</w:t>
      </w:r>
      <w:r>
        <w:rPr>
          <w:rFonts w:ascii="Times New Roman" w:cs="Times New Roman" w:eastAsia="Times New Roman" w:hAnsi="Times New Roman"/>
          <w:sz w:val="18"/>
          <w:szCs w:val="18"/>
          <w:color w:val="auto"/>
        </w:rPr>
        <w:t>” shall have the meaning ascribed to such term in Section 4.5.</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Action</w:t>
      </w:r>
      <w:r>
        <w:rPr>
          <w:rFonts w:ascii="Times New Roman" w:cs="Times New Roman" w:eastAsia="Times New Roman" w:hAnsi="Times New Roman"/>
          <w:sz w:val="18"/>
          <w:szCs w:val="18"/>
          <w:color w:val="auto"/>
        </w:rPr>
        <w:t>” shall have the meaning ascribed to such term in Section 3.1(j).</w:t>
      </w:r>
    </w:p>
    <w:p>
      <w:pPr>
        <w:spacing w:after="0" w:line="225" w:lineRule="exact"/>
        <w:rPr>
          <w:sz w:val="20"/>
          <w:szCs w:val="20"/>
          <w:color w:val="auto"/>
        </w:rPr>
      </w:pPr>
    </w:p>
    <w:p>
      <w:pPr>
        <w:jc w:val="both"/>
        <w:ind w:left="660" w:right="2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ADS(s)</w:t>
      </w:r>
      <w:r>
        <w:rPr>
          <w:rFonts w:ascii="Times New Roman" w:cs="Times New Roman" w:eastAsia="Times New Roman" w:hAnsi="Times New Roman"/>
          <w:sz w:val="18"/>
          <w:szCs w:val="18"/>
          <w:color w:val="auto"/>
        </w:rPr>
        <w:t>” means American Depositary Shares issued pursuant to the Deposit Agreement (as defined below), each representing one (1) Ordinary Share.</w:t>
      </w:r>
    </w:p>
    <w:p>
      <w:pPr>
        <w:spacing w:after="0" w:line="162" w:lineRule="exact"/>
        <w:rPr>
          <w:sz w:val="20"/>
          <w:szCs w:val="20"/>
          <w:color w:val="auto"/>
        </w:rPr>
      </w:pPr>
    </w:p>
    <w:p>
      <w:pPr>
        <w:jc w:val="both"/>
        <w:ind w:left="66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Affiliate</w:t>
      </w:r>
      <w:r>
        <w:rPr>
          <w:rFonts w:ascii="Times New Roman" w:cs="Times New Roman" w:eastAsia="Times New Roman" w:hAnsi="Times New Roman"/>
          <w:sz w:val="18"/>
          <w:szCs w:val="18"/>
          <w:color w:val="auto"/>
        </w:rPr>
        <w:t>” means any Person that, directly or indirectly through one or more intermediaries, controls or is controlled by or is under common control with a Person as such terms are used in and construed under Rule 405 under the Securities Act.</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Board of Directors</w:t>
      </w:r>
      <w:r>
        <w:rPr>
          <w:rFonts w:ascii="Times New Roman" w:cs="Times New Roman" w:eastAsia="Times New Roman" w:hAnsi="Times New Roman"/>
          <w:sz w:val="18"/>
          <w:szCs w:val="18"/>
          <w:color w:val="auto"/>
        </w:rPr>
        <w:t>” means the board of directors of the Company.</w:t>
      </w:r>
    </w:p>
    <w:p>
      <w:pPr>
        <w:spacing w:after="0" w:line="225" w:lineRule="exact"/>
        <w:rPr>
          <w:sz w:val="20"/>
          <w:szCs w:val="20"/>
          <w:color w:val="auto"/>
        </w:rPr>
      </w:pPr>
    </w:p>
    <w:p>
      <w:pPr>
        <w:jc w:val="both"/>
        <w:ind w:left="660" w:firstLine="648"/>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Business Day</w:t>
      </w:r>
      <w:r>
        <w:rPr>
          <w:rFonts w:ascii="Times New Roman" w:cs="Times New Roman" w:eastAsia="Times New Roman" w:hAnsi="Times New Roman"/>
          <w:sz w:val="18"/>
          <w:szCs w:val="18"/>
          <w:color w:val="auto"/>
        </w:rPr>
        <w:t xml:space="preserve">” means any day other than Saturday, Sunday or other day on which commercial banks in The City of New York and the City of Milan, Italy are authorized or required by law to remain closed;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for clarification, commercial banks shall not be deemed to be authorized or required by law to remain closed due to “stay at home”, “shelter-in-place”, “non-essential employee” or any other similar orders or restrictions or the closure of any physical branch locations at the direction of any governmental authority so long as the electronic funds transfer systems (including for wire transfers) of commercial banks in The City of New York or in the City of Milan, Italy are generally open for use by customers on such day.</w:t>
      </w:r>
    </w:p>
    <w:p>
      <w:pPr>
        <w:spacing w:after="0" w:line="18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Closing</w:t>
      </w:r>
      <w:r>
        <w:rPr>
          <w:rFonts w:ascii="Times New Roman" w:cs="Times New Roman" w:eastAsia="Times New Roman" w:hAnsi="Times New Roman"/>
          <w:sz w:val="18"/>
          <w:szCs w:val="18"/>
          <w:color w:val="auto"/>
        </w:rPr>
        <w:t>” means the closing of the purchase and sale of the Securities pursuant to Section 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9" w:name="page10"/>
    <w:bookmarkEnd w:id="9"/>
    <w:p>
      <w:pPr>
        <w:jc w:val="both"/>
        <w:ind w:firstLine="648"/>
        <w:spacing w:after="0" w:line="22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Closing Date</w:t>
      </w:r>
      <w:r>
        <w:rPr>
          <w:rFonts w:ascii="Times New Roman" w:cs="Times New Roman" w:eastAsia="Times New Roman" w:hAnsi="Times New Roman"/>
          <w:sz w:val="18"/>
          <w:szCs w:val="18"/>
          <w:color w:val="auto"/>
        </w:rPr>
        <w:t>” means the Trading Day on which all of the Transaction Documents have been executed and delivered by the applicable parties thereto, and all conditions precedent to (i) the Purchasers’ obligations to pay the Subscription Amount and (ii) the Company’s obligations to deliver the Securities, in each case, have been satisfied or waived, but in no event later than the first (1</w:t>
      </w:r>
      <w:r>
        <w:rPr>
          <w:rFonts w:ascii="Times New Roman" w:cs="Times New Roman" w:eastAsia="Times New Roman" w:hAnsi="Times New Roman"/>
          <w:sz w:val="29"/>
          <w:szCs w:val="29"/>
          <w:color w:val="auto"/>
          <w:vertAlign w:val="superscript"/>
        </w:rPr>
        <w:t>st</w:t>
      </w:r>
      <w:r>
        <w:rPr>
          <w:rFonts w:ascii="Times New Roman" w:cs="Times New Roman" w:eastAsia="Times New Roman" w:hAnsi="Times New Roman"/>
          <w:sz w:val="18"/>
          <w:szCs w:val="18"/>
          <w:color w:val="auto"/>
        </w:rPr>
        <w:t>) Trading Day following the date hereof</w:t>
      </w:r>
    </w:p>
    <w:p>
      <w:pPr>
        <w:spacing w:after="0" w:line="1" w:lineRule="exact"/>
        <w:rPr>
          <w:sz w:val="20"/>
          <w:szCs w:val="20"/>
          <w:color w:val="auto"/>
        </w:rPr>
      </w:pPr>
    </w:p>
    <w:p>
      <w:pPr>
        <w:jc w:val="both"/>
        <w:ind w:right="20"/>
        <w:spacing w:after="0" w:line="209" w:lineRule="auto"/>
        <w:rPr>
          <w:sz w:val="20"/>
          <w:szCs w:val="20"/>
          <w:color w:val="auto"/>
        </w:rPr>
      </w:pPr>
      <w:r>
        <w:rPr>
          <w:rFonts w:ascii="Times New Roman" w:cs="Times New Roman" w:eastAsia="Times New Roman" w:hAnsi="Times New Roman"/>
          <w:sz w:val="18"/>
          <w:szCs w:val="18"/>
          <w:color w:val="auto"/>
        </w:rPr>
        <w:t>(or the second (2</w:t>
      </w:r>
      <w:r>
        <w:rPr>
          <w:rFonts w:ascii="Times New Roman" w:cs="Times New Roman" w:eastAsia="Times New Roman" w:hAnsi="Times New Roman"/>
          <w:sz w:val="29"/>
          <w:szCs w:val="29"/>
          <w:color w:val="auto"/>
          <w:vertAlign w:val="superscript"/>
        </w:rPr>
        <w:t>nd</w:t>
      </w:r>
      <w:r>
        <w:rPr>
          <w:rFonts w:ascii="Times New Roman" w:cs="Times New Roman" w:eastAsia="Times New Roman" w:hAnsi="Times New Roman"/>
          <w:sz w:val="18"/>
          <w:szCs w:val="18"/>
          <w:color w:val="auto"/>
        </w:rPr>
        <w:t>) Trading Day following the date hereof if this Agreement is signed on a day that is not a Trading Day or after 4:00 p.m. (New York City time) and before midnight (New York City time) on a Trading Day).</w:t>
      </w:r>
    </w:p>
    <w:p>
      <w:pPr>
        <w:spacing w:after="0" w:line="19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Commission</w:t>
      </w:r>
      <w:r>
        <w:rPr>
          <w:rFonts w:ascii="Times New Roman" w:cs="Times New Roman" w:eastAsia="Times New Roman" w:hAnsi="Times New Roman"/>
          <w:sz w:val="18"/>
          <w:szCs w:val="18"/>
          <w:color w:val="auto"/>
        </w:rPr>
        <w:t>” means the United States Securities and Exchange Commission.</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IP Counsel</w:t>
      </w:r>
      <w:r>
        <w:rPr>
          <w:rFonts w:ascii="Times New Roman" w:cs="Times New Roman" w:eastAsia="Times New Roman" w:hAnsi="Times New Roman"/>
          <w:sz w:val="18"/>
          <w:szCs w:val="18"/>
          <w:color w:val="auto"/>
        </w:rPr>
        <w:t>” means Fenwick &amp; West LLP.</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Italian Counsel</w:t>
      </w:r>
      <w:r>
        <w:rPr>
          <w:rFonts w:ascii="Times New Roman" w:cs="Times New Roman" w:eastAsia="Times New Roman" w:hAnsi="Times New Roman"/>
          <w:sz w:val="18"/>
          <w:szCs w:val="18"/>
          <w:color w:val="auto"/>
        </w:rPr>
        <w:t>” means LEXIA.</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U.S. Counsel</w:t>
      </w:r>
      <w:r>
        <w:rPr>
          <w:rFonts w:ascii="Times New Roman" w:cs="Times New Roman" w:eastAsia="Times New Roman" w:hAnsi="Times New Roman"/>
          <w:sz w:val="18"/>
          <w:szCs w:val="18"/>
          <w:color w:val="auto"/>
        </w:rPr>
        <w:t>” means Orrick, Herrington &amp; Sutcliffe LLP.</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Deposit Agreement</w:t>
      </w:r>
      <w:r>
        <w:rPr>
          <w:rFonts w:ascii="Times New Roman" w:cs="Times New Roman" w:eastAsia="Times New Roman" w:hAnsi="Times New Roman"/>
          <w:sz w:val="18"/>
          <w:szCs w:val="18"/>
          <w:color w:val="auto"/>
        </w:rPr>
        <w:t>” means the Deposit Agreement dated as of December 17, 2021, among the Company, The Bank of New York Mellon as Depositary and the owners and holders of ADSs from time to time, as such agreement may be amended or supplemented.</w:t>
      </w:r>
    </w:p>
    <w:p>
      <w:pPr>
        <w:spacing w:after="0" w:line="16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Depositary</w:t>
      </w:r>
      <w:r>
        <w:rPr>
          <w:rFonts w:ascii="Times New Roman" w:cs="Times New Roman" w:eastAsia="Times New Roman" w:hAnsi="Times New Roman"/>
          <w:sz w:val="18"/>
          <w:szCs w:val="18"/>
          <w:color w:val="auto"/>
        </w:rPr>
        <w:t>” means The Bank of New York Mellon and any successor depositary of the Company.</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Disclosure Schedules</w:t>
      </w:r>
      <w:r>
        <w:rPr>
          <w:rFonts w:ascii="Times New Roman" w:cs="Times New Roman" w:eastAsia="Times New Roman" w:hAnsi="Times New Roman"/>
          <w:sz w:val="18"/>
          <w:szCs w:val="18"/>
          <w:color w:val="auto"/>
        </w:rPr>
        <w:t>” means the Disclosure Schedules of the Company delivered concurrently herewith.</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Disclosure Time</w:t>
      </w:r>
      <w:r>
        <w:rPr>
          <w:rFonts w:ascii="Times New Roman" w:cs="Times New Roman" w:eastAsia="Times New Roman" w:hAnsi="Times New Roman"/>
          <w:sz w:val="18"/>
          <w:szCs w:val="18"/>
          <w:color w:val="auto"/>
        </w:rPr>
        <w:t>” means, (i) if this Agreement is signed on a day that is not a Trading Day or after 9:00 a.m. (New York City time) and before midnight (New York City time) on any Trading Day, 9:01 a.m. (New York City time) on the Trading Day immediately following the date hereof, unless otherwise instructed as to an earlier time by the Placement Agent, and (ii) if this Agreement is signed between midnight (New York City time) and 9:00 a.m. (New York City time) on any Trading Day, no later than 9:01 a.m. (New York City time) on the date hereof, unless otherwise instructed as to an earlier time by the Placement Agent.</w:t>
      </w:r>
    </w:p>
    <w:p>
      <w:pPr>
        <w:spacing w:after="0" w:line="18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DWAC</w:t>
      </w:r>
      <w:r>
        <w:rPr>
          <w:rFonts w:ascii="Times New Roman" w:cs="Times New Roman" w:eastAsia="Times New Roman" w:hAnsi="Times New Roman"/>
          <w:sz w:val="18"/>
          <w:szCs w:val="18"/>
          <w:color w:val="auto"/>
        </w:rPr>
        <w:t>” shall have the meaning ascribed to such term in Section 2.2(a)(v).</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EGS</w:t>
      </w:r>
      <w:r>
        <w:rPr>
          <w:rFonts w:ascii="Times New Roman" w:cs="Times New Roman" w:eastAsia="Times New Roman" w:hAnsi="Times New Roman"/>
          <w:sz w:val="18"/>
          <w:szCs w:val="18"/>
          <w:color w:val="auto"/>
        </w:rPr>
        <w:t>” means Ellenoff Grossman &amp; Schole LLP, with offices located at 1345 Avenue of the Americas, New York, New York 10105-</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0302.</w:t>
      </w:r>
    </w:p>
    <w:p>
      <w:pPr>
        <w:spacing w:after="0" w:line="20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EMA</w:t>
      </w:r>
      <w:r>
        <w:rPr>
          <w:rFonts w:ascii="Times New Roman" w:cs="Times New Roman" w:eastAsia="Times New Roman" w:hAnsi="Times New Roman"/>
          <w:sz w:val="18"/>
          <w:szCs w:val="18"/>
          <w:color w:val="auto"/>
        </w:rPr>
        <w:t>” shall have the meaning ascribed to such term in Section 3.1(hh).</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Evaluation Date</w:t>
      </w:r>
      <w:r>
        <w:rPr>
          <w:rFonts w:ascii="Times New Roman" w:cs="Times New Roman" w:eastAsia="Times New Roman" w:hAnsi="Times New Roman"/>
          <w:sz w:val="18"/>
          <w:szCs w:val="18"/>
          <w:color w:val="auto"/>
        </w:rPr>
        <w:t>” shall have the meaning ascribed to such term in Section 3.1(s).</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Exchange Act</w:t>
      </w:r>
      <w:r>
        <w:rPr>
          <w:rFonts w:ascii="Times New Roman" w:cs="Times New Roman" w:eastAsia="Times New Roman" w:hAnsi="Times New Roman"/>
          <w:sz w:val="18"/>
          <w:szCs w:val="18"/>
          <w:color w:val="auto"/>
        </w:rPr>
        <w:t>” means the Securities Exchange Act of 1934, as amended, and the rules and regulations promulgated thereunder.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291465</wp:posOffset>
            </wp:positionV>
            <wp:extent cx="71323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0"/>
          </w:cols>
          <w:pgMar w:left="980" w:top="688" w:right="339" w:bottom="1440" w:gutter="0" w:footer="0" w:header="0"/>
        </w:sectPr>
      </w:pPr>
    </w:p>
    <w:bookmarkStart w:id="10" w:name="page11"/>
    <w:bookmarkEnd w:id="10"/>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Exempt Issuance</w:t>
      </w:r>
      <w:r>
        <w:rPr>
          <w:rFonts w:ascii="Times New Roman" w:cs="Times New Roman" w:eastAsia="Times New Roman" w:hAnsi="Times New Roman"/>
          <w:sz w:val="18"/>
          <w:szCs w:val="18"/>
          <w:color w:val="auto"/>
        </w:rPr>
        <w:t>” means the issuance of (a) Ordinary Shares, ADSs or options to employees, officers or directors of the Company pursuant to any share or option plan duly adopted for such purpose, which issuance was approved by a majority of the non-employee members of the Board of Directors or a majority of the members of a committee of non-employee directors established for such purpose for services rendered to the Company, (b) ADSs or Ordinary Shares upon the exercise or exchange of or conversion of any Securities issued hereunder and/or securities exercisable or exchangeable for or convertible into ADSs or Ordinary Shares issued and outstanding on the date of this Agreement, provided that such securities have not been amended since the date of this Agreement to increase the number of such securities or to decrease the exercise price, exchange price or conversion price of such securities (other than in connection with share splits or combinations) or to extend the term of such securities, and (c) securities issued pursuant to acquisitions or strategic transactions approved by a majority of the disinterested directors of the Company, provided that such securities are issued as “restricted securities” (as defined in Rule 144) and carry no registration rights that require or permit the filing of any registration statement in connection therewith during the prohibition period in Section 4.11(a) herein, and provided that any such issuance shall only be to a Person (or to the equityholders of a Person) which is, itself or through its subsidiaries, an operating company or an owner of an asset in a business and shall provide to the Company additional benefits in addition to the investment of funds, but shall not include a transaction in which the Company is issuing securities primarily for the purpose of raising capital or to an entity whose primary business is investing in securities.</w:t>
      </w:r>
    </w:p>
    <w:p>
      <w:pPr>
        <w:spacing w:after="0" w:line="19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FCPA</w:t>
      </w:r>
      <w:r>
        <w:rPr>
          <w:rFonts w:ascii="Times New Roman" w:cs="Times New Roman" w:eastAsia="Times New Roman" w:hAnsi="Times New Roman"/>
          <w:sz w:val="18"/>
          <w:szCs w:val="18"/>
          <w:color w:val="auto"/>
        </w:rPr>
        <w:t>” means the Foreign Corrupt Practices Act of 1977, as amended.</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GAAP</w:t>
      </w:r>
      <w:r>
        <w:rPr>
          <w:rFonts w:ascii="Times New Roman" w:cs="Times New Roman" w:eastAsia="Times New Roman" w:hAnsi="Times New Roman"/>
          <w:sz w:val="18"/>
          <w:szCs w:val="18"/>
          <w:color w:val="auto"/>
        </w:rPr>
        <w:t>” shall have the meaning ascribed to such term in Section 3.1(h).</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Indebtedness</w:t>
      </w:r>
      <w:r>
        <w:rPr>
          <w:rFonts w:ascii="Times New Roman" w:cs="Times New Roman" w:eastAsia="Times New Roman" w:hAnsi="Times New Roman"/>
          <w:sz w:val="18"/>
          <w:szCs w:val="18"/>
          <w:color w:val="auto"/>
        </w:rPr>
        <w:t>” shall have the meaning ascribed to such term in Section 3.1(aa).</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Intellectual Property Rights</w:t>
      </w:r>
      <w:r>
        <w:rPr>
          <w:rFonts w:ascii="Times New Roman" w:cs="Times New Roman" w:eastAsia="Times New Roman" w:hAnsi="Times New Roman"/>
          <w:sz w:val="18"/>
          <w:szCs w:val="18"/>
          <w:color w:val="auto"/>
        </w:rPr>
        <w:t>” shall have the meaning ascribed to such term in Section 3.1(p).</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Liens</w:t>
      </w:r>
      <w:r>
        <w:rPr>
          <w:rFonts w:ascii="Times New Roman" w:cs="Times New Roman" w:eastAsia="Times New Roman" w:hAnsi="Times New Roman"/>
          <w:sz w:val="18"/>
          <w:szCs w:val="18"/>
          <w:color w:val="auto"/>
        </w:rPr>
        <w:t>” means a lien, charge, pledge, security interest, encumbrance, right of first refusal, preemptive right or other restriction.</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Lock-Up Agreement</w:t>
      </w:r>
      <w:r>
        <w:rPr>
          <w:rFonts w:ascii="Times New Roman" w:cs="Times New Roman" w:eastAsia="Times New Roman" w:hAnsi="Times New Roman"/>
          <w:sz w:val="18"/>
          <w:szCs w:val="18"/>
          <w:color w:val="auto"/>
        </w:rPr>
        <w:t>” means the Lock-Up Agreement, dated as of the date hereof, by and among the Company and the directors and officers of the Company, in the form and substance satisfactory to the Placement Agent.</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Mandatory Convertible Bonds</w:t>
      </w:r>
      <w:r>
        <w:rPr>
          <w:rFonts w:ascii="Times New Roman" w:cs="Times New Roman" w:eastAsia="Times New Roman" w:hAnsi="Times New Roman"/>
          <w:sz w:val="18"/>
          <w:szCs w:val="18"/>
          <w:color w:val="auto"/>
        </w:rPr>
        <w:t>” means the mandatory convertible bond loan denominated “MANDATORY CONVERTIBLE LOAN GENENTA 2025-2028” issuable in two tranches pursuant to a subscription agreement dated March 12, 2025, between the Company and Fondazione Enea Tech e Biomedical, a private law foundation subject to the supervision of the Ministry of Enterprises and Made in Italy (the “</w:t>
      </w:r>
      <w:r>
        <w:rPr>
          <w:rFonts w:ascii="Times New Roman" w:cs="Times New Roman" w:eastAsia="Times New Roman" w:hAnsi="Times New Roman"/>
          <w:sz w:val="18"/>
          <w:szCs w:val="18"/>
          <w:u w:val="single" w:color="auto"/>
          <w:color w:val="auto"/>
        </w:rPr>
        <w:t>Mandatory Convertible Bond Subscription Agreement</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262890</wp:posOffset>
            </wp:positionV>
            <wp:extent cx="713232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688" w:right="339" w:bottom="1440" w:gutter="0" w:footer="0" w:header="0"/>
        </w:sectPr>
      </w:pPr>
    </w:p>
    <w:bookmarkStart w:id="11" w:name="page12"/>
    <w:bookmarkEnd w:id="11"/>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Material Adverse Effect</w:t>
      </w:r>
      <w:r>
        <w:rPr>
          <w:rFonts w:ascii="Times New Roman" w:cs="Times New Roman" w:eastAsia="Times New Roman" w:hAnsi="Times New Roman"/>
          <w:sz w:val="18"/>
          <w:szCs w:val="18"/>
          <w:color w:val="auto"/>
        </w:rPr>
        <w:t>” shall have the meaning assigned to such term in Section 3.1(b).</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Material Permits</w:t>
      </w:r>
      <w:r>
        <w:rPr>
          <w:rFonts w:ascii="Times New Roman" w:cs="Times New Roman" w:eastAsia="Times New Roman" w:hAnsi="Times New Roman"/>
          <w:sz w:val="18"/>
          <w:szCs w:val="18"/>
          <w:color w:val="auto"/>
        </w:rPr>
        <w:t>” shall have the meaning ascribed to such term in Section 3.1(n).</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Ordinary Shares</w:t>
      </w:r>
      <w:r>
        <w:rPr>
          <w:rFonts w:ascii="Times New Roman" w:cs="Times New Roman" w:eastAsia="Times New Roman" w:hAnsi="Times New Roman"/>
          <w:sz w:val="18"/>
          <w:szCs w:val="18"/>
          <w:color w:val="auto"/>
        </w:rPr>
        <w:t>” means the ordinary shares of the Company, no par value per share, and any other class of securities into which such securities may hereafter be reclassified or changed.</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Ordinary Share Equivalents</w:t>
      </w:r>
      <w:r>
        <w:rPr>
          <w:rFonts w:ascii="Times New Roman" w:cs="Times New Roman" w:eastAsia="Times New Roman" w:hAnsi="Times New Roman"/>
          <w:sz w:val="18"/>
          <w:szCs w:val="18"/>
          <w:color w:val="auto"/>
        </w:rPr>
        <w:t>” means any securities of the Company or the Subsidiaries which would entitle the holder thereof to acquire at any time Ordinary Shares or ADSs, including, without limitation, any debt, preferred share, right, option, warrant or other instrument that is at any time convertible into or exercisable or exchangeable for, or otherwise entitles the holder thereof to receive, Ordinary Shares or ADSs.</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 ADS Purchase Price</w:t>
      </w:r>
      <w:r>
        <w:rPr>
          <w:rFonts w:ascii="Times New Roman" w:cs="Times New Roman" w:eastAsia="Times New Roman" w:hAnsi="Times New Roman"/>
          <w:sz w:val="18"/>
          <w:szCs w:val="18"/>
          <w:color w:val="auto"/>
        </w:rPr>
        <w:t>” equals $3.50 (inclusive of any Depositary fee on the issuance of the ADSs), subject to adjustment for reverse and forward share splits, share dividends, share combinations and other similar transactions of the ADSs and/or the Ordinary Shares, as applicable, that occur after the date of this Agreement and prior to the Closing Date.</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Person</w:t>
      </w:r>
      <w:r>
        <w:rPr>
          <w:rFonts w:ascii="Times New Roman" w:cs="Times New Roman" w:eastAsia="Times New Roman" w:hAnsi="Times New Roman"/>
          <w:sz w:val="18"/>
          <w:szCs w:val="18"/>
          <w:color w:val="auto"/>
        </w:rPr>
        <w:t>” means an individual or corporation, partnership, trust, incorporated or unincorporated association, joint venture, limited liability company, joint stock company, government (or an agency or subdivision thereof) or other entity of any kind.</w:t>
      </w:r>
    </w:p>
    <w:p>
      <w:pPr>
        <w:spacing w:after="0" w:line="16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Placement Agent</w:t>
      </w:r>
      <w:r>
        <w:rPr>
          <w:rFonts w:ascii="Times New Roman" w:cs="Times New Roman" w:eastAsia="Times New Roman" w:hAnsi="Times New Roman"/>
          <w:sz w:val="18"/>
          <w:szCs w:val="18"/>
          <w:color w:val="auto"/>
        </w:rPr>
        <w:t>” means Maxim Group LLC and Rodman &amp; Renshaw LLC.</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Proceeding</w:t>
      </w:r>
      <w:r>
        <w:rPr>
          <w:rFonts w:ascii="Times New Roman" w:cs="Times New Roman" w:eastAsia="Times New Roman" w:hAnsi="Times New Roman"/>
          <w:sz w:val="18"/>
          <w:szCs w:val="18"/>
          <w:color w:val="auto"/>
        </w:rPr>
        <w:t>” means an action, claim, suit, investigation or proceeding (including, without limitation, an informal investigation or partial proceeding, such as a deposition), whether commenced or threatened.</w:t>
      </w:r>
    </w:p>
    <w:p>
      <w:pPr>
        <w:spacing w:after="0" w:line="16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Prospectus</w:t>
      </w:r>
      <w:r>
        <w:rPr>
          <w:rFonts w:ascii="Times New Roman" w:cs="Times New Roman" w:eastAsia="Times New Roman" w:hAnsi="Times New Roman"/>
          <w:sz w:val="18"/>
          <w:szCs w:val="18"/>
          <w:color w:val="auto"/>
        </w:rPr>
        <w:t>” means the final prospectus filed for the Registration Statement.</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Prospectus Supplement</w:t>
      </w:r>
      <w:r>
        <w:rPr>
          <w:rFonts w:ascii="Times New Roman" w:cs="Times New Roman" w:eastAsia="Times New Roman" w:hAnsi="Times New Roman"/>
          <w:sz w:val="18"/>
          <w:szCs w:val="18"/>
          <w:color w:val="auto"/>
        </w:rPr>
        <w:t>” means the supplement to the Prospectus complying with Rule 424(b) of the Securities Act that is filed with the Commission and delivered by the Company to each Purchaser at the Closing.</w:t>
      </w:r>
    </w:p>
    <w:p>
      <w:pPr>
        <w:spacing w:after="0" w:line="16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Purchaser Party</w:t>
      </w:r>
      <w:r>
        <w:rPr>
          <w:rFonts w:ascii="Times New Roman" w:cs="Times New Roman" w:eastAsia="Times New Roman" w:hAnsi="Times New Roman"/>
          <w:sz w:val="18"/>
          <w:szCs w:val="18"/>
          <w:color w:val="auto"/>
        </w:rPr>
        <w:t>” shall have the meaning ascribed to such term in Section 4.8.</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Registration Statement</w:t>
      </w:r>
      <w:r>
        <w:rPr>
          <w:rFonts w:ascii="Times New Roman" w:cs="Times New Roman" w:eastAsia="Times New Roman" w:hAnsi="Times New Roman"/>
          <w:sz w:val="18"/>
          <w:szCs w:val="18"/>
          <w:color w:val="auto"/>
        </w:rPr>
        <w:t>” means the effective registration statement on Form F-3 (File No. 333-271901) which registers the sale of the ADSs to the Purchasers, including all information, documents and exhibits filed with or incorporated by reference into such registration statement, and includes any Rule 462(b) Registration Statement.</w:t>
      </w:r>
    </w:p>
    <w:p>
      <w:pPr>
        <w:spacing w:after="0" w:line="17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Required Approvals</w:t>
      </w:r>
      <w:r>
        <w:rPr>
          <w:rFonts w:ascii="Times New Roman" w:cs="Times New Roman" w:eastAsia="Times New Roman" w:hAnsi="Times New Roman"/>
          <w:sz w:val="18"/>
          <w:szCs w:val="18"/>
          <w:color w:val="auto"/>
        </w:rPr>
        <w:t>” shall have the meaning ascribed to such term in Section 3.1(e).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291465</wp:posOffset>
            </wp:positionV>
            <wp:extent cx="713232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688" w:right="339" w:bottom="1440" w:gutter="0" w:footer="0" w:header="0"/>
        </w:sectPr>
      </w:pPr>
    </w:p>
    <w:bookmarkStart w:id="12" w:name="page13"/>
    <w:bookmarkEnd w:id="12"/>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Rule 144</w:t>
      </w:r>
      <w:r>
        <w:rPr>
          <w:rFonts w:ascii="Times New Roman" w:cs="Times New Roman" w:eastAsia="Times New Roman" w:hAnsi="Times New Roman"/>
          <w:sz w:val="18"/>
          <w:szCs w:val="18"/>
          <w:color w:val="auto"/>
        </w:rPr>
        <w:t>” means Rule 144 promulgated by the Commission pursuant to the Securities Act, as such Rule may be amended or interpreted from time to time, or any similar rule or regulation hereafter adopted by the Commission having substantially the same purpose and effect as such Rule.</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Rule 424</w:t>
      </w:r>
      <w:r>
        <w:rPr>
          <w:rFonts w:ascii="Times New Roman" w:cs="Times New Roman" w:eastAsia="Times New Roman" w:hAnsi="Times New Roman"/>
          <w:sz w:val="18"/>
          <w:szCs w:val="18"/>
          <w:color w:val="auto"/>
        </w:rPr>
        <w:t>” means Rule 424 promulgated by the Commission pursuant to the Securities Act, as such Rule may be amended or interpreted from time to time, or any similar rule or regulation hereafter adopted by the Commission having substantially the same purpose and effect as such Rule.</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Rule 462(b) Registration Statement</w:t>
      </w:r>
      <w:r>
        <w:rPr>
          <w:rFonts w:ascii="Times New Roman" w:cs="Times New Roman" w:eastAsia="Times New Roman" w:hAnsi="Times New Roman"/>
          <w:sz w:val="18"/>
          <w:szCs w:val="18"/>
          <w:color w:val="auto"/>
        </w:rPr>
        <w:t>” means any registration statement prepared by the Company registering additional Securities, which was filed with the Commission on or prior to the date hereof and became automatically effective pursuant to Rule 462(b) promulgated by the Commission pursuant to the Securities Act.</w:t>
      </w:r>
    </w:p>
    <w:p>
      <w:pPr>
        <w:spacing w:after="0" w:line="17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 Reports</w:t>
      </w:r>
      <w:r>
        <w:rPr>
          <w:rFonts w:ascii="Times New Roman" w:cs="Times New Roman" w:eastAsia="Times New Roman" w:hAnsi="Times New Roman"/>
          <w:sz w:val="18"/>
          <w:szCs w:val="18"/>
          <w:color w:val="auto"/>
        </w:rPr>
        <w:t>” shall have the meaning ascribed to such term in Section 3.1(h).</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Securities</w:t>
      </w:r>
      <w:r>
        <w:rPr>
          <w:rFonts w:ascii="Times New Roman" w:cs="Times New Roman" w:eastAsia="Times New Roman" w:hAnsi="Times New Roman"/>
          <w:sz w:val="18"/>
          <w:szCs w:val="18"/>
          <w:color w:val="auto"/>
        </w:rPr>
        <w:t>” means the ADSs and the Shares underlying the ADSs.</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Securities Act</w:t>
      </w:r>
      <w:r>
        <w:rPr>
          <w:rFonts w:ascii="Times New Roman" w:cs="Times New Roman" w:eastAsia="Times New Roman" w:hAnsi="Times New Roman"/>
          <w:sz w:val="18"/>
          <w:szCs w:val="18"/>
          <w:color w:val="auto"/>
        </w:rPr>
        <w:t>” means the Securities Act of 1933, as amended, and the rules and regulations promulgated thereunder.</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Shares</w:t>
      </w:r>
      <w:r>
        <w:rPr>
          <w:rFonts w:ascii="Times New Roman" w:cs="Times New Roman" w:eastAsia="Times New Roman" w:hAnsi="Times New Roman"/>
          <w:sz w:val="18"/>
          <w:szCs w:val="18"/>
          <w:color w:val="auto"/>
        </w:rPr>
        <w:t>” means the Ordinary Shares of the Company, as represented by ADSs issued pursuant to the Deposit Agreement, each ADS representing one (1) Ordinary Share, issued or issuable to each Purchaser pursuant to this Agreement.</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Short Sales</w:t>
      </w:r>
      <w:r>
        <w:rPr>
          <w:rFonts w:ascii="Times New Roman" w:cs="Times New Roman" w:eastAsia="Times New Roman" w:hAnsi="Times New Roman"/>
          <w:sz w:val="18"/>
          <w:szCs w:val="18"/>
          <w:color w:val="auto"/>
        </w:rPr>
        <w:t>” means all “short sales” as defined in Rule 200 of Regulation SHO under the Exchange Act (but shall not be deemed to include locating and/or borrowing Ordinary Shares and/or ADSs).</w:t>
      </w:r>
    </w:p>
    <w:p>
      <w:pPr>
        <w:spacing w:after="0" w:line="16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Specified Courts</w:t>
      </w:r>
      <w:r>
        <w:rPr>
          <w:rFonts w:ascii="Times New Roman" w:cs="Times New Roman" w:eastAsia="Times New Roman" w:hAnsi="Times New Roman"/>
          <w:sz w:val="18"/>
          <w:szCs w:val="18"/>
          <w:color w:val="auto"/>
        </w:rPr>
        <w:t>” shall have the meaning ascribed to such term in Section 5.9.</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Subscription Amount</w:t>
      </w:r>
      <w:r>
        <w:rPr>
          <w:rFonts w:ascii="Times New Roman" w:cs="Times New Roman" w:eastAsia="Times New Roman" w:hAnsi="Times New Roman"/>
          <w:sz w:val="18"/>
          <w:szCs w:val="18"/>
          <w:color w:val="auto"/>
        </w:rPr>
        <w:t>” means, as to each Purchaser, the aggregate amount to be paid for ADSs purchased hereunder as specified below such Purchaser’s name on the signature page of this Agreement and next to the heading “Subscription Amount,” in United States dollars and in immediately available funds.</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Subsidiary</w:t>
      </w:r>
      <w:r>
        <w:rPr>
          <w:rFonts w:ascii="Times New Roman" w:cs="Times New Roman" w:eastAsia="Times New Roman" w:hAnsi="Times New Roman"/>
          <w:sz w:val="18"/>
          <w:szCs w:val="18"/>
          <w:color w:val="auto"/>
        </w:rPr>
        <w:t xml:space="preserve">” means any subsidiary of the Company as set forth on </w:t>
      </w:r>
      <w:r>
        <w:rPr>
          <w:rFonts w:ascii="Times New Roman" w:cs="Times New Roman" w:eastAsia="Times New Roman" w:hAnsi="Times New Roman"/>
          <w:sz w:val="18"/>
          <w:szCs w:val="18"/>
          <w:u w:val="single" w:color="auto"/>
          <w:color w:val="auto"/>
        </w:rPr>
        <w:t>Schedule 3.1(a)</w:t>
      </w:r>
      <w:r>
        <w:rPr>
          <w:rFonts w:ascii="Times New Roman" w:cs="Times New Roman" w:eastAsia="Times New Roman" w:hAnsi="Times New Roman"/>
          <w:sz w:val="18"/>
          <w:szCs w:val="18"/>
          <w:color w:val="auto"/>
        </w:rPr>
        <w:t>, and shall, where applicable, also include any direct or indirect subsidiary of the Company formed or acquired after the date hereof.</w:t>
      </w:r>
    </w:p>
    <w:p>
      <w:pPr>
        <w:spacing w:after="0" w:line="16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Trading Day</w:t>
      </w:r>
      <w:r>
        <w:rPr>
          <w:rFonts w:ascii="Times New Roman" w:cs="Times New Roman" w:eastAsia="Times New Roman" w:hAnsi="Times New Roman"/>
          <w:sz w:val="18"/>
          <w:szCs w:val="18"/>
          <w:color w:val="auto"/>
        </w:rPr>
        <w:t>” means a day on which the principal Trading Market is open for trading.</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Trading Market</w:t>
      </w:r>
      <w:r>
        <w:rPr>
          <w:rFonts w:ascii="Times New Roman" w:cs="Times New Roman" w:eastAsia="Times New Roman" w:hAnsi="Times New Roman"/>
          <w:sz w:val="18"/>
          <w:szCs w:val="18"/>
          <w:color w:val="auto"/>
        </w:rPr>
        <w:t>” means any of the following markets or exchanges on which the ADSs are listed or quoted for trading on the date in question: the NYSE American, the Nasdaq Capital Market, the Nasdaq Global Market, the Nasdaq Global Select Market or the New York Stock Exchange (or any successors to any of the foregoing).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260350</wp:posOffset>
            </wp:positionV>
            <wp:extent cx="713232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688" w:right="339" w:bottom="1440" w:gutter="0" w:footer="0" w:header="0"/>
        </w:sectPr>
      </w:pPr>
    </w:p>
    <w:bookmarkStart w:id="13" w:name="page14"/>
    <w:bookmarkEnd w:id="13"/>
    <w:p>
      <w:pPr>
        <w:ind w:left="660" w:right="2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Transaction Documents</w:t>
      </w:r>
      <w:r>
        <w:rPr>
          <w:rFonts w:ascii="Times New Roman" w:cs="Times New Roman" w:eastAsia="Times New Roman" w:hAnsi="Times New Roman"/>
          <w:sz w:val="18"/>
          <w:szCs w:val="18"/>
          <w:color w:val="auto"/>
        </w:rPr>
        <w:t>” means this Agreement and all exhibits and schedules thereto and hereto and any other documents or agreements executed in connection with the transactions contemplated hereunder.</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Variable Rate Transaction</w:t>
      </w:r>
      <w:r>
        <w:rPr>
          <w:rFonts w:ascii="Times New Roman" w:cs="Times New Roman" w:eastAsia="Times New Roman" w:hAnsi="Times New Roman"/>
          <w:sz w:val="18"/>
          <w:szCs w:val="18"/>
          <w:color w:val="auto"/>
        </w:rPr>
        <w:t>” shall have the meaning ascribed to such term in Section 4.11(b).</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PURCHASE AND SALE</w:t>
      </w:r>
    </w:p>
    <w:p>
      <w:pPr>
        <w:spacing w:after="0" w:line="20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2.1 </w:t>
      </w:r>
      <w:r>
        <w:rPr>
          <w:rFonts w:ascii="Times New Roman" w:cs="Times New Roman" w:eastAsia="Times New Roman" w:hAnsi="Times New Roman"/>
          <w:sz w:val="18"/>
          <w:szCs w:val="18"/>
          <w:u w:val="single" w:color="auto"/>
          <w:color w:val="auto"/>
        </w:rPr>
        <w:t>Closing</w:t>
      </w:r>
      <w:r>
        <w:rPr>
          <w:rFonts w:ascii="Times New Roman" w:cs="Times New Roman" w:eastAsia="Times New Roman" w:hAnsi="Times New Roman"/>
          <w:sz w:val="18"/>
          <w:szCs w:val="18"/>
          <w:color w:val="auto"/>
        </w:rPr>
        <w:t>. On the Closing Date, upon the terms and subject to the conditions set forth herein, the Company agrees to sell, and the Purchasers, severally and not jointly, agree to purchase, up to an aggregate of $15,000,002.50 of ADSs. Each Purchaser’s Subscription Amount as set forth on the signature page hereto executed by such Purchaser shall be made available for “Delivery Versus Payment” (“</w:t>
      </w:r>
      <w:r>
        <w:rPr>
          <w:rFonts w:ascii="Times New Roman" w:cs="Times New Roman" w:eastAsia="Times New Roman" w:hAnsi="Times New Roman"/>
          <w:sz w:val="18"/>
          <w:szCs w:val="18"/>
          <w:u w:val="single" w:color="auto"/>
          <w:color w:val="auto"/>
        </w:rPr>
        <w:t>DVP</w:t>
      </w:r>
      <w:r>
        <w:rPr>
          <w:rFonts w:ascii="Times New Roman" w:cs="Times New Roman" w:eastAsia="Times New Roman" w:hAnsi="Times New Roman"/>
          <w:sz w:val="18"/>
          <w:szCs w:val="18"/>
          <w:color w:val="auto"/>
        </w:rPr>
        <w:t>”) settlement with the Company or its designees. The Company shall deliver to each Purchaser its respective Shares as determined pursuant to Section 2.2(a), and the Company and each Purchaser shall deliver the other items set forth in Section 2.2 deliverable at the Closing. Upon satisfaction of the covenants and conditions set forth in Sections 2.2 and 2.3, the Closing shall occur at the offices of the Placement Agent or such other location as the parties shall mutually agree. Unless otherwise directed by the Placement Agent, settlement of the Shares shall occur via DVP (i.e., on the Closing Date, the Company shall issue the Shares registered in the Purchasers’ names and addresses and released by the Depositary directly to the account(s) at the Placement Agent identified by each Purchaser; upon receipt of such Shares, the Placement Agent shall promptly electronically deliver such Shares to the applicable Purchaser, and payment therefor shall be made by the Placement Agent (or its clearing firm) by wire transfer to the Company).</w:t>
      </w:r>
    </w:p>
    <w:p>
      <w:pPr>
        <w:spacing w:after="0" w:line="19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2.2 </w:t>
      </w:r>
      <w:r>
        <w:rPr>
          <w:rFonts w:ascii="Times New Roman" w:cs="Times New Roman" w:eastAsia="Times New Roman" w:hAnsi="Times New Roman"/>
          <w:sz w:val="18"/>
          <w:szCs w:val="18"/>
          <w:u w:val="single" w:color="auto"/>
          <w:color w:val="auto"/>
        </w:rPr>
        <w:t>Deliveries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560" w:hanging="256"/>
        <w:spacing w:after="0"/>
        <w:tabs>
          <w:tab w:leader="none" w:pos="15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or prior to the Closing Date (except as indicated below), the Company shall deliver or cause to be delivered to each Purchaser the</w:t>
      </w:r>
    </w:p>
    <w:p>
      <w:pPr>
        <w:spacing w:after="0" w:line="27"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following:</w:t>
      </w:r>
    </w:p>
    <w:p>
      <w:pPr>
        <w:spacing w:after="0" w:line="206" w:lineRule="exact"/>
        <w:rPr>
          <w:rFonts w:ascii="Times New Roman" w:cs="Times New Roman" w:eastAsia="Times New Roman" w:hAnsi="Times New Roman"/>
          <w:sz w:val="18"/>
          <w:szCs w:val="18"/>
          <w:color w:val="auto"/>
        </w:rPr>
      </w:pPr>
    </w:p>
    <w:p>
      <w:pPr>
        <w:ind w:left="2160" w:hanging="208"/>
        <w:spacing w:after="0"/>
        <w:tabs>
          <w:tab w:leader="none" w:pos="216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duly executed by the Company;</w:t>
      </w:r>
    </w:p>
    <w:p>
      <w:pPr>
        <w:spacing w:after="0" w:line="225" w:lineRule="exact"/>
        <w:rPr>
          <w:rFonts w:ascii="Times New Roman" w:cs="Times New Roman" w:eastAsia="Times New Roman" w:hAnsi="Times New Roman"/>
          <w:sz w:val="18"/>
          <w:szCs w:val="18"/>
          <w:color w:val="auto"/>
        </w:rPr>
      </w:pPr>
    </w:p>
    <w:p>
      <w:pPr>
        <w:ind w:left="1300" w:firstLine="652"/>
        <w:spacing w:after="0" w:line="282" w:lineRule="auto"/>
        <w:tabs>
          <w:tab w:leader="none" w:pos="2251"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legal opinion of Company U.S. Counsel directed to the Placement Agent and the Purchasers in a form reasonably acceptable to the Placement Agent;</w:t>
      </w:r>
    </w:p>
    <w:p>
      <w:pPr>
        <w:spacing w:after="0" w:line="161" w:lineRule="exact"/>
        <w:rPr>
          <w:rFonts w:ascii="Times New Roman" w:cs="Times New Roman" w:eastAsia="Times New Roman" w:hAnsi="Times New Roman"/>
          <w:sz w:val="18"/>
          <w:szCs w:val="18"/>
          <w:color w:val="auto"/>
        </w:rPr>
      </w:pPr>
    </w:p>
    <w:p>
      <w:pPr>
        <w:ind w:left="1300" w:firstLine="652"/>
        <w:spacing w:after="0" w:line="282" w:lineRule="auto"/>
        <w:tabs>
          <w:tab w:leader="none" w:pos="2287"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legal opinion of Company Italian Counsel, directed to the Placement Agent and the Purchasers, in a form reasonably acceptable to the Placement Agent;</w:t>
      </w:r>
    </w:p>
    <w:p>
      <w:pPr>
        <w:spacing w:after="0" w:line="161" w:lineRule="exact"/>
        <w:rPr>
          <w:rFonts w:ascii="Times New Roman" w:cs="Times New Roman" w:eastAsia="Times New Roman" w:hAnsi="Times New Roman"/>
          <w:sz w:val="18"/>
          <w:szCs w:val="18"/>
          <w:color w:val="auto"/>
        </w:rPr>
      </w:pPr>
    </w:p>
    <w:p>
      <w:pPr>
        <w:ind w:left="1300" w:right="20" w:firstLine="652"/>
        <w:spacing w:after="0" w:line="282" w:lineRule="auto"/>
        <w:tabs>
          <w:tab w:leader="none" w:pos="2293"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legal opinion of Company IP Counsel, directed to the Placement Agent and the Purchasers, in a form reasonably acceptable to the Placement Agent;</w:t>
      </w:r>
    </w:p>
    <w:p>
      <w:pPr>
        <w:spacing w:after="0" w:line="161" w:lineRule="exact"/>
        <w:rPr>
          <w:rFonts w:ascii="Times New Roman" w:cs="Times New Roman" w:eastAsia="Times New Roman" w:hAnsi="Times New Roman"/>
          <w:sz w:val="18"/>
          <w:szCs w:val="18"/>
          <w:color w:val="auto"/>
        </w:rPr>
      </w:pPr>
    </w:p>
    <w:p>
      <w:pPr>
        <w:jc w:val="both"/>
        <w:ind w:left="1300" w:right="20" w:firstLine="652"/>
        <w:spacing w:after="0" w:line="266" w:lineRule="auto"/>
        <w:tabs>
          <w:tab w:leader="none" w:pos="2215"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copy of the irrevocable instructions to the Depositary instructing the Depositary to deliver on an expedited basis via The Depository Trust Company Deposit or Withdrawal at Custodian system (“</w:t>
      </w:r>
      <w:r>
        <w:rPr>
          <w:rFonts w:ascii="Times New Roman" w:cs="Times New Roman" w:eastAsia="Times New Roman" w:hAnsi="Times New Roman"/>
          <w:sz w:val="18"/>
          <w:szCs w:val="18"/>
          <w:u w:val="single" w:color="auto"/>
          <w:color w:val="auto"/>
        </w:rPr>
        <w:t>DWAC</w:t>
      </w:r>
      <w:r>
        <w:rPr>
          <w:rFonts w:ascii="Times New Roman" w:cs="Times New Roman" w:eastAsia="Times New Roman" w:hAnsi="Times New Roman"/>
          <w:sz w:val="18"/>
          <w:szCs w:val="18"/>
          <w:color w:val="auto"/>
        </w:rPr>
        <w:t>”) ADSs equal to such Purchaser’s Subscription Amount divided by the Per ADS Purchase Price, registered in the name of such Purchaser;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260350</wp:posOffset>
            </wp:positionV>
            <wp:extent cx="713232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4" w:name="page15"/>
    <w:bookmarkEnd w:id="14"/>
    <w:p>
      <w:pPr>
        <w:ind w:left="1600" w:hanging="308"/>
        <w:spacing w:after="0"/>
        <w:tabs>
          <w:tab w:leader="none" w:pos="160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the date hereof, the duly executed Lock-Up Agreements; and</w:t>
      </w:r>
    </w:p>
    <w:p>
      <w:pPr>
        <w:spacing w:after="0" w:line="225" w:lineRule="exact"/>
        <w:rPr>
          <w:rFonts w:ascii="Times New Roman" w:cs="Times New Roman" w:eastAsia="Times New Roman" w:hAnsi="Times New Roman"/>
          <w:sz w:val="18"/>
          <w:szCs w:val="18"/>
          <w:color w:val="auto"/>
        </w:rPr>
      </w:pPr>
    </w:p>
    <w:p>
      <w:pPr>
        <w:ind w:left="1640" w:hanging="348"/>
        <w:spacing w:after="0"/>
        <w:tabs>
          <w:tab w:leader="none" w:pos="164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Prospectus and Prospectus Supplement (which may be delivered in accordance with Rule 172 under the Securities Act).</w:t>
      </w:r>
    </w:p>
    <w:p>
      <w:pPr>
        <w:spacing w:after="0" w:line="225" w:lineRule="exact"/>
        <w:rPr>
          <w:rFonts w:ascii="Times New Roman" w:cs="Times New Roman" w:eastAsia="Times New Roman" w:hAnsi="Times New Roman"/>
          <w:sz w:val="18"/>
          <w:szCs w:val="18"/>
          <w:color w:val="auto"/>
        </w:rPr>
      </w:pPr>
    </w:p>
    <w:p>
      <w:pPr>
        <w:ind w:left="900" w:hanging="256"/>
        <w:spacing w:after="0"/>
        <w:tabs>
          <w:tab w:leader="none" w:pos="9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or prior to the Closing Date, each Purchaser shall deliver or cause to be delivered to the Company the following:</w:t>
      </w:r>
    </w:p>
    <w:p>
      <w:pPr>
        <w:spacing w:after="0" w:line="225" w:lineRule="exact"/>
        <w:rPr>
          <w:rFonts w:ascii="Times New Roman" w:cs="Times New Roman" w:eastAsia="Times New Roman" w:hAnsi="Times New Roman"/>
          <w:sz w:val="18"/>
          <w:szCs w:val="18"/>
          <w:color w:val="auto"/>
        </w:rPr>
      </w:pPr>
    </w:p>
    <w:p>
      <w:pPr>
        <w:ind w:left="1500" w:hanging="208"/>
        <w:spacing w:after="0"/>
        <w:tabs>
          <w:tab w:leader="none" w:pos="150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duly executed by such Purchaser; and</w:t>
      </w:r>
    </w:p>
    <w:p>
      <w:pPr>
        <w:spacing w:after="0" w:line="225" w:lineRule="exact"/>
        <w:rPr>
          <w:rFonts w:ascii="Times New Roman" w:cs="Times New Roman" w:eastAsia="Times New Roman" w:hAnsi="Times New Roman"/>
          <w:sz w:val="18"/>
          <w:szCs w:val="18"/>
          <w:color w:val="auto"/>
        </w:rPr>
      </w:pPr>
    </w:p>
    <w:p>
      <w:pPr>
        <w:ind w:left="640" w:firstLine="652"/>
        <w:spacing w:after="0" w:line="282" w:lineRule="auto"/>
        <w:tabs>
          <w:tab w:leader="none" w:pos="1569"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Purchaser’s Subscription Amount, which shall be made available for “Delivery Versus Payment” settlement with the Company or its designee.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2.3 </w:t>
      </w:r>
      <w:r>
        <w:rPr>
          <w:rFonts w:ascii="Times New Roman" w:cs="Times New Roman" w:eastAsia="Times New Roman" w:hAnsi="Times New Roman"/>
          <w:sz w:val="18"/>
          <w:szCs w:val="18"/>
          <w:u w:val="single" w:color="auto"/>
          <w:color w:val="auto"/>
        </w:rPr>
        <w:t>Closing Conditions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880" w:hanging="236"/>
        <w:spacing w:after="0"/>
        <w:tabs>
          <w:tab w:leader="none" w:pos="8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obligations of the Company hereunder in connection with the Closing are subject to the following conditions being met:</w:t>
      </w:r>
    </w:p>
    <w:p>
      <w:pPr>
        <w:spacing w:after="0" w:line="225" w:lineRule="exact"/>
        <w:rPr>
          <w:rFonts w:ascii="Times New Roman" w:cs="Times New Roman" w:eastAsia="Times New Roman" w:hAnsi="Times New Roman"/>
          <w:sz w:val="18"/>
          <w:szCs w:val="18"/>
          <w:color w:val="auto"/>
        </w:rPr>
      </w:pPr>
    </w:p>
    <w:p>
      <w:pPr>
        <w:jc w:val="both"/>
        <w:ind w:left="640" w:firstLine="652"/>
        <w:spacing w:after="0" w:line="261" w:lineRule="auto"/>
        <w:tabs>
          <w:tab w:leader="none" w:pos="1503"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accuracy in all material respects (or, to the extent representations or warranties are qualified by materiality, in all respects) on the Closing Date of the representations and warranties of the Purchasers contained herein (unless as of a specific date therein in which case they shall be accurate in all material respects (or, to the extent representations or warranties are qualified by materiality, in all respects) as of such date);</w:t>
      </w:r>
    </w:p>
    <w:p>
      <w:pPr>
        <w:spacing w:after="0" w:line="179" w:lineRule="exact"/>
        <w:rPr>
          <w:rFonts w:ascii="Times New Roman" w:cs="Times New Roman" w:eastAsia="Times New Roman" w:hAnsi="Times New Roman"/>
          <w:sz w:val="18"/>
          <w:szCs w:val="18"/>
          <w:color w:val="auto"/>
        </w:rPr>
      </w:pPr>
    </w:p>
    <w:p>
      <w:pPr>
        <w:ind w:left="640" w:right="20" w:firstLine="652"/>
        <w:spacing w:after="0" w:line="282" w:lineRule="auto"/>
        <w:tabs>
          <w:tab w:leader="none" w:pos="1566"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obligations, covenants and agreements of each Purchaser required to be performed at or prior to the Closing Date shall have been performed; and</w:t>
      </w:r>
    </w:p>
    <w:p>
      <w:pPr>
        <w:spacing w:after="0" w:line="161" w:lineRule="exact"/>
        <w:rPr>
          <w:rFonts w:ascii="Times New Roman" w:cs="Times New Roman" w:eastAsia="Times New Roman" w:hAnsi="Times New Roman"/>
          <w:sz w:val="18"/>
          <w:szCs w:val="18"/>
          <w:color w:val="auto"/>
        </w:rPr>
      </w:pPr>
    </w:p>
    <w:p>
      <w:pPr>
        <w:ind w:left="1600" w:hanging="308"/>
        <w:spacing w:after="0"/>
        <w:tabs>
          <w:tab w:leader="none" w:pos="160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delivery by each Purchaser of the items set forth in Section 2.2(b) of this Agreement.</w:t>
      </w:r>
    </w:p>
    <w:p>
      <w:pPr>
        <w:spacing w:after="0" w:line="225" w:lineRule="exact"/>
        <w:rPr>
          <w:rFonts w:ascii="Times New Roman" w:cs="Times New Roman" w:eastAsia="Times New Roman" w:hAnsi="Times New Roman"/>
          <w:sz w:val="18"/>
          <w:szCs w:val="18"/>
          <w:color w:val="auto"/>
        </w:rPr>
      </w:pPr>
    </w:p>
    <w:p>
      <w:pPr>
        <w:ind w:left="900" w:hanging="256"/>
        <w:spacing w:after="0"/>
        <w:tabs>
          <w:tab w:leader="none" w:pos="9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respective obligations of the Purchasers hereunder in connection with the Closing are subject to the following conditions being</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met:</w:t>
      </w:r>
    </w:p>
    <w:p>
      <w:pPr>
        <w:spacing w:after="0" w:line="207" w:lineRule="exact"/>
        <w:rPr>
          <w:sz w:val="20"/>
          <w:szCs w:val="20"/>
          <w:color w:val="auto"/>
        </w:rPr>
      </w:pPr>
    </w:p>
    <w:p>
      <w:pPr>
        <w:jc w:val="both"/>
        <w:ind w:left="640" w:firstLine="652"/>
        <w:spacing w:after="0" w:line="261" w:lineRule="auto"/>
        <w:tabs>
          <w:tab w:leader="none" w:pos="1518"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accuracy in all material respects (or, to the extent representations or warranties are qualified by materiality or Material Adverse Effect, in all respects) when made and on the Closing Date of the representations and warranties of the Company contained herein (unless as of a specific date therein in which case they shall be accurate in all material respects (or, to the extent representations or warranties are qualified by materiality or Material Adverse Effect, in all respects) as of such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262890</wp:posOffset>
            </wp:positionV>
            <wp:extent cx="713232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688" w:right="339" w:bottom="1440" w:gutter="0" w:footer="0" w:header="0"/>
        </w:sectPr>
      </w:pPr>
    </w:p>
    <w:bookmarkStart w:id="15" w:name="page16"/>
    <w:bookmarkEnd w:id="15"/>
    <w:p>
      <w:pPr>
        <w:ind w:left="1300" w:firstLine="652"/>
        <w:spacing w:after="0" w:line="282" w:lineRule="auto"/>
        <w:tabs>
          <w:tab w:leader="none" w:pos="2213"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obligations, covenants and agreements of the Company required to be performed at or prior to the Closing Date shall have been performed;</w:t>
      </w:r>
    </w:p>
    <w:p>
      <w:pPr>
        <w:spacing w:after="0" w:line="161" w:lineRule="exact"/>
        <w:rPr>
          <w:rFonts w:ascii="Times New Roman" w:cs="Times New Roman" w:eastAsia="Times New Roman" w:hAnsi="Times New Roman"/>
          <w:sz w:val="18"/>
          <w:szCs w:val="18"/>
          <w:color w:val="auto"/>
        </w:rPr>
      </w:pPr>
    </w:p>
    <w:p>
      <w:pPr>
        <w:ind w:left="2260" w:hanging="308"/>
        <w:spacing w:after="0"/>
        <w:tabs>
          <w:tab w:leader="none" w:pos="22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delivery by the Company of the items set forth in Section 2.2(a) of this Agreement;</w:t>
      </w:r>
    </w:p>
    <w:p>
      <w:pPr>
        <w:spacing w:after="0" w:line="225" w:lineRule="exact"/>
        <w:rPr>
          <w:rFonts w:ascii="Times New Roman" w:cs="Times New Roman" w:eastAsia="Times New Roman" w:hAnsi="Times New Roman"/>
          <w:sz w:val="18"/>
          <w:szCs w:val="18"/>
          <w:color w:val="auto"/>
        </w:rPr>
      </w:pPr>
    </w:p>
    <w:p>
      <w:pPr>
        <w:ind w:left="2260" w:hanging="308"/>
        <w:spacing w:after="0"/>
        <w:tabs>
          <w:tab w:leader="none" w:pos="22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shall have been no Material Adverse Effect with respect to the Company since the date hereof; and</w:t>
      </w:r>
    </w:p>
    <w:p>
      <w:pPr>
        <w:spacing w:after="0" w:line="225" w:lineRule="exact"/>
        <w:rPr>
          <w:rFonts w:ascii="Times New Roman" w:cs="Times New Roman" w:eastAsia="Times New Roman" w:hAnsi="Times New Roman"/>
          <w:sz w:val="18"/>
          <w:szCs w:val="18"/>
          <w:color w:val="auto"/>
        </w:rPr>
      </w:pPr>
    </w:p>
    <w:p>
      <w:pPr>
        <w:jc w:val="both"/>
        <w:ind w:left="1300" w:firstLine="652"/>
        <w:spacing w:after="0" w:line="255" w:lineRule="auto"/>
        <w:tabs>
          <w:tab w:leader="none" w:pos="2224"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the date hereof to the Closing Date, trading in the ADSs shall not have been suspended by the Commission or the Company’s principal Trading Market, and, at any time prior to the Closing Date, trading in securities generally as reported by Bloomberg L.P. shall not have been suspended or limited, or minimum prices shall not have been established on securities whose trades are reported by such service, or on any Trading Market, nor shall a banking moratorium have been declared either by the United States or New York State authorities nor shall there have occurred any material outbreak or escalation of hostilities or other national or international calamity of such magnitude in its effect on, or any material adverse change in, any financial market which, in each case, in the reasonable judgment of such Purchaser, makes it impracticable or inadvisable to purchase the Securities at the Closing.</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REPRESENTATIONS AND WARRANTIES</w:t>
      </w:r>
    </w:p>
    <w:p>
      <w:pPr>
        <w:spacing w:after="0" w:line="20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3.1 </w:t>
      </w:r>
      <w:r>
        <w:rPr>
          <w:rFonts w:ascii="Times New Roman" w:cs="Times New Roman" w:eastAsia="Times New Roman" w:hAnsi="Times New Roman"/>
          <w:sz w:val="18"/>
          <w:szCs w:val="18"/>
          <w:u w:val="single" w:color="auto"/>
          <w:color w:val="auto"/>
        </w:rPr>
        <w:t>Representations and Warranties of the Company</w:t>
      </w:r>
      <w:r>
        <w:rPr>
          <w:rFonts w:ascii="Times New Roman" w:cs="Times New Roman" w:eastAsia="Times New Roman" w:hAnsi="Times New Roman"/>
          <w:sz w:val="18"/>
          <w:szCs w:val="18"/>
          <w:color w:val="auto"/>
        </w:rPr>
        <w:t>. Except as set forth in the Disclosure Schedules, which Disclosure Schedules shall be deemed a part hereof and shall qualify any representation made herein to the extent of the disclosure contained in the corresponding section of the Disclosure Schedules, the Company hereby makes the following representations and warranties to each Purchaser:</w:t>
      </w:r>
    </w:p>
    <w:p>
      <w:pPr>
        <w:spacing w:after="0" w:line="176" w:lineRule="exact"/>
        <w:rPr>
          <w:sz w:val="20"/>
          <w:szCs w:val="20"/>
          <w:color w:val="auto"/>
        </w:rPr>
      </w:pPr>
    </w:p>
    <w:p>
      <w:pPr>
        <w:jc w:val="both"/>
        <w:ind w:left="660" w:firstLine="644"/>
        <w:spacing w:after="0" w:line="253" w:lineRule="auto"/>
        <w:tabs>
          <w:tab w:leader="none" w:pos="1552"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Subsidiaries</w:t>
      </w:r>
      <w:r>
        <w:rPr>
          <w:rFonts w:ascii="Times New Roman" w:cs="Times New Roman" w:eastAsia="Times New Roman" w:hAnsi="Times New Roman"/>
          <w:sz w:val="18"/>
          <w:szCs w:val="18"/>
          <w:color w:val="auto"/>
        </w:rPr>
        <w:t xml:space="preserve">. All of the direct and indirect subsidiaries of the Company that are wholly and/or partially owned (directly or indirectly) by the Company or that constitute significant subsidiaries within the meaning of Item 601(b)(21)(ii) of Regulation S-K are set forth on </w:t>
      </w:r>
      <w:r>
        <w:rPr>
          <w:rFonts w:ascii="Times New Roman" w:cs="Times New Roman" w:eastAsia="Times New Roman" w:hAnsi="Times New Roman"/>
          <w:sz w:val="18"/>
          <w:szCs w:val="18"/>
          <w:u w:val="single" w:color="auto"/>
          <w:color w:val="auto"/>
        </w:rPr>
        <w:t>Schedule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3.1(a)</w:t>
      </w:r>
      <w:r>
        <w:rPr>
          <w:rFonts w:ascii="Times New Roman" w:cs="Times New Roman" w:eastAsia="Times New Roman" w:hAnsi="Times New Roman"/>
          <w:sz w:val="18"/>
          <w:szCs w:val="18"/>
          <w:color w:val="auto"/>
        </w:rPr>
        <w:t>. The Company owns, directly or indirectly, all of the share capital or other equity interests of each Subsidiary, free and clear of any Liens, and all of the issued and outstanding share capital of each Subsidiary are validly issued and are fully paid, non-assessable and free of preemptive and similar rights to subscribe for or purchase securities. There are no outstanding options, warrants, scrips or rights to subscribe to, calls or commitments of any character whatsoever relating to, or securities, rights or obligations convertible into or exercisable or exchangeable for, or giving any Person any right to subscribe for or acquire, any capital shares or equity interests, as applicable, of any Subsidiary, or contracts, commitments, understandings or arrangements by which any Subsidiary is or may become bound to issue capital shares or equity interests, as applicable. If the Company has no subsidiaries, all other references to the Subsidiaries or any of them in the Transaction Documents shall be disregarded.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271780</wp:posOffset>
            </wp:positionV>
            <wp:extent cx="713232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6" w:name="page17"/>
    <w:bookmarkEnd w:id="16"/>
    <w:p>
      <w:pPr>
        <w:jc w:val="both"/>
        <w:ind w:left="-460" w:firstLine="644"/>
        <w:spacing w:after="0" w:line="253" w:lineRule="auto"/>
        <w:tabs>
          <w:tab w:leader="none" w:pos="456"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Organization and Qualification</w:t>
      </w:r>
      <w:r>
        <w:rPr>
          <w:rFonts w:ascii="Times New Roman" w:cs="Times New Roman" w:eastAsia="Times New Roman" w:hAnsi="Times New Roman"/>
          <w:sz w:val="18"/>
          <w:szCs w:val="18"/>
          <w:color w:val="auto"/>
        </w:rPr>
        <w:t>. The Company and each of the Subsidiaries is an entity duly incorporated or otherwise organized, validly existing, and, if applicable under the laws of the jurisdiction in which they are formed, in good standing (or the equivalent thereof) under the laws of the jurisdiction of its incorporation or organization, with the requisite power and authority to own and use its properties and assets and to carry on its business as currently conducted. Neither the Company nor any Subsidiary is in violation nor default of any of the provisions of its respective memorandum of association, articles of association, certificate or articles of incorporation, bylaws or other organizational or charter documents. Each of the Company and the Subsidiaries is duly qualified to conduct business and is in good standing (or the equivalent thereof) as a foreign corporation or other entity in each jurisdiction in which the nature of the business conducted or property owned by it makes such qualification necessary, except where the failure to be so qualified or in good standing, as the case may be, would not have or reasonably be expected to result in: (i) a material adverse effect on the legality, validity or enforceability of any Transaction Document, (ii) a material adverse effect on the results of operations, assets, business, prospects or condition (financial or otherwise) of the Company and the Subsidiaries, taken as a whole, or (iii) a material adverse effect on the Company’s ability to perform in any material respect on a timely basis its obligations under any Transaction Document (any of (i), (ii) or (iii), a “</w:t>
      </w:r>
      <w:r>
        <w:rPr>
          <w:rFonts w:ascii="Times New Roman" w:cs="Times New Roman" w:eastAsia="Times New Roman" w:hAnsi="Times New Roman"/>
          <w:sz w:val="18"/>
          <w:szCs w:val="18"/>
          <w:u w:val="single" w:color="auto"/>
          <w:color w:val="auto"/>
        </w:rPr>
        <w:t>Material Adverse Effect</w:t>
      </w:r>
      <w:r>
        <w:rPr>
          <w:rFonts w:ascii="Times New Roman" w:cs="Times New Roman" w:eastAsia="Times New Roman" w:hAnsi="Times New Roman"/>
          <w:sz w:val="18"/>
          <w:szCs w:val="18"/>
          <w:color w:val="auto"/>
        </w:rPr>
        <w:t>”) and no Proceeding has been instituted in any such jurisdiction revoking, limiting or curtailing or seeking to revoke, limit or curtail such power and authority or qualification.</w:t>
      </w:r>
    </w:p>
    <w:p>
      <w:pPr>
        <w:spacing w:after="0" w:line="187" w:lineRule="exact"/>
        <w:rPr>
          <w:rFonts w:ascii="Times New Roman" w:cs="Times New Roman" w:eastAsia="Times New Roman" w:hAnsi="Times New Roman"/>
          <w:sz w:val="18"/>
          <w:szCs w:val="18"/>
          <w:color w:val="auto"/>
        </w:rPr>
      </w:pPr>
    </w:p>
    <w:p>
      <w:pPr>
        <w:jc w:val="both"/>
        <w:ind w:left="-460" w:firstLine="644"/>
        <w:spacing w:after="0" w:line="253" w:lineRule="auto"/>
        <w:tabs>
          <w:tab w:leader="none" w:pos="446"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Authorization; Enforcement</w:t>
      </w:r>
      <w:r>
        <w:rPr>
          <w:rFonts w:ascii="Times New Roman" w:cs="Times New Roman" w:eastAsia="Times New Roman" w:hAnsi="Times New Roman"/>
          <w:sz w:val="18"/>
          <w:szCs w:val="18"/>
          <w:color w:val="auto"/>
        </w:rPr>
        <w:t>. The Company has, as of the date hereof, the requisite corporate power and authority to enter into this Agreement and each of the other Transaction Documents and will have, as of the Closing, the requisite corporate power and authority to consummate the transactions contemplated by this Agreement and each of the other Transaction Documents and otherwise to carry out its obligations hereunder and thereunder. The execution and delivery of this Agreement and each of the other Transaction Documents by the Company and the consummation by it of the transactions contemplated hereby and thereby have been duly authorized by all necessary action on the part of the Company and no further action is required by the Company, the Board of Directors or the Company’s shareholders in connection herewith or therewith other than in connection with the Required Approvals. This Agreement and each other Transaction Document to which it is a party has been (or upon delivery will have been) duly executed by the Company and, when delivered in accordance with the terms hereof and thereof, will constitute the valid and binding obligation of the Company enforceable against the Company in accordance with its terms, except (i) as limited by general equitable principles and applicable bankruptcy, insolvency, reorganization, moratorium and other laws of general application affecting enforcement of creditors’ rights generally, (ii) as limited by laws relating to the availability of specific performance, injunctive relief or other equitable remedies and (iii) insofar as indemnification and contribution provisions may be limited by applicable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269240</wp:posOffset>
            </wp:positionV>
            <wp:extent cx="713232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688" w:right="339" w:bottom="1440" w:gutter="0" w:footer="0" w:header="0"/>
        </w:sectPr>
      </w:pPr>
    </w:p>
    <w:bookmarkStart w:id="17" w:name="page18"/>
    <w:bookmarkEnd w:id="17"/>
    <w:p>
      <w:pPr>
        <w:jc w:val="both"/>
        <w:ind w:left="4" w:firstLine="644"/>
        <w:spacing w:after="0" w:line="253" w:lineRule="auto"/>
        <w:tabs>
          <w:tab w:leader="none" w:pos="907"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Conflicts</w:t>
      </w:r>
      <w:r>
        <w:rPr>
          <w:rFonts w:ascii="Times New Roman" w:cs="Times New Roman" w:eastAsia="Times New Roman" w:hAnsi="Times New Roman"/>
          <w:sz w:val="18"/>
          <w:szCs w:val="18"/>
          <w:color w:val="auto"/>
        </w:rPr>
        <w:t>. The execution, delivery and performance by the Company of this Agreement and the other Transaction Documents to which it is a party, the issuance and sale of the Securities and the consummation by it of the transactions contemplated hereby and thereby do not and will not (i) conflict with or violate any provision of the Company’s or any Subsidiary’s memorandum of association, articles of association, certificate or articles of incorporation, bylaws or other organizational or charter documents, or (ii) conflict with, or constitute a default (or an event that with notice or lapse of time or both would become a default) under, result in the creation of any Lien upon any of the properties or assets of the Company or any Subsidiary, or give to others any rights of termination, amendment, anti-dilution or similar adjustments, acceleration or cancellation (with or without notice, lapse of time or both) of, any agreement, credit facility, debt or other instrument (evidencing a Company or Subsidiary debt or otherwise) or other understanding to which the Company or any Subsidiary is a party or by which any property or asset of the Company or any Subsidiary is bound or affected, or (iii) subject to the Required Approvals, conflict with or result in a violation of any law, rule, regulation, order, judgment, injunction, decree or other restriction of any court or governmental authority to which the Company or a Subsidiary is subject (including Italian law and any foreign, federal and state securities laws and regulations), or by which any property or asset of the Company or a Subsidiary is bound or affected; except in the case of each of clauses (ii) and (iii), such as would not have or reasonably be expected to result in a Material Adverse Effect.</w:t>
      </w:r>
    </w:p>
    <w:p>
      <w:pPr>
        <w:spacing w:after="0" w:line="187" w:lineRule="exact"/>
        <w:rPr>
          <w:rFonts w:ascii="Times New Roman" w:cs="Times New Roman" w:eastAsia="Times New Roman" w:hAnsi="Times New Roman"/>
          <w:sz w:val="18"/>
          <w:szCs w:val="18"/>
          <w:color w:val="auto"/>
        </w:rPr>
      </w:pPr>
    </w:p>
    <w:p>
      <w:pPr>
        <w:jc w:val="both"/>
        <w:ind w:left="4" w:firstLine="644"/>
        <w:spacing w:after="0" w:line="253" w:lineRule="auto"/>
        <w:tabs>
          <w:tab w:leader="none" w:pos="896"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Filings, Consents and Approvals</w:t>
      </w:r>
      <w:r>
        <w:rPr>
          <w:rFonts w:ascii="Times New Roman" w:cs="Times New Roman" w:eastAsia="Times New Roman" w:hAnsi="Times New Roman"/>
          <w:sz w:val="18"/>
          <w:szCs w:val="18"/>
          <w:color w:val="auto"/>
        </w:rPr>
        <w:t>. Neither the Company nor any Subsidiary is required to obtain any consent, waiver, authorization or order of, give any notice to, or make any filing or registration with, any court or other federal, state, local or other governmental authority or other Person in connection with the execution, delivery and performance by the Company of the Transaction Documents, other than: (i) resolutions by the Board of Directors concerning the issuance of the Securities pursuant to this Agreement, (ii) the filings required pursuant to Section 4.3 of this Agreement, (iii) the filing with the Commission of the Prospectus Supplement, (iv) any required notice and/or application(s) to each applicable Trading Market for the issuance and sale of the Securities and the listing of the ADSs for trading thereon in the time and manner required thereby,</w:t>
      </w:r>
    </w:p>
    <w:p>
      <w:pPr>
        <w:spacing w:after="0" w:line="5" w:lineRule="exact"/>
        <w:rPr>
          <w:rFonts w:ascii="Times New Roman" w:cs="Times New Roman" w:eastAsia="Times New Roman" w:hAnsi="Times New Roman"/>
          <w:sz w:val="18"/>
          <w:szCs w:val="18"/>
          <w:color w:val="auto"/>
        </w:rPr>
      </w:pPr>
    </w:p>
    <w:p>
      <w:pPr>
        <w:ind w:left="4" w:hanging="4"/>
        <w:spacing w:after="0" w:line="260" w:lineRule="auto"/>
        <w:tabs>
          <w:tab w:leader="none" w:pos="262"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filings as are required under U.S. state securities laws, and (vi) such filings as may be required under the applicable rules of the Financial Industry Regulatory Authority, Inc. (collectively, the “</w:t>
      </w:r>
      <w:r>
        <w:rPr>
          <w:rFonts w:ascii="Times New Roman" w:cs="Times New Roman" w:eastAsia="Times New Roman" w:hAnsi="Times New Roman"/>
          <w:sz w:val="18"/>
          <w:szCs w:val="18"/>
          <w:u w:val="single" w:color="auto"/>
          <w:color w:val="auto"/>
        </w:rPr>
        <w:t>Required Approvals</w:t>
      </w:r>
      <w:r>
        <w:rPr>
          <w:rFonts w:ascii="Times New Roman" w:cs="Times New Roman" w:eastAsia="Times New Roman" w:hAnsi="Times New Roman"/>
          <w:sz w:val="18"/>
          <w:szCs w:val="18"/>
          <w:color w:val="auto"/>
        </w:rPr>
        <w:t>”).</w:t>
      </w:r>
    </w:p>
    <w:p>
      <w:pPr>
        <w:spacing w:after="0" w:line="181" w:lineRule="exact"/>
        <w:rPr>
          <w:rFonts w:ascii="Times New Roman" w:cs="Times New Roman" w:eastAsia="Times New Roman" w:hAnsi="Times New Roman"/>
          <w:sz w:val="18"/>
          <w:szCs w:val="18"/>
          <w:color w:val="auto"/>
        </w:rPr>
      </w:pPr>
    </w:p>
    <w:p>
      <w:pPr>
        <w:jc w:val="both"/>
        <w:ind w:left="4" w:firstLine="644"/>
        <w:spacing w:after="0" w:line="251" w:lineRule="auto"/>
        <w:tabs>
          <w:tab w:leader="none" w:pos="904"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Issuance of the Securities; Registration</w:t>
      </w:r>
      <w:r>
        <w:rPr>
          <w:rFonts w:ascii="Times New Roman" w:cs="Times New Roman" w:eastAsia="Times New Roman" w:hAnsi="Times New Roman"/>
          <w:sz w:val="18"/>
          <w:szCs w:val="18"/>
          <w:color w:val="auto"/>
        </w:rPr>
        <w:t>. The Shares and the ADSs, when issued and paid for in accordance with the applicable Transaction Documents, will be duly and validly issued, fully paid and non-assessable, free and clear of all Liens imposed by the Company. The Securities are not and will not be subject to the preemptive rights of any holders of any security of the Company or similar contractual rights granted by the Company, except as have been waived. The Company has prepared and filed the Registration Statement in conformity with the requirements of the Securities Act, which became effective on May 24, 2023 (the “</w:t>
      </w:r>
      <w:r>
        <w:rPr>
          <w:rFonts w:ascii="Times New Roman" w:cs="Times New Roman" w:eastAsia="Times New Roman" w:hAnsi="Times New Roman"/>
          <w:sz w:val="18"/>
          <w:szCs w:val="18"/>
          <w:u w:val="single" w:color="auto"/>
          <w:color w:val="auto"/>
        </w:rPr>
        <w:t>Effective Date</w:t>
      </w:r>
      <w:r>
        <w:rPr>
          <w:rFonts w:ascii="Times New Roman" w:cs="Times New Roman" w:eastAsia="Times New Roman" w:hAnsi="Times New Roman"/>
          <w:sz w:val="18"/>
          <w:szCs w:val="18"/>
          <w:color w:val="auto"/>
        </w:rPr>
        <w:t>”), including the Prospectus, and such amendments and supplements thereto as may have been required to the date of this Agreement. The Company and the Depositary have prepared and filed with the Commission a registration statement relating to ADSs on Form F-6 (File No. 333-261223) for registration under the Securities Act (the “</w:t>
      </w:r>
      <w:r>
        <w:rPr>
          <w:rFonts w:ascii="Times New Roman" w:cs="Times New Roman" w:eastAsia="Times New Roman" w:hAnsi="Times New Roman"/>
          <w:sz w:val="18"/>
          <w:szCs w:val="18"/>
          <w:u w:val="single" w:color="auto"/>
          <w:color w:val="auto"/>
        </w:rPr>
        <w:t>ADS Registration Statement</w:t>
      </w:r>
      <w:r>
        <w:rPr>
          <w:rFonts w:ascii="Times New Roman" w:cs="Times New Roman" w:eastAsia="Times New Roman" w:hAnsi="Times New Roman"/>
          <w:sz w:val="18"/>
          <w:szCs w:val="18"/>
          <w:color w:val="auto"/>
        </w:rPr>
        <w:t>”). The Registration Statement and ADS Registration Statement are effective under the Securities Act and no stop order preventing or suspending the effectiveness of the Registration Statement or suspending or preventing the use of the Prospectus or the Prospectus Supplement has been issued by the Commission and no proceedings for that purpose have been instituted or, to the knowledge of the Company, are threatened by the Commission. The Company, if required by the rules and regulations of the Commission, shall file the Prospectus with the Commission pursuant to Rule 424(b). At the time the Registration Statement, ADS Registration Statement and any amendments thereto became effective as determined under the Securities Act, at the date of this Agreement and at the Closing Date, the Registration Statement and any amendments thereto conformed and will conform in all material respects to the requirements of the Securities Act and did not and will not contain any untrue statement of a material fact or omit to state any material fact required to be stated therein or necessary to make the statements therein not misleading; and the Prospectus and Prospectus Supplement and any amendments or supplements thereto, at the time the Prospectus or the Prospectus Supplement, as applicable, or any amendment or supplement thereto was issued and at the Closing Date, conformed and will conform in all material respects to the requirements of the Securities Act and did not and will not contain an untrue statement of a material fact or omit to state a material fact necessary in order to make the statements therein, in the light of the circumstances under which they were made, not misleading. The Company was at the time of the filing of the Registration Statement eligible to use Form F-3. The Company is eligible to use Form F-3 under the Securities Act and it meets the transaction requirements with respect to the aggregate market value of securities being sold pursuant to this offering and during the twelve (12) calendar months prior to this offering, as set forth in General Instruction I.B.5 of Form 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279400</wp:posOffset>
            </wp:positionV>
            <wp:extent cx="713232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4"/>
          </w:cols>
          <w:pgMar w:left="976" w:top="688" w:right="339" w:bottom="1440" w:gutter="0" w:footer="0" w:header="0"/>
        </w:sectPr>
      </w:pPr>
    </w:p>
    <w:bookmarkStart w:id="18" w:name="page19"/>
    <w:bookmarkEnd w:id="18"/>
    <w:p>
      <w:pPr>
        <w:jc w:val="both"/>
        <w:ind w:left="-460" w:firstLine="644"/>
        <w:spacing w:after="0" w:line="251" w:lineRule="auto"/>
        <w:tabs>
          <w:tab w:leader="none" w:pos="443"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Capitalization</w:t>
      </w:r>
      <w:r>
        <w:rPr>
          <w:rFonts w:ascii="Times New Roman" w:cs="Times New Roman" w:eastAsia="Times New Roman" w:hAnsi="Times New Roman"/>
          <w:sz w:val="18"/>
          <w:szCs w:val="18"/>
          <w:color w:val="auto"/>
        </w:rPr>
        <w:t xml:space="preserve">. The capitalization of the Company as of the date hereof is as set forth on </w:t>
      </w:r>
      <w:r>
        <w:rPr>
          <w:rFonts w:ascii="Times New Roman" w:cs="Times New Roman" w:eastAsia="Times New Roman" w:hAnsi="Times New Roman"/>
          <w:sz w:val="18"/>
          <w:szCs w:val="18"/>
          <w:u w:val="single" w:color="auto"/>
          <w:color w:val="auto"/>
        </w:rPr>
        <w:t>Schedule 3.1(g)</w:t>
      </w:r>
      <w:r>
        <w:rPr>
          <w:rFonts w:ascii="Times New Roman" w:cs="Times New Roman" w:eastAsia="Times New Roman" w:hAnsi="Times New Roman"/>
          <w:sz w:val="18"/>
          <w:szCs w:val="18"/>
          <w:color w:val="auto"/>
        </w:rPr>
        <w:t xml:space="preserve">, which </w:t>
      </w:r>
      <w:r>
        <w:rPr>
          <w:rFonts w:ascii="Times New Roman" w:cs="Times New Roman" w:eastAsia="Times New Roman" w:hAnsi="Times New Roman"/>
          <w:sz w:val="18"/>
          <w:szCs w:val="18"/>
          <w:u w:val="single" w:color="auto"/>
          <w:color w:val="auto"/>
        </w:rPr>
        <w:t>Schedule 3.1(g)</w:t>
      </w:r>
      <w:r>
        <w:rPr>
          <w:rFonts w:ascii="Times New Roman" w:cs="Times New Roman" w:eastAsia="Times New Roman" w:hAnsi="Times New Roman"/>
          <w:sz w:val="18"/>
          <w:szCs w:val="18"/>
          <w:color w:val="auto"/>
        </w:rPr>
        <w:t xml:space="preserve"> shall also include the number of ADSs or Ordinary Shares owned beneficially, and of record, by Affiliates of the Company as of the date hereof. The Company has not issued any share capital since its most recently filed public report filed under the Exchange Act, other than pursuant to the exercise of employee share options under the Company’s share option plans, the issuance of Ordinary Shares to employees pursuant to the Company’s employee share purchase plans and pursuant to the conversion and/or exercise of Ordinary Share Equivalents outstanding as of the date of the most recently filed periodic report under the Exchange Act. No Person has any right of first refusal, preemptive right, right of participation, or any similar right to participate in the transactions contemplated by the Transaction Documents. Except as a result of the purchase and sale of the Securities and as set forth on </w:t>
      </w:r>
      <w:r>
        <w:rPr>
          <w:rFonts w:ascii="Times New Roman" w:cs="Times New Roman" w:eastAsia="Times New Roman" w:hAnsi="Times New Roman"/>
          <w:sz w:val="18"/>
          <w:szCs w:val="18"/>
          <w:u w:val="single" w:color="auto"/>
          <w:color w:val="auto"/>
        </w:rPr>
        <w:t>Schedule 3.1(g)</w:t>
      </w:r>
      <w:r>
        <w:rPr>
          <w:rFonts w:ascii="Times New Roman" w:cs="Times New Roman" w:eastAsia="Times New Roman" w:hAnsi="Times New Roman"/>
          <w:sz w:val="18"/>
          <w:szCs w:val="18"/>
          <w:color w:val="auto"/>
        </w:rPr>
        <w:t xml:space="preserve">, there are no outstanding options, warrants, scrip rights to subscribe to, calls or commitments of any character whatsoever relating to, or securities, rights or obligations convertible into or exercisable or exchangeable for, or giving any Person any right to subscribe for or acquire, any ADSs, Ordinary Shares, or the capital stock of any Subsidiary, or contracts, commitments, understandings or arrangements by which the Company or any Subsidiary is or may become bound to issue additional ADSs, Ordinary Shares or Ordinary Share Equivalents or share capital of any Subsidiary. The issuance and sale of the Securities will not obligate the Company or any Subsidiary to issue ADSs, Ordinary Shares or other securities to any Person (other than the Purchasers). Except as set forth on </w:t>
      </w:r>
      <w:r>
        <w:rPr>
          <w:rFonts w:ascii="Times New Roman" w:cs="Times New Roman" w:eastAsia="Times New Roman" w:hAnsi="Times New Roman"/>
          <w:sz w:val="18"/>
          <w:szCs w:val="18"/>
          <w:u w:val="single" w:color="auto"/>
          <w:color w:val="auto"/>
        </w:rPr>
        <w:t>Schedule 3.1(g)</w:t>
      </w:r>
      <w:r>
        <w:rPr>
          <w:rFonts w:ascii="Times New Roman" w:cs="Times New Roman" w:eastAsia="Times New Roman" w:hAnsi="Times New Roman"/>
          <w:sz w:val="18"/>
          <w:szCs w:val="18"/>
          <w:color w:val="auto"/>
        </w:rPr>
        <w:t xml:space="preserve">, there are no outstanding securities or instruments of the Company or any Subsidiary with any provision that adjusts the exercise, conversion, exchange or reset price of such security or instrument upon an issuance of securities by the Company or any Subsidiary. Except as set forth on </w:t>
      </w:r>
      <w:r>
        <w:rPr>
          <w:rFonts w:ascii="Times New Roman" w:cs="Times New Roman" w:eastAsia="Times New Roman" w:hAnsi="Times New Roman"/>
          <w:sz w:val="18"/>
          <w:szCs w:val="18"/>
          <w:u w:val="single" w:color="auto"/>
          <w:color w:val="auto"/>
        </w:rPr>
        <w:t>Schedule 3.1(g)</w:t>
      </w:r>
      <w:r>
        <w:rPr>
          <w:rFonts w:ascii="Times New Roman" w:cs="Times New Roman" w:eastAsia="Times New Roman" w:hAnsi="Times New Roman"/>
          <w:sz w:val="18"/>
          <w:szCs w:val="18"/>
          <w:color w:val="auto"/>
        </w:rPr>
        <w:t>, there are no outstanding securities or instruments of the Company or any Subsidiary that contain any redemption or similar provisions, and there are no contracts, commitments, understandings or arrangements by which the Company or any Subsidiary is or may become bound to redeem a security of the Company or such Subsidiary. The Company does not have any share appreciation rights or “phantom share” plans or agreements or any similar plan or agreement. All of the outstanding share capital of the Company is duly authorized, validly issued, fully paid and nonassessable, have been issued in compliance with all applicable foreign, federal and state securities laws, and none of such outstanding shares was issued in violation of any preemptive rights or similar rights to subscribe for or purchase securities. As of the Closing, no further approval or authorization of any shareholder or the Board of Directors is required for the issuance and sale of the Securities. There are no shareholders agreements, voting agreements or other similar agreements with respect to the Company’s capital stock to which the Company is a party or, to the knowledge of the Company, between or among any of the Company’s shareholders.</w:t>
      </w:r>
    </w:p>
    <w:p>
      <w:pPr>
        <w:spacing w:after="0" w:line="204" w:lineRule="exact"/>
        <w:rPr>
          <w:rFonts w:ascii="Times New Roman" w:cs="Times New Roman" w:eastAsia="Times New Roman" w:hAnsi="Times New Roman"/>
          <w:sz w:val="18"/>
          <w:szCs w:val="18"/>
          <w:color w:val="auto"/>
        </w:rPr>
      </w:pPr>
    </w:p>
    <w:p>
      <w:pPr>
        <w:jc w:val="both"/>
        <w:ind w:left="-460" w:firstLine="644"/>
        <w:spacing w:after="0" w:line="252" w:lineRule="auto"/>
        <w:tabs>
          <w:tab w:leader="none" w:pos="456"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 Reports; Financial Statements</w:t>
      </w:r>
      <w:r>
        <w:rPr>
          <w:rFonts w:ascii="Times New Roman" w:cs="Times New Roman" w:eastAsia="Times New Roman" w:hAnsi="Times New Roman"/>
          <w:sz w:val="18"/>
          <w:szCs w:val="18"/>
          <w:color w:val="auto"/>
        </w:rPr>
        <w:t xml:space="preserve">. Except as set forth on </w:t>
      </w:r>
      <w:r>
        <w:rPr>
          <w:rFonts w:ascii="Times New Roman" w:cs="Times New Roman" w:eastAsia="Times New Roman" w:hAnsi="Times New Roman"/>
          <w:sz w:val="18"/>
          <w:szCs w:val="18"/>
          <w:u w:val="single" w:color="auto"/>
          <w:color w:val="auto"/>
        </w:rPr>
        <w:t>Schedule 3.1(h)</w:t>
      </w:r>
      <w:r>
        <w:rPr>
          <w:rFonts w:ascii="Times New Roman" w:cs="Times New Roman" w:eastAsia="Times New Roman" w:hAnsi="Times New Roman"/>
          <w:sz w:val="18"/>
          <w:szCs w:val="18"/>
          <w:color w:val="auto"/>
        </w:rPr>
        <w:t>, the Company has filed all reports, schedules, forms, statements and other documents required to be filed by the Company under the Securities Act and the Exchange Act, including pursuant to Section 13(a) or 15(d) thereof, for the two years preceding the date hereof (or such shorter period as the Company was required by law or regulation to file such material) (the foregoing materials, including the exhibits thereto and documents incorporated by reference therein, together with the Prospectus and the Prospectus Supplement, being collectively referred to herein as the “</w:t>
      </w:r>
      <w:r>
        <w:rPr>
          <w:rFonts w:ascii="Times New Roman" w:cs="Times New Roman" w:eastAsia="Times New Roman" w:hAnsi="Times New Roman"/>
          <w:sz w:val="18"/>
          <w:szCs w:val="18"/>
          <w:u w:val="single" w:color="auto"/>
          <w:color w:val="auto"/>
        </w:rPr>
        <w:t>SEC Reports</w:t>
      </w:r>
      <w:r>
        <w:rPr>
          <w:rFonts w:ascii="Times New Roman" w:cs="Times New Roman" w:eastAsia="Times New Roman" w:hAnsi="Times New Roman"/>
          <w:sz w:val="18"/>
          <w:szCs w:val="18"/>
          <w:color w:val="auto"/>
        </w:rPr>
        <w:t>”) on a timely basis or has received a valid extension of such time of filing and has filed any such SEC Reports prior to the expiration of any such extension. As of their respective dates, the SEC Reports complied in all material respects with the requirements of the Securities Act and the Exchange Act, as applicable, and none of the SEC Reports, when filed, contained any untrue statement of a material fact or omitted to state a material fact required to be stated therein or necessary in order to make the statements therein, in the light of the circumstances under which they were made, not misleading. The Company has never been an issuer subject to Rule 144(i) under the Securities Act. The financial statements of the Company included in the SEC Reports comply in all material respects with applicable accounting requirements and the rules and regulations of the Commission with respect thereto as in effect at the time of filing. Such financial statements have been prepared in accordance with United States generally accepted accounting principles applied on a consistent basis during the periods involved (“</w:t>
      </w:r>
      <w:r>
        <w:rPr>
          <w:rFonts w:ascii="Times New Roman" w:cs="Times New Roman" w:eastAsia="Times New Roman" w:hAnsi="Times New Roman"/>
          <w:sz w:val="18"/>
          <w:szCs w:val="18"/>
          <w:u w:val="single" w:color="auto"/>
          <w:color w:val="auto"/>
        </w:rPr>
        <w:t>GAAP</w:t>
      </w:r>
      <w:r>
        <w:rPr>
          <w:rFonts w:ascii="Times New Roman" w:cs="Times New Roman" w:eastAsia="Times New Roman" w:hAnsi="Times New Roman"/>
          <w:sz w:val="18"/>
          <w:szCs w:val="18"/>
          <w:color w:val="auto"/>
        </w:rPr>
        <w:t>”), except as may be otherwise specified in such financial statements or the notes thereto and except that unaudited financial statements may not contain all footnotes required by GAAP, and fairly present in all material respects the financial position of the Company and its consolidated Subsidiaries as of and for the dates thereof and the results of operations and cash flows for the periods then ended, subject, in the case of unaudited statements, to normal, immaterial, year-end audit adjustments.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271780</wp:posOffset>
            </wp:positionV>
            <wp:extent cx="713232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688" w:right="339" w:bottom="1440" w:gutter="0" w:footer="0" w:header="0"/>
        </w:sectPr>
      </w:pPr>
    </w:p>
    <w:bookmarkStart w:id="19" w:name="page20"/>
    <w:bookmarkEnd w:id="19"/>
    <w:p>
      <w:pPr>
        <w:jc w:val="both"/>
        <w:ind w:left="-460" w:firstLine="644"/>
        <w:spacing w:after="0" w:line="252" w:lineRule="auto"/>
        <w:tabs>
          <w:tab w:leader="none" w:pos="403"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Material Changes; Undisclosed Events, Liabilities or Developments</w:t>
      </w:r>
      <w:r>
        <w:rPr>
          <w:rFonts w:ascii="Times New Roman" w:cs="Times New Roman" w:eastAsia="Times New Roman" w:hAnsi="Times New Roman"/>
          <w:sz w:val="18"/>
          <w:szCs w:val="18"/>
          <w:color w:val="auto"/>
        </w:rPr>
        <w:t xml:space="preserve">. Since the date of the latest audited financial statements included within the SEC Reports, except as disclosed in an SEC Report filed on or prior to the date hereof (i) there has been no event, occurrence or development that has had or that would reasonably be expected to result in a Material Adverse Effect, (ii) neither the Company nor any Subsidiary has incurred any liabilities (contingent or otherwise) other than (A) trade payables and accrued expenses incurred in the ordinary course of business consistent with past practice and (B) liabilities not required to be reflected in the Company’s financial statements pursuant to GAAP or disclosed in filings made with the Commission, (iii) the Company has not altered its method of accounting, (iv) the Company has not declared or made any dividend or distribution of cash or other property to its shareholders or purchased, redeemed or made any agreements to purchase or redeem any shares of its share capital and (v) neither the Company nor any Subsidiary has issued any equity securities to any officer, director or Affiliate, except pursuant to existing Company share option plans. The Company does not have pending before the Commission any request for confidential treatment of information. Except for the issuance of the Securities contemplated by this Agreement or as set forth on </w:t>
      </w:r>
      <w:r>
        <w:rPr>
          <w:rFonts w:ascii="Times New Roman" w:cs="Times New Roman" w:eastAsia="Times New Roman" w:hAnsi="Times New Roman"/>
          <w:sz w:val="18"/>
          <w:szCs w:val="18"/>
          <w:u w:val="single" w:color="auto"/>
          <w:color w:val="auto"/>
        </w:rPr>
        <w:t>Schedule 3.1(i)</w:t>
      </w:r>
      <w:r>
        <w:rPr>
          <w:rFonts w:ascii="Times New Roman" w:cs="Times New Roman" w:eastAsia="Times New Roman" w:hAnsi="Times New Roman"/>
          <w:sz w:val="18"/>
          <w:szCs w:val="18"/>
          <w:color w:val="auto"/>
        </w:rPr>
        <w:t>, no event, liability, fact, circumstance, occurrence or development has occurred or exists or is reasonably expected to occur or exist with respect to the Company or its Subsidiaries or their respective businesses, prospects, properties, operations, assets or financial condition that would be required to be disclosed by the Company under applicable securities laws at the time this representation is made or deemed made that has not been publicly disclosed at least one (1) Trading Day prior to the date that this representation is made.</w:t>
      </w:r>
    </w:p>
    <w:p>
      <w:pPr>
        <w:spacing w:after="0" w:line="197" w:lineRule="exact"/>
        <w:rPr>
          <w:rFonts w:ascii="Times New Roman" w:cs="Times New Roman" w:eastAsia="Times New Roman" w:hAnsi="Times New Roman"/>
          <w:sz w:val="18"/>
          <w:szCs w:val="18"/>
          <w:color w:val="auto"/>
        </w:rPr>
      </w:pPr>
    </w:p>
    <w:p>
      <w:pPr>
        <w:jc w:val="both"/>
        <w:ind w:left="-460" w:firstLine="644"/>
        <w:spacing w:after="0" w:line="253" w:lineRule="auto"/>
        <w:tabs>
          <w:tab w:leader="none" w:pos="416"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Litigation</w:t>
      </w:r>
      <w:r>
        <w:rPr>
          <w:rFonts w:ascii="Times New Roman" w:cs="Times New Roman" w:eastAsia="Times New Roman" w:hAnsi="Times New Roman"/>
          <w:sz w:val="18"/>
          <w:szCs w:val="18"/>
          <w:color w:val="auto"/>
        </w:rPr>
        <w:t>. Except as set forth in the SEC Reports, there is no action, suit, inquiry, notice of violation, proceeding or investigation pending or, to the knowledge of the Company or any Subsidiary, threatened against or affecting the Company, any Subsidiary or any of their respective properties before or by any court, arbitrator, governmental or administrative agency or regulatory authority (federal, state, county, local or foreign (including Italian)) (collectively, an “</w:t>
      </w:r>
      <w:r>
        <w:rPr>
          <w:rFonts w:ascii="Times New Roman" w:cs="Times New Roman" w:eastAsia="Times New Roman" w:hAnsi="Times New Roman"/>
          <w:sz w:val="18"/>
          <w:szCs w:val="18"/>
          <w:u w:val="single" w:color="auto"/>
          <w:color w:val="auto"/>
        </w:rPr>
        <w:t>Action</w:t>
      </w:r>
      <w:r>
        <w:rPr>
          <w:rFonts w:ascii="Times New Roman" w:cs="Times New Roman" w:eastAsia="Times New Roman" w:hAnsi="Times New Roman"/>
          <w:sz w:val="18"/>
          <w:szCs w:val="18"/>
          <w:color w:val="auto"/>
        </w:rPr>
        <w:t>”) which (i) adversely affects or challenges the legality, validity or enforceability of any of the Transaction Documents or the Securities or (ii) would, if there were an unfavorable decision, have or reasonably be expected to result in a Material Adverse Effect. Except as disclosed in the SEC Reports, neither the Company nor any Subsidiary, nor any director or officer thereof, is or has been the subject of any Action involving a claim of violation of or liability under Italian, U.S. federal or state securities laws or a claim of breach of fiduciary duty which would, if there were an unfavorable decision, have or reasonably be expected to result in a Material Adverse Effect. Except as disclosed in the SEC Reports, there has not been, and, to the knowledge of the Company, there is not pending or contemplated, any investigation by the Commission or the Italian equivalent involving the Company or any current or former director or officer of the Company. The Commission has not issued any stop order or other order suspending the effectiveness of any registration statement filed by the Company or any Subsidiary under the Exchange Act or the Securities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269240</wp:posOffset>
            </wp:positionV>
            <wp:extent cx="71323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20"/>
          </w:cols>
          <w:pgMar w:left="1440" w:top="688" w:right="339" w:bottom="1440" w:gutter="0" w:footer="0" w:header="0"/>
        </w:sectPr>
      </w:pPr>
    </w:p>
    <w:bookmarkStart w:id="20" w:name="page21"/>
    <w:bookmarkEnd w:id="20"/>
    <w:p>
      <w:pPr>
        <w:jc w:val="both"/>
        <w:ind w:left="-460" w:firstLine="644"/>
        <w:spacing w:after="0" w:line="253" w:lineRule="auto"/>
        <w:tabs>
          <w:tab w:leader="none" w:pos="443"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Labor Relations</w:t>
      </w:r>
      <w:r>
        <w:rPr>
          <w:rFonts w:ascii="Times New Roman" w:cs="Times New Roman" w:eastAsia="Times New Roman" w:hAnsi="Times New Roman"/>
          <w:sz w:val="18"/>
          <w:szCs w:val="18"/>
          <w:color w:val="auto"/>
        </w:rPr>
        <w:t>. No labor dispute exists or, to the knowledge of the Company, is imminent with respect to any of the employees of the Company, which would reasonably be expected to result in a Material Adverse Effect. None of the Company’s or its Subsidiaries’ employees is a member of a union that relates to such employee’s relationship with the Company or such Subsidiary, and neither the Company nor any of its Subsidiaries is a party to a collective bargaining agreement, and the Company and its Subsidiaries believe that their relationships with their employees are good. To the knowledge of the Company, no executive officer of the Company or any Subsidiary, is, or is now expected to be, in violation of any material term of any employment contract, confidentiality, disclosure or proprietary information agreement or non-competition agreement, or any other contract or agreement or any restrictive covenant in favor of any third party, and the continued employment of each such executive officer does not subject the Company or any of its Subsidiaries to any liability with respect to any of the foregoing matters. The Company and its Subsidiaries are in compliance with all U.S. federal, state, local and foreign laws (including Italian) and regulations relating to employment and employment practices, terms and conditions of employment and wages and hours, except where the failure to be in compliance would not, individually or in the aggregate, reasonably be expected to have a Material Adverse Effect.</w:t>
      </w:r>
    </w:p>
    <w:p>
      <w:pPr>
        <w:spacing w:after="0" w:line="191" w:lineRule="exact"/>
        <w:rPr>
          <w:rFonts w:ascii="Times New Roman" w:cs="Times New Roman" w:eastAsia="Times New Roman" w:hAnsi="Times New Roman"/>
          <w:sz w:val="18"/>
          <w:szCs w:val="18"/>
          <w:color w:val="auto"/>
        </w:rPr>
      </w:pPr>
    </w:p>
    <w:p>
      <w:pPr>
        <w:jc w:val="both"/>
        <w:ind w:left="-460" w:firstLine="644"/>
        <w:spacing w:after="0" w:line="254" w:lineRule="auto"/>
        <w:tabs>
          <w:tab w:leader="none" w:pos="403"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Compliance</w:t>
      </w:r>
      <w:r>
        <w:rPr>
          <w:rFonts w:ascii="Times New Roman" w:cs="Times New Roman" w:eastAsia="Times New Roman" w:hAnsi="Times New Roman"/>
          <w:sz w:val="18"/>
          <w:szCs w:val="18"/>
          <w:color w:val="auto"/>
        </w:rPr>
        <w:t>. Neither the Company nor any Subsidiary: (i) is in default under or in violation of (and no event has occurred that has not been waived that, with notice or lapse of time or both, would result in a default by the Company or any Subsidiary under), nor has the Company or any Subsidiary received notice of a claim that it is in default under or that it is in violation of, any indenture, loan or credit agreement or any other agreement or instrument to which it is a party or by which it or any of its properties is bound (whether or not such default or violation has been waived), (ii) is in violation of any judgment, decree or order of any court, arbitrator or other governmental authority or (iii) is or has been in violation of any statute, rule, ordinance or regulation of any governmental authority, including without limitation all foreign (including Italian), federal, state and local laws relating to taxes, environmental protection, occupational health and safety, product quality and safety and employment and labor matters, except in each case as would not have or reasonably be expected to result in a Material Adverse Effect.</w:t>
      </w:r>
    </w:p>
    <w:p>
      <w:pPr>
        <w:spacing w:after="0" w:line="191" w:lineRule="exact"/>
        <w:rPr>
          <w:rFonts w:ascii="Times New Roman" w:cs="Times New Roman" w:eastAsia="Times New Roman" w:hAnsi="Times New Roman"/>
          <w:sz w:val="18"/>
          <w:szCs w:val="18"/>
          <w:color w:val="auto"/>
        </w:rPr>
      </w:pPr>
    </w:p>
    <w:p>
      <w:pPr>
        <w:jc w:val="both"/>
        <w:ind w:left="-460" w:firstLine="644"/>
        <w:spacing w:after="0" w:line="253" w:lineRule="auto"/>
        <w:tabs>
          <w:tab w:leader="none" w:pos="506"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Environmental Laws</w:t>
      </w:r>
      <w:r>
        <w:rPr>
          <w:rFonts w:ascii="Times New Roman" w:cs="Times New Roman" w:eastAsia="Times New Roman" w:hAnsi="Times New Roman"/>
          <w:sz w:val="18"/>
          <w:szCs w:val="18"/>
          <w:color w:val="auto"/>
        </w:rPr>
        <w:t>. The Company and its Subsidiaries (i) are in compliance with all applicable federal, state, local and foreign (including Italian) laws relating to pollution or protection of human health or the environment (including ambient air, surface water, groundwater, land surface or subsurface strata), including laws relating to emissions, discharges, releases or threatened releases of chemicals, pollutants, contaminants, or toxic or hazardous substances or wastes (collectively, “</w:t>
      </w:r>
      <w:r>
        <w:rPr>
          <w:rFonts w:ascii="Times New Roman" w:cs="Times New Roman" w:eastAsia="Times New Roman" w:hAnsi="Times New Roman"/>
          <w:sz w:val="18"/>
          <w:szCs w:val="18"/>
          <w:u w:val="single" w:color="auto"/>
          <w:color w:val="auto"/>
        </w:rPr>
        <w:t>Hazardous Materials</w:t>
      </w:r>
      <w:r>
        <w:rPr>
          <w:rFonts w:ascii="Times New Roman" w:cs="Times New Roman" w:eastAsia="Times New Roman" w:hAnsi="Times New Roman"/>
          <w:sz w:val="18"/>
          <w:szCs w:val="18"/>
          <w:color w:val="auto"/>
        </w:rPr>
        <w:t>”) into the environment, or otherwise relating to the manufacture, processing, distribution, use, treatment, storage, disposal, transport or handling of Hazardous Materials, as well as all authorizations, codes, decrees, demands, or demand letters, injunctions, judgments, licenses, notices or notice letters, orders, permits, plans or regulations, issued, entered, promulgated or approved thereunder (“</w:t>
      </w:r>
      <w:r>
        <w:rPr>
          <w:rFonts w:ascii="Times New Roman" w:cs="Times New Roman" w:eastAsia="Times New Roman" w:hAnsi="Times New Roman"/>
          <w:sz w:val="18"/>
          <w:szCs w:val="18"/>
          <w:u w:val="single" w:color="auto"/>
          <w:color w:val="auto"/>
        </w:rPr>
        <w:t>Environmental Laws</w:t>
      </w:r>
      <w:r>
        <w:rPr>
          <w:rFonts w:ascii="Times New Roman" w:cs="Times New Roman" w:eastAsia="Times New Roman" w:hAnsi="Times New Roman"/>
          <w:sz w:val="18"/>
          <w:szCs w:val="18"/>
          <w:color w:val="auto"/>
        </w:rPr>
        <w:t>”); (ii) have received all permits licenses or other approvals required of them under applicable Environmental Laws to conduct their respective businesses; and (iii) are in compliance with all terms and conditions of any such permit, license or approval where in each clause (i), (ii) and (iii), the failure to so comply would be reasonably expected to have, individually or in the aggregate, a Material Adverse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271780</wp:posOffset>
            </wp:positionV>
            <wp:extent cx="713232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688" w:right="339" w:bottom="1440" w:gutter="0" w:footer="0" w:header="0"/>
        </w:sectPr>
      </w:pPr>
    </w:p>
    <w:bookmarkStart w:id="21" w:name="page22"/>
    <w:bookmarkEnd w:id="21"/>
    <w:p>
      <w:pPr>
        <w:jc w:val="both"/>
        <w:ind w:left="-460" w:firstLine="644"/>
        <w:spacing w:after="0" w:line="258" w:lineRule="auto"/>
        <w:tabs>
          <w:tab w:leader="none" w:pos="443"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Regulatory Permits</w:t>
      </w:r>
      <w:r>
        <w:rPr>
          <w:rFonts w:ascii="Times New Roman" w:cs="Times New Roman" w:eastAsia="Times New Roman" w:hAnsi="Times New Roman"/>
          <w:sz w:val="18"/>
          <w:szCs w:val="18"/>
          <w:color w:val="auto"/>
        </w:rPr>
        <w:t>. The Company and the Subsidiaries possess all certificates, authorizations and permits issued by the appropriate federal, state, local or foreign regulatory authorities necessary to conduct their respective businesses as described in the SEC Reports, except where the failure to possess such certificates, authorizations or permits would not reasonably be expected to result in a Material Adverse Effect (“</w:t>
      </w:r>
      <w:r>
        <w:rPr>
          <w:rFonts w:ascii="Times New Roman" w:cs="Times New Roman" w:eastAsia="Times New Roman" w:hAnsi="Times New Roman"/>
          <w:sz w:val="18"/>
          <w:szCs w:val="18"/>
          <w:u w:val="single" w:color="auto"/>
          <w:color w:val="auto"/>
        </w:rPr>
        <w:t>Material Permits</w:t>
      </w:r>
      <w:r>
        <w:rPr>
          <w:rFonts w:ascii="Times New Roman" w:cs="Times New Roman" w:eastAsia="Times New Roman" w:hAnsi="Times New Roman"/>
          <w:sz w:val="18"/>
          <w:szCs w:val="18"/>
          <w:color w:val="auto"/>
        </w:rPr>
        <w:t>”), and neither the Company nor any Subsidiary has received any notice of proceedings relating to the revocation or modification of any Material Permit.</w:t>
      </w:r>
    </w:p>
    <w:p>
      <w:pPr>
        <w:spacing w:after="0" w:line="183" w:lineRule="exact"/>
        <w:rPr>
          <w:rFonts w:ascii="Times New Roman" w:cs="Times New Roman" w:eastAsia="Times New Roman" w:hAnsi="Times New Roman"/>
          <w:sz w:val="18"/>
          <w:szCs w:val="18"/>
          <w:color w:val="auto"/>
        </w:rPr>
      </w:pPr>
    </w:p>
    <w:p>
      <w:pPr>
        <w:jc w:val="both"/>
        <w:ind w:left="-460" w:firstLine="644"/>
        <w:spacing w:after="0" w:line="254" w:lineRule="auto"/>
        <w:tabs>
          <w:tab w:leader="none" w:pos="443"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Title to Assets</w:t>
      </w:r>
      <w:r>
        <w:rPr>
          <w:rFonts w:ascii="Times New Roman" w:cs="Times New Roman" w:eastAsia="Times New Roman" w:hAnsi="Times New Roman"/>
          <w:sz w:val="18"/>
          <w:szCs w:val="18"/>
          <w:color w:val="auto"/>
        </w:rPr>
        <w:t>. The Company and the Subsidiaries do not own any real property. The Company and the Subsidiaries have good and marketable title in all personal property (other than Intellectual Property Rights (as defined below), which are addressed exclusively in Section 3.1(p) hereof) owned by them that is material to the business of the Company and the Subsidiaries, in each case free and clear of all Liens, except for (i) Liens as do not materially affect the value of such property and do not materially interfere with the use made and proposed to be made of such property by the Company and the Subsidiaries and (ii) Liens for the payment of federal, state, foreign or other taxes, for which appropriate reserves have been made therefor in accordance with GAAP and, the payment of which is neither delinquent nor subject to penalties. Any real property and facilities held under lease by the Company and the Subsidiaries are held by them under valid, subsisting and enforceable leases with which the Company and the Subsidiaries are in compliance.</w:t>
      </w:r>
    </w:p>
    <w:p>
      <w:pPr>
        <w:spacing w:after="0" w:line="191" w:lineRule="exact"/>
        <w:rPr>
          <w:rFonts w:ascii="Times New Roman" w:cs="Times New Roman" w:eastAsia="Times New Roman" w:hAnsi="Times New Roman"/>
          <w:sz w:val="18"/>
          <w:szCs w:val="18"/>
          <w:color w:val="auto"/>
        </w:rPr>
      </w:pPr>
    </w:p>
    <w:p>
      <w:pPr>
        <w:jc w:val="both"/>
        <w:ind w:left="-460" w:firstLine="644"/>
        <w:spacing w:after="0" w:line="251" w:lineRule="auto"/>
        <w:tabs>
          <w:tab w:leader="none" w:pos="483"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Intellectual Property</w:t>
      </w:r>
      <w:r>
        <w:rPr>
          <w:rFonts w:ascii="Times New Roman" w:cs="Times New Roman" w:eastAsia="Times New Roman" w:hAnsi="Times New Roman"/>
          <w:sz w:val="18"/>
          <w:szCs w:val="18"/>
          <w:color w:val="auto"/>
        </w:rPr>
        <w:t>. The Company and the Subsidiaries own, or have license rights to use all patents, patent applications, trademarks, trademark applications, service marks, trade names, trade secrets, inventions, copyrights, licenses and other intellectual property rights and similar rights necessary or required for use in connection with their respective businesses as described in the SEC Reports and which the failure to so have would have a Material Adverse Effect (collectively, the “</w:t>
      </w:r>
      <w:r>
        <w:rPr>
          <w:rFonts w:ascii="Times New Roman" w:cs="Times New Roman" w:eastAsia="Times New Roman" w:hAnsi="Times New Roman"/>
          <w:sz w:val="18"/>
          <w:szCs w:val="18"/>
          <w:u w:val="single" w:color="auto"/>
          <w:color w:val="auto"/>
        </w:rPr>
        <w:t>Intellectual Property Rights</w:t>
      </w:r>
      <w:r>
        <w:rPr>
          <w:rFonts w:ascii="Times New Roman" w:cs="Times New Roman" w:eastAsia="Times New Roman" w:hAnsi="Times New Roman"/>
          <w:sz w:val="18"/>
          <w:szCs w:val="18"/>
          <w:color w:val="auto"/>
        </w:rPr>
        <w:t>”). Except as set forth in the SEC Reports, none of, and neither the Company nor any Subsidiary has received a notice (written or otherwise) that any of, the Intellectual Property Rights has expired, terminated or been abandoned, or is expected to expire or terminate or be abandoned, within two (2) years from the date of this Agreement except as would not have a Material Adverse Effect. Neither the Company nor any Subsidiary has received, since the date of the latest audited financial statements included within the SEC Reports, a written notice of a claim or otherwise has any knowledge that the Intellectual Property Rights are invalid or unenforceable, except as would not have or reasonably be expected to not have a Material Adverse Effect. To the knowledge of the Company, all such Intellectual Property Rights are enforceable and there is no existing infringement by another Person of any of the Intellectual Property Rights. The Company and its Subsidiaries have taken reasonable security measures to protect the secrecy, confidentiality and value of all of their intellectual properties, except where failure to do so would not, individually or in the aggregate, reasonably be expected to have a Material Adverse Effect. None of the Intellectual Property Rights used by the Company or any of its Subsidiaries in their respective businesses has been obtained or is being used by the Company or such Subsidiary in violation of any contractual obligation binding on the Company or any of its Subsidiaries in violation of the rights of any person. The Company and its Subsidiaries have taken reasonable steps in accordance with normal industry practice to protect and maintain the Intellectual Property Rights including, without limitation, the execution of appropriate nondisclosure and invention assignment agreements. The consummation of the transactions contemplated by this Agreement will not result in the loss or impairment of, or payment of, and additional amounts with respect to, nor require the consent of, any other person regarding the Company’s or any of its Subsidiaries’ right to own or use any of the Intellectual Property Rights as owned or used in the conduct of such party’s business as currently conducted. To the knowledge of the Company and its Subsidiaries, no employee of any of the Company or its Subsidiaries is the subject of any pending claim or proceeding involving a violation of any term of any employment contract, invention disclosure agreement, patent disclosure agreement, noncompetition agreement, non-solicitation agreement, nondisclosure agreement or restrictive covenant to or with a former employer, where the basis of such violation relates to such employee’s employment with the Company or its Subsidiaries or actions undertaken by the employee while employed with the Company or its Subsidiaries. The Company has no knowledge of any facts that would preclude it from having valid license rights or clear title to the Intellectual Property Rights. The Company has no knowledge that it lacks or will be unable to obtain any rights or licenses to use all Intellectual Property Rights that are necessary to conduct its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278130</wp:posOffset>
            </wp:positionV>
            <wp:extent cx="713232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688" w:right="339" w:bottom="1440" w:gutter="0" w:footer="0" w:header="0"/>
        </w:sectPr>
      </w:pPr>
    </w:p>
    <w:bookmarkStart w:id="22" w:name="page23"/>
    <w:bookmarkEnd w:id="22"/>
    <w:p>
      <w:pPr>
        <w:jc w:val="both"/>
        <w:ind w:left="-460" w:firstLine="644"/>
        <w:spacing w:after="0" w:line="258" w:lineRule="auto"/>
        <w:tabs>
          <w:tab w:leader="none" w:pos="456"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Insurance</w:t>
      </w:r>
      <w:r>
        <w:rPr>
          <w:rFonts w:ascii="Times New Roman" w:cs="Times New Roman" w:eastAsia="Times New Roman" w:hAnsi="Times New Roman"/>
          <w:sz w:val="18"/>
          <w:szCs w:val="18"/>
          <w:color w:val="auto"/>
        </w:rPr>
        <w:t>. The Company and the Subsidiaries are insured by insurers of recognized financial responsibility against such losses and risks and in such amounts as are prudent and customary in the businesses in which the Company and the Subsidiaries are engaged, including, but not limited to, directors and officers insurance coverage. Neither the Company nor any Subsidiary has any reason to believe that it will not be able to renew its existing insurance coverage as and when such coverage expires or to obtain similar coverage from similar insurers as may be necessary to continue its business at a cost that would not reasonably be expected to have a Material Adverse Effect.</w:t>
      </w:r>
    </w:p>
    <w:p>
      <w:pPr>
        <w:spacing w:after="0" w:line="183" w:lineRule="exact"/>
        <w:rPr>
          <w:rFonts w:ascii="Times New Roman" w:cs="Times New Roman" w:eastAsia="Times New Roman" w:hAnsi="Times New Roman"/>
          <w:sz w:val="18"/>
          <w:szCs w:val="18"/>
          <w:color w:val="auto"/>
        </w:rPr>
      </w:pPr>
    </w:p>
    <w:p>
      <w:pPr>
        <w:jc w:val="both"/>
        <w:ind w:left="-460" w:firstLine="644"/>
        <w:spacing w:after="0" w:line="266" w:lineRule="auto"/>
        <w:tabs>
          <w:tab w:leader="none" w:pos="467"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Transactions with Affiliates and Employees</w:t>
      </w:r>
      <w:r>
        <w:rPr>
          <w:rFonts w:ascii="Times New Roman" w:cs="Times New Roman" w:eastAsia="Times New Roman" w:hAnsi="Times New Roman"/>
          <w:sz w:val="18"/>
          <w:szCs w:val="18"/>
          <w:color w:val="auto"/>
        </w:rPr>
        <w:t>. There are no material related-party transactions involving the Company or its Subsidiaries or any other person required to be described in the Registration Statement, the Prospectus and the Prospectus Supplement which have not been described in such documents as required.</w:t>
      </w:r>
    </w:p>
    <w:p>
      <w:pPr>
        <w:spacing w:after="0" w:line="175" w:lineRule="exact"/>
        <w:rPr>
          <w:rFonts w:ascii="Times New Roman" w:cs="Times New Roman" w:eastAsia="Times New Roman" w:hAnsi="Times New Roman"/>
          <w:sz w:val="18"/>
          <w:szCs w:val="18"/>
          <w:color w:val="auto"/>
        </w:rPr>
      </w:pPr>
    </w:p>
    <w:p>
      <w:pPr>
        <w:jc w:val="both"/>
        <w:ind w:left="-460" w:firstLine="644"/>
        <w:spacing w:after="0" w:line="252" w:lineRule="auto"/>
        <w:tabs>
          <w:tab w:leader="none" w:pos="436"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Sarbanes-Oxley; Internal Accounting Controls</w:t>
      </w:r>
      <w:r>
        <w:rPr>
          <w:rFonts w:ascii="Times New Roman" w:cs="Times New Roman" w:eastAsia="Times New Roman" w:hAnsi="Times New Roman"/>
          <w:sz w:val="18"/>
          <w:szCs w:val="18"/>
          <w:color w:val="auto"/>
        </w:rPr>
        <w:t>. Except as set forth in the SEC Reports, the Company and the Subsidiaries are in compliance in all material respects with any and all applicable requirements of the Sarbanes-Oxley Act of 2002, as amended, that are effective as of the date hereof, and any and all applicable rules and regulations promulgated by the Commission thereunder that are effective as of the date hereof and as of the Closing Date. The Company and the Subsidiaries maintain a system of internal accounting controls sufficient to provide reasonable assurance that: (i) transactions are executed in accordance with management’s general or specific authorizations, (ii) transactions are recorded as necessary to permit preparation of financial statements in conformity with GAAP and to maintain asset accountability, (iii) access to assets is permitted only in accordance with management’s general or specific authorization, and (iv) the recorded accountability for assets is compared with the existing assets at reasonable intervals and appropriate action is taken with respect to any differences. The Company and the Subsidiaries have established disclosure controls and procedures (as defined in Exchange Act Rules 13a-15(e) and 15d-15(e)) for the Company and the Subsidiaries and designed such disclosure controls and procedures to ensure that information required to be disclosed by the Company in the reports it files or submits under the Exchange Act is recorded, processed, summarized and reported, within the time periods specified in the Commission’s rules and forms. The Company’s certifying officers have evaluated the effectiveness of the disclosure controls and procedures of the Company and the Subsidiaries as of the end of the period covered by the most recently filed Form 20-F under the Exchange Act (such date, the “</w:t>
      </w:r>
      <w:r>
        <w:rPr>
          <w:rFonts w:ascii="Times New Roman" w:cs="Times New Roman" w:eastAsia="Times New Roman" w:hAnsi="Times New Roman"/>
          <w:sz w:val="18"/>
          <w:szCs w:val="18"/>
          <w:u w:val="single" w:color="auto"/>
          <w:color w:val="auto"/>
        </w:rPr>
        <w:t>Evaluation Date</w:t>
      </w:r>
      <w:r>
        <w:rPr>
          <w:rFonts w:ascii="Times New Roman" w:cs="Times New Roman" w:eastAsia="Times New Roman" w:hAnsi="Times New Roman"/>
          <w:sz w:val="18"/>
          <w:szCs w:val="18"/>
          <w:color w:val="auto"/>
        </w:rPr>
        <w:t>”). The Company presented in its most recently filed Form 20-F under the Exchange Act the conclusions of the certifying officers about the effectiveness of the disclosure controls and procedures based on their evaluations as of the Evaluation Date. Since the Evaluation Date, there have been no changes in the internal control over financial reporting (as such term is defined in the Exchange Act) of the Company and its Subsidiaries that have materially adversely affected, or is reasonably likely to materially adversely affect, the internal control over financial reporting of the Company and its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270510</wp:posOffset>
            </wp:positionV>
            <wp:extent cx="713232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688" w:right="339" w:bottom="1440" w:gutter="0" w:footer="0" w:header="0"/>
        </w:sectPr>
      </w:pPr>
    </w:p>
    <w:bookmarkStart w:id="23" w:name="page24"/>
    <w:bookmarkEnd w:id="23"/>
    <w:p>
      <w:pPr>
        <w:jc w:val="both"/>
        <w:ind w:left="-460" w:firstLine="644"/>
        <w:spacing w:after="0" w:line="258" w:lineRule="auto"/>
        <w:tabs>
          <w:tab w:leader="none" w:pos="403"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Certain Fees</w:t>
      </w:r>
      <w:r>
        <w:rPr>
          <w:rFonts w:ascii="Times New Roman" w:cs="Times New Roman" w:eastAsia="Times New Roman" w:hAnsi="Times New Roman"/>
          <w:sz w:val="18"/>
          <w:szCs w:val="18"/>
          <w:color w:val="auto"/>
        </w:rPr>
        <w:t>. Except as set forth in the Prospectus and the Prospectus Supplement, no brokerage or finder’s fees or commissions are or will be payable by the Company or any Subsidiary to any broker, financial advisor or consultant, finder, placement agent, investment banker, bank or other Person with respect to the transactions contemplated by the Transaction Documents. The Purchasers shall have no obligation with respect to any fees or with respect to any claims made by or on behalf of other Persons for fees of a type contemplated in this Section that may be due in connection with the transactions contemplated by the Transaction Documents.</w:t>
      </w:r>
    </w:p>
    <w:p>
      <w:pPr>
        <w:spacing w:after="0" w:line="183" w:lineRule="exact"/>
        <w:rPr>
          <w:rFonts w:ascii="Times New Roman" w:cs="Times New Roman" w:eastAsia="Times New Roman" w:hAnsi="Times New Roman"/>
          <w:sz w:val="18"/>
          <w:szCs w:val="18"/>
          <w:color w:val="auto"/>
        </w:rPr>
      </w:pPr>
    </w:p>
    <w:p>
      <w:pPr>
        <w:jc w:val="both"/>
        <w:ind w:left="-460" w:firstLine="644"/>
        <w:spacing w:after="0" w:line="261" w:lineRule="auto"/>
        <w:tabs>
          <w:tab w:leader="none" w:pos="443"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Investment Company</w:t>
      </w:r>
      <w:r>
        <w:rPr>
          <w:rFonts w:ascii="Times New Roman" w:cs="Times New Roman" w:eastAsia="Times New Roman" w:hAnsi="Times New Roman"/>
          <w:sz w:val="18"/>
          <w:szCs w:val="18"/>
          <w:color w:val="auto"/>
        </w:rPr>
        <w:t>. The Company is not, and is not an Affiliate of, and immediately after receipt of payment for the Securities, will not be or be an Affiliate of, an “investment company” within the meaning of the Investment Company Act of 1940, as amended. The Company shall conduct its business in a manner so that it will not become an “investment company” subject to registration under the Investment Company Act of 1940, as amended.</w:t>
      </w:r>
    </w:p>
    <w:p>
      <w:pPr>
        <w:spacing w:after="0" w:line="179" w:lineRule="exact"/>
        <w:rPr>
          <w:rFonts w:ascii="Times New Roman" w:cs="Times New Roman" w:eastAsia="Times New Roman" w:hAnsi="Times New Roman"/>
          <w:sz w:val="18"/>
          <w:szCs w:val="18"/>
          <w:color w:val="auto"/>
        </w:rPr>
      </w:pPr>
    </w:p>
    <w:p>
      <w:pPr>
        <w:ind w:left="-460" w:firstLine="644"/>
        <w:spacing w:after="0" w:line="282" w:lineRule="auto"/>
        <w:tabs>
          <w:tab w:leader="none" w:pos="443"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Registration Rights</w:t>
      </w:r>
      <w:r>
        <w:rPr>
          <w:rFonts w:ascii="Times New Roman" w:cs="Times New Roman" w:eastAsia="Times New Roman" w:hAnsi="Times New Roman"/>
          <w:sz w:val="18"/>
          <w:szCs w:val="18"/>
          <w:color w:val="auto"/>
        </w:rPr>
        <w:t>. No Person has any right to cause the Company or any Subsidiary to effect the registration under the Securities Act of any securities of the Company or any Subsidiary.</w:t>
      </w:r>
    </w:p>
    <w:p>
      <w:pPr>
        <w:spacing w:after="0" w:line="161" w:lineRule="exact"/>
        <w:rPr>
          <w:rFonts w:ascii="Times New Roman" w:cs="Times New Roman" w:eastAsia="Times New Roman" w:hAnsi="Times New Roman"/>
          <w:sz w:val="18"/>
          <w:szCs w:val="18"/>
          <w:color w:val="auto"/>
        </w:rPr>
      </w:pPr>
    </w:p>
    <w:p>
      <w:pPr>
        <w:jc w:val="both"/>
        <w:ind w:left="-460" w:firstLine="644"/>
        <w:spacing w:after="0" w:line="254" w:lineRule="auto"/>
        <w:tabs>
          <w:tab w:leader="none" w:pos="496"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Listing and Maintenance Requirements</w:t>
      </w:r>
      <w:r>
        <w:rPr>
          <w:rFonts w:ascii="Times New Roman" w:cs="Times New Roman" w:eastAsia="Times New Roman" w:hAnsi="Times New Roman"/>
          <w:sz w:val="18"/>
          <w:szCs w:val="18"/>
          <w:color w:val="auto"/>
        </w:rPr>
        <w:t>. The ADSs are registered pursuant to Section 12(b) or 12(g) of the Exchange Act, and the Company has taken no action designed to, or which to its knowledge is reasonably likely to have the effect of, terminating the registration of the ADSs under the Exchange Act nor has the Company received any written notification that the Commission is contemplating terminating such registration. The Company has not, in the 12 months preceding the date hereof, received written notice from any Trading Market on which the ADSs and/or Ordinary Shares are or have been listed or quoted to the effect that the Company is not in compliance with the listing or maintenance requirements of such Trading Market. The Company is, and has no reason to believe that it will not in the foreseeable future continue to be, in compliance with all such listing and maintenance requirements. The ADSs are currently eligible for electronic transfer through the Depository Trust Company or another established clearing corporation and the Company is current in payment of the fees to the Depository Trust Company (or such other established clearing corporation) in connection with such electronic transfer.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268605</wp:posOffset>
            </wp:positionV>
            <wp:extent cx="713232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688" w:right="339" w:bottom="1440" w:gutter="0" w:footer="0" w:header="0"/>
        </w:sectPr>
      </w:pPr>
    </w:p>
    <w:bookmarkStart w:id="24" w:name="page25"/>
    <w:bookmarkEnd w:id="24"/>
    <w:p>
      <w:pPr>
        <w:jc w:val="both"/>
        <w:ind w:left="-460" w:firstLine="644"/>
        <w:spacing w:after="0" w:line="256" w:lineRule="auto"/>
        <w:tabs>
          <w:tab w:leader="none" w:pos="456"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Application of Takeover Protections</w:t>
      </w:r>
      <w:r>
        <w:rPr>
          <w:rFonts w:ascii="Times New Roman" w:cs="Times New Roman" w:eastAsia="Times New Roman" w:hAnsi="Times New Roman"/>
          <w:sz w:val="18"/>
          <w:szCs w:val="18"/>
          <w:color w:val="auto"/>
        </w:rPr>
        <w:t>. The Company and the Board of Directors have taken all necessary action, if any, in order to render inapplicable any control share acquisition, business combination, poison pill (including any distribution under a rights agreement) or other similar anti-takeover provision under the Company’s memorandum of association, articles of association (or similar charter documents) or the laws of its jurisdiction of incorporation that is or could become applicable to the Purchasers as a result of the Purchasers and the Company fulfilling their obligations or exercising their rights under the Transaction Documents, including without limitation as a result of the Company’s issuance of the Securities and the Purchasers’ ownership of the Securities.</w:t>
      </w:r>
    </w:p>
    <w:p>
      <w:pPr>
        <w:spacing w:after="0" w:line="187" w:lineRule="exact"/>
        <w:rPr>
          <w:rFonts w:ascii="Times New Roman" w:cs="Times New Roman" w:eastAsia="Times New Roman" w:hAnsi="Times New Roman"/>
          <w:sz w:val="18"/>
          <w:szCs w:val="18"/>
          <w:color w:val="auto"/>
        </w:rPr>
      </w:pPr>
    </w:p>
    <w:p>
      <w:pPr>
        <w:jc w:val="both"/>
        <w:ind w:left="-460" w:firstLine="644"/>
        <w:spacing w:after="0" w:line="253" w:lineRule="auto"/>
        <w:tabs>
          <w:tab w:leader="none" w:pos="443"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Disclosure</w:t>
      </w:r>
      <w:r>
        <w:rPr>
          <w:rFonts w:ascii="Times New Roman" w:cs="Times New Roman" w:eastAsia="Times New Roman" w:hAnsi="Times New Roman"/>
          <w:sz w:val="18"/>
          <w:szCs w:val="18"/>
          <w:color w:val="auto"/>
        </w:rPr>
        <w:t>. Except with respect to the material terms and conditions of the transactions contemplated by the Transaction Documents, the Company confirms that neither it nor any other Person acting on its behalf has provided any of the Purchasers or their agents or counsel with any information that it believes constitutes or might constitute material, non-public information which is not otherwise disclosed in the Prospectus and the Prospectus Supplement. The Company understands and confirms that the Purchasers will rely on the foregoing representation in effecting transactions in securities of the Company. All of the written disclosure furnished by or on behalf of the Company to the Purchasers regarding the Company and its Subsidiaries, their respective businesses and the transactions contemplated hereby, including the Disclosure Schedules to this Agreement, taken as a whole, is true and correct in all materials respects as of the date made and does not contain any untrue statement of a material fact or omit to state any material fact necessary in order to make the statements made therein, in the light of the circumstances under which they were made, not misleading. The press releases disseminated by the Company during the twelve months preceding the date of this Agreement taken as a whole do not contain any untrue statement of a material fact or omit to state a material fact required to be stated therein or necessary in order to make the statements therein, in the light of the circumstances under which they were made and when made, not misleading. The Company acknowledges and agrees that no Purchaser makes or has made any representations or warranties with respect to the transactions contemplated hereby other than those specifically set forth in Section 3.2 hereof.</w:t>
      </w:r>
    </w:p>
    <w:p>
      <w:pPr>
        <w:spacing w:after="0" w:line="187" w:lineRule="exact"/>
        <w:rPr>
          <w:rFonts w:ascii="Times New Roman" w:cs="Times New Roman" w:eastAsia="Times New Roman" w:hAnsi="Times New Roman"/>
          <w:sz w:val="18"/>
          <w:szCs w:val="18"/>
          <w:color w:val="auto"/>
        </w:rPr>
      </w:pPr>
    </w:p>
    <w:p>
      <w:pPr>
        <w:jc w:val="both"/>
        <w:ind w:left="-460" w:firstLine="644"/>
        <w:spacing w:after="0" w:line="258" w:lineRule="auto"/>
        <w:tabs>
          <w:tab w:leader="none" w:pos="432"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Integrated Offering</w:t>
      </w:r>
      <w:r>
        <w:rPr>
          <w:rFonts w:ascii="Times New Roman" w:cs="Times New Roman" w:eastAsia="Times New Roman" w:hAnsi="Times New Roman"/>
          <w:sz w:val="18"/>
          <w:szCs w:val="18"/>
          <w:color w:val="auto"/>
        </w:rPr>
        <w:t>. Assuming the accuracy of the Purchasers’ representations and warranties set forth in Section 3.2, neither the Company, nor any of its Affiliates, nor any Person acting on its or their behalf has, directly or indirectly, made any offers or sales of any security or solicited any offers to buy any security, under circumstances that would cause this offering of the Securities to be integrated with prior offerings by the Company for purposes of any applicable shareholder approval provisions of any Trading Market on which any of the securities of the Company are listed or designated.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265430</wp:posOffset>
            </wp:positionV>
            <wp:extent cx="713232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661" w:right="339" w:bottom="1440" w:gutter="0" w:footer="0" w:header="0"/>
        </w:sectPr>
      </w:pPr>
    </w:p>
    <w:bookmarkStart w:id="25" w:name="page26"/>
    <w:bookmarkEnd w:id="25"/>
    <w:p>
      <w:pPr>
        <w:jc w:val="both"/>
        <w:ind w:left="-460" w:firstLine="644"/>
        <w:spacing w:after="0" w:line="254" w:lineRule="auto"/>
        <w:tabs>
          <w:tab w:leader="none" w:pos="512"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Indebtedness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Schedule 3.1(aa)</w:t>
      </w:r>
      <w:r>
        <w:rPr>
          <w:rFonts w:ascii="Times New Roman" w:cs="Times New Roman" w:eastAsia="Times New Roman" w:hAnsi="Times New Roman"/>
          <w:sz w:val="18"/>
          <w:szCs w:val="18"/>
          <w:color w:val="auto"/>
        </w:rPr>
        <w:t xml:space="preserve"> sets forth as of the date hereof all outstanding secured and unsecured Indebtedness of the Company or any Subsidiary, or for which the Company or any Subsidiary has commitments. For the purposes of this Agreement, “</w:t>
      </w:r>
      <w:r>
        <w:rPr>
          <w:rFonts w:ascii="Times New Roman" w:cs="Times New Roman" w:eastAsia="Times New Roman" w:hAnsi="Times New Roman"/>
          <w:sz w:val="18"/>
          <w:szCs w:val="18"/>
          <w:u w:val="single" w:color="auto"/>
          <w:color w:val="auto"/>
        </w:rPr>
        <w:t>Indebtedness</w:t>
      </w:r>
      <w:r>
        <w:rPr>
          <w:rFonts w:ascii="Times New Roman" w:cs="Times New Roman" w:eastAsia="Times New Roman" w:hAnsi="Times New Roman"/>
          <w:sz w:val="18"/>
          <w:szCs w:val="18"/>
          <w:color w:val="auto"/>
        </w:rPr>
        <w:t>” means (x) any liabilities for borrowed money or amounts owed by the Company in excess of $50,000 (other than trade accounts payable incurred in the ordinary course of business), (y) all guaranties, endorsements and other contingent obligations in respect of indebtedness of others, whether or not the same are or should be reflected in the Company’s consolidated balance sheet (or the notes thereto), except guaranties by endorsement of negotiable instruments for deposit or collection or similar transactions in the ordinary course of business; and (z) the present value of any lease payments in excess of $50,000 due under leases required to be capitalized in accordance with GAAP. Neither the Company nor any Subsidiary is in default with respect to any Indebtedness. Any holder of outstanding convertible debt or instruments is locked up upon conversion of such debt or instrument through the restriction period as provided in Section 4.10(a).</w:t>
      </w:r>
    </w:p>
    <w:p>
      <w:pPr>
        <w:spacing w:after="0" w:line="188" w:lineRule="exact"/>
        <w:rPr>
          <w:rFonts w:ascii="Times New Roman" w:cs="Times New Roman" w:eastAsia="Times New Roman" w:hAnsi="Times New Roman"/>
          <w:sz w:val="18"/>
          <w:szCs w:val="18"/>
          <w:color w:val="auto"/>
        </w:rPr>
      </w:pPr>
    </w:p>
    <w:p>
      <w:pPr>
        <w:jc w:val="both"/>
        <w:ind w:left="-460" w:firstLine="644"/>
        <w:spacing w:after="0" w:line="253" w:lineRule="auto"/>
        <w:tabs>
          <w:tab w:leader="none" w:pos="533"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Tax Status</w:t>
      </w:r>
      <w:r>
        <w:rPr>
          <w:rFonts w:ascii="Times New Roman" w:cs="Times New Roman" w:eastAsia="Times New Roman" w:hAnsi="Times New Roman"/>
          <w:sz w:val="18"/>
          <w:szCs w:val="18"/>
          <w:color w:val="auto"/>
        </w:rPr>
        <w:t>. Except for matters that would not, individually or in the aggregate, have or reasonably be expected to result in a Material Adverse Effect, the Company and its Subsidiaries each (i) has made or filed all Italian and United States federal, state and local income and all foreign income and franchise tax returns, reports and declarations required by any jurisdiction to which it is subject or has requested extensions thereof, except in any case in which the failure so to file would not have a Material Adverse Effect, (ii) has paid all taxes and other governmental assessments and charges, fines or penalties that are material in amount, shown or determined to be due on such returns, reports and declarations, to the extent that any of the foregoing is due and payable, except for any such assessment, charge, fine or penalty that is currently being contested in good faith or that would not have a Material Adverse Effect, and (iii) has set aside on its books provision reasonably adequate for the payment of all material taxes for periods subsequent to the periods to which such returns, reports or declarations apply. There are no unpaid taxes in any material amount claimed to be due by the taxing authority of any jurisdiction, and the officers of the Company or of any Subsidiary know of no basis for any such claim.</w:t>
      </w:r>
    </w:p>
    <w:p>
      <w:pPr>
        <w:spacing w:after="0" w:line="194" w:lineRule="exact"/>
        <w:rPr>
          <w:rFonts w:ascii="Times New Roman" w:cs="Times New Roman" w:eastAsia="Times New Roman" w:hAnsi="Times New Roman"/>
          <w:sz w:val="18"/>
          <w:szCs w:val="18"/>
          <w:color w:val="auto"/>
        </w:rPr>
      </w:pPr>
    </w:p>
    <w:p>
      <w:pPr>
        <w:jc w:val="both"/>
        <w:ind w:left="-460" w:firstLine="644"/>
        <w:spacing w:after="0" w:line="256" w:lineRule="auto"/>
        <w:tabs>
          <w:tab w:leader="none" w:pos="512"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Foreign Corrupt Practices</w:t>
      </w:r>
      <w:r>
        <w:rPr>
          <w:rFonts w:ascii="Times New Roman" w:cs="Times New Roman" w:eastAsia="Times New Roman" w:hAnsi="Times New Roman"/>
          <w:sz w:val="18"/>
          <w:szCs w:val="18"/>
          <w:color w:val="auto"/>
        </w:rPr>
        <w:t>. Neither the Company nor any Subsidiary, nor to the knowledge of the Company or any Subsidiary, any agent or other person acting on behalf of the Company or any Subsidiary, has (i) directly or indirectly, used any funds for unlawful contributions, gifts, entertainment or other unlawful expenses related to foreign or domestic political activity, (ii) made any unlawful payment to foreign or domestic government officials or employees or to any foreign or domestic political parties or campaigns from corporate funds, (iii) failed to disclose fully any contribution made by the Company or any Subsidiary (or made by any person acting on its behalf of which the Company is aware) which is in violation of law, or (iv) violated in any material respect any provision of FCPA or any foreign equivalent.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267970</wp:posOffset>
            </wp:positionV>
            <wp:extent cx="713232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688" w:right="339" w:bottom="1440" w:gutter="0" w:footer="0" w:header="0"/>
        </w:sectPr>
      </w:pPr>
    </w:p>
    <w:bookmarkStart w:id="26" w:name="page27"/>
    <w:bookmarkEnd w:id="26"/>
    <w:p>
      <w:pPr>
        <w:jc w:val="both"/>
        <w:ind w:left="-460" w:firstLine="644"/>
        <w:spacing w:after="0" w:line="266" w:lineRule="auto"/>
        <w:tabs>
          <w:tab w:leader="none" w:pos="546"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Accountants</w:t>
      </w:r>
      <w:r>
        <w:rPr>
          <w:rFonts w:ascii="Times New Roman" w:cs="Times New Roman" w:eastAsia="Times New Roman" w:hAnsi="Times New Roman"/>
          <w:sz w:val="18"/>
          <w:szCs w:val="18"/>
          <w:color w:val="auto"/>
        </w:rPr>
        <w:t>. The Company’s accounting firm is Dannible &amp; McKee, LLP. To the knowledge and belief of the Company, such accounting firm (i) is a registered public accounting firm as required by the Exchange Act and (ii) shall express its opinion with respect to the financial statements to be included in the Company’s next Report on Form 20-F for the fiscal year ending December 31, 2025.</w:t>
      </w:r>
    </w:p>
    <w:p>
      <w:pPr>
        <w:spacing w:after="0" w:line="175" w:lineRule="exact"/>
        <w:rPr>
          <w:rFonts w:ascii="Times New Roman" w:cs="Times New Roman" w:eastAsia="Times New Roman" w:hAnsi="Times New Roman"/>
          <w:sz w:val="18"/>
          <w:szCs w:val="18"/>
          <w:color w:val="auto"/>
        </w:rPr>
      </w:pPr>
    </w:p>
    <w:p>
      <w:pPr>
        <w:jc w:val="both"/>
        <w:ind w:left="-460" w:firstLine="644"/>
        <w:spacing w:after="0" w:line="254" w:lineRule="auto"/>
        <w:tabs>
          <w:tab w:leader="none" w:pos="512"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Acknowledgment Regarding Purchasers’ Purchase of Securities</w:t>
      </w:r>
      <w:r>
        <w:rPr>
          <w:rFonts w:ascii="Times New Roman" w:cs="Times New Roman" w:eastAsia="Times New Roman" w:hAnsi="Times New Roman"/>
          <w:sz w:val="18"/>
          <w:szCs w:val="18"/>
          <w:color w:val="auto"/>
        </w:rPr>
        <w:t>. The Company acknowledges and agrees that each of the Purchasers is acting solely in the capacity of an arm’s length purchaser with respect to the Transaction Documents and the transactions contemplated thereby. The Company further acknowledges that no Purchaser is acting as a financial advisor or fiduciary of the Company (or in any similar capacity) with respect to the Transaction Documents and the transactions contemplated thereby and any advice given by any Purchaser or any of their respective representatives or agents in connection with the Transaction Documents and the transactions contemplated thereby is merely incidental to the Purchasers’ purchase of the Securities. The Company further represents to each Purchaser that the Company’s decision to enter into this Agreement and the other Transaction Documents has been based solely on the independent evaluation of the transactions contemplated hereby by the Company and its representatives.</w:t>
      </w:r>
    </w:p>
    <w:p>
      <w:pPr>
        <w:spacing w:after="0" w:line="191" w:lineRule="exact"/>
        <w:rPr>
          <w:rFonts w:ascii="Times New Roman" w:cs="Times New Roman" w:eastAsia="Times New Roman" w:hAnsi="Times New Roman"/>
          <w:sz w:val="18"/>
          <w:szCs w:val="18"/>
          <w:color w:val="auto"/>
        </w:rPr>
      </w:pPr>
    </w:p>
    <w:p>
      <w:pPr>
        <w:jc w:val="both"/>
        <w:ind w:left="-460" w:firstLine="644"/>
        <w:spacing w:after="0" w:line="253" w:lineRule="auto"/>
        <w:tabs>
          <w:tab w:leader="none" w:pos="51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Acknowledgment Regarding Purchaser’s Trading Activity</w:t>
      </w:r>
      <w:r>
        <w:rPr>
          <w:rFonts w:ascii="Times New Roman" w:cs="Times New Roman" w:eastAsia="Times New Roman" w:hAnsi="Times New Roman"/>
          <w:sz w:val="18"/>
          <w:szCs w:val="18"/>
          <w:color w:val="auto"/>
        </w:rPr>
        <w:t>. Anything in this Agreement or elsewhere herein to the contrary notwithstanding (except for Sections 3.2(f) and 4.12 hereof), it is understood and acknowledged by the Company that: (i) none of the Purchasers has been asked by the Company to agree, nor has any Purchaser agreed, to desist from purchasing or selling, long and/or short, securities of the Company, or “derivative” securities based on securities issued by the Company or to hold the Securities for any specified term; (ii) past or future open market or other transactions by any Purchaser, specifically including, without limitation, Short Sales or “derivative” transactions, before or after the closing of this or future private placement transactions, may negatively impact the market price of the Company’s publicly-traded securities; (iii) any Purchaser, and counter-parties in “derivative” transactions to which any such Purchaser is a party, directly or indirectly, presently may have a “short” position in the Ordinary Shares and/or ADSs, and (iv) each Purchaser shall not be deemed to have any affiliation with or control over any arm’s length counter-party in any “derivative” transaction. The Company further understands and acknowledges that (y) one or more Purchasers may engage in hedging activities at various times during the period that the Securities are outstanding and (z) such hedging activities (if any) could reduce the value of the existing shareholders’ equity interests in the Company at and after the time that the hedging activities are being conducted. The Company acknowledges that such aforementioned hedging activities do not constitute a breach of any of the Transaction Documents.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267970</wp:posOffset>
            </wp:positionV>
            <wp:extent cx="713232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688" w:right="339" w:bottom="1440" w:gutter="0" w:footer="0" w:header="0"/>
        </w:sectPr>
      </w:pPr>
    </w:p>
    <w:bookmarkStart w:id="27" w:name="page28"/>
    <w:bookmarkEnd w:id="27"/>
    <w:p>
      <w:pPr>
        <w:jc w:val="both"/>
        <w:ind w:left="4" w:firstLine="644"/>
        <w:spacing w:after="0" w:line="257" w:lineRule="auto"/>
        <w:tabs>
          <w:tab w:leader="none" w:pos="1024"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Regulation M Compliance</w:t>
      </w:r>
      <w:r>
        <w:rPr>
          <w:rFonts w:ascii="Times New Roman" w:cs="Times New Roman" w:eastAsia="Times New Roman" w:hAnsi="Times New Roman"/>
          <w:sz w:val="18"/>
          <w:szCs w:val="18"/>
          <w:color w:val="auto"/>
        </w:rPr>
        <w:t>. The Company has not, and to its knowledge no one acting on its behalf has, (i) taken, directly or indirectly, any action designed to cause or to result in the stabilization or manipulation of the price of any security of the Company to facilitate the sale or resale of any of the Securities, (ii) sold, bid for, purchased, or, paid any compensation for soliciting purchases of, any of the Securities, or</w:t>
      </w:r>
    </w:p>
    <w:p>
      <w:pPr>
        <w:spacing w:after="0" w:line="1" w:lineRule="exact"/>
        <w:rPr>
          <w:rFonts w:ascii="Times New Roman" w:cs="Times New Roman" w:eastAsia="Times New Roman" w:hAnsi="Times New Roman"/>
          <w:sz w:val="18"/>
          <w:szCs w:val="18"/>
          <w:color w:val="auto"/>
        </w:rPr>
      </w:pPr>
    </w:p>
    <w:p>
      <w:pPr>
        <w:ind w:left="4" w:hanging="4"/>
        <w:spacing w:after="0" w:line="260" w:lineRule="auto"/>
        <w:tabs>
          <w:tab w:leader="none" w:pos="319"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paid or agreed to pay to any Person any compensation for soliciting another to purchase any other securities of the Company, other than, in the case of clauses (ii) and (iii), compensation paid to the Placement Agent in connection with the placement of the Securities.</w:t>
      </w:r>
    </w:p>
    <w:p>
      <w:pPr>
        <w:spacing w:after="0" w:line="181" w:lineRule="exact"/>
        <w:rPr>
          <w:rFonts w:ascii="Times New Roman" w:cs="Times New Roman" w:eastAsia="Times New Roman" w:hAnsi="Times New Roman"/>
          <w:sz w:val="18"/>
          <w:szCs w:val="18"/>
          <w:color w:val="auto"/>
        </w:rPr>
      </w:pPr>
    </w:p>
    <w:p>
      <w:pPr>
        <w:jc w:val="both"/>
        <w:ind w:left="4" w:firstLine="644"/>
        <w:spacing w:after="0" w:line="252" w:lineRule="auto"/>
        <w:tabs>
          <w:tab w:leader="none" w:pos="997"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EMA</w:t>
      </w:r>
      <w:r>
        <w:rPr>
          <w:rFonts w:ascii="Times New Roman" w:cs="Times New Roman" w:eastAsia="Times New Roman" w:hAnsi="Times New Roman"/>
          <w:sz w:val="18"/>
          <w:szCs w:val="18"/>
          <w:color w:val="auto"/>
        </w:rPr>
        <w:t>. The Company and its Subsidiaries: (A) are and, since January 1, 2022, have been in compliance with all applicable statutes, rules, or regulations, including but not limited to those administered by the European Medicines Agency (“</w:t>
      </w:r>
      <w:r>
        <w:rPr>
          <w:rFonts w:ascii="Times New Roman" w:cs="Times New Roman" w:eastAsia="Times New Roman" w:hAnsi="Times New Roman"/>
          <w:sz w:val="18"/>
          <w:szCs w:val="18"/>
          <w:u w:val="single" w:color="auto"/>
          <w:color w:val="auto"/>
        </w:rPr>
        <w:t>EMA</w:t>
      </w:r>
      <w:r>
        <w:rPr>
          <w:rFonts w:ascii="Times New Roman" w:cs="Times New Roman" w:eastAsia="Times New Roman" w:hAnsi="Times New Roman"/>
          <w:sz w:val="18"/>
          <w:szCs w:val="18"/>
          <w:color w:val="auto"/>
        </w:rPr>
        <w:t>”) and similar governmental authorities (foreign or local) regarding the testing, development, manufacture, packaging, processing, use, distribution, labeling, storage, import, export or disposal of any products being developed, manufactured or distributed by the Company or its Subsidiaries (“</w:t>
      </w:r>
      <w:r>
        <w:rPr>
          <w:rFonts w:ascii="Times New Roman" w:cs="Times New Roman" w:eastAsia="Times New Roman" w:hAnsi="Times New Roman"/>
          <w:sz w:val="18"/>
          <w:szCs w:val="18"/>
          <w:u w:val="single" w:color="auto"/>
          <w:color w:val="auto"/>
        </w:rPr>
        <w:t>Applicable Laws</w:t>
      </w:r>
      <w:r>
        <w:rPr>
          <w:rFonts w:ascii="Times New Roman" w:cs="Times New Roman" w:eastAsia="Times New Roman" w:hAnsi="Times New Roman"/>
          <w:sz w:val="18"/>
          <w:szCs w:val="18"/>
          <w:color w:val="auto"/>
        </w:rPr>
        <w:t>”), except as would not, individually or in the aggregate, reasonably be expected to result in a Material Adverse Effect; (B) have not received any warning letter or other written correspondence or notice from the EMA or any other governmental authority alleging or asserting noncompliance with any Applicable Laws or any licenses, certificates, approvals, clearances, authorizations, permits and supplements or amendments thereto required by any such Applicable Laws (“</w:t>
      </w:r>
      <w:r>
        <w:rPr>
          <w:rFonts w:ascii="Times New Roman" w:cs="Times New Roman" w:eastAsia="Times New Roman" w:hAnsi="Times New Roman"/>
          <w:sz w:val="18"/>
          <w:szCs w:val="18"/>
          <w:u w:val="single" w:color="auto"/>
          <w:color w:val="auto"/>
        </w:rPr>
        <w:t>Authorizations</w:t>
      </w:r>
      <w:r>
        <w:rPr>
          <w:rFonts w:ascii="Times New Roman" w:cs="Times New Roman" w:eastAsia="Times New Roman" w:hAnsi="Times New Roman"/>
          <w:sz w:val="18"/>
          <w:szCs w:val="18"/>
          <w:color w:val="auto"/>
        </w:rPr>
        <w:t>”); (C) to the Company’s knowledge, have since January 1, 2022, possessed all material Authorizations and such Authorizations are valid and in full force and effect and are not in material violation of any term of any such Authorizations; (D) have not received written notice of any claim, action, suit, proceeding, hearing, enforcement, investigation, arbitration or other action from any governmental authority or third party alleging that any product operation or activity is in violation of any Applicable Laws or Authorizations and have no knowledge that any such governmental authority or third party intends to initiate any such claim, litigation, arbitration, action, suit, investigation or proceeding; (E) have not received written notice that any governmental authority has taken, is taking or intends to take action to limit, suspend, modify or revoke any Authorizations; (F) have, since January 1, 2022, filed, obtained, maintained or submitted all material reports, documents, forms, notices, applications, records, claims, submissions and supplements or amendments as required by any Applicable Laws or Authorizations and that all such reports, documents, forms, notices, applications, records, claims, submissions and supplements or amendments were complete and correct in all material respects on the date filed (or were corrected or supplemented by a subsequent submission); and (G) have not, either voluntarily or involuntarily, initiated, conducted, or issued or caused to be initiated, conducted or issued, any recall, market withdrawal or replacement, safety alert, or other notice or action relating to the alleged lack of safety or efficacy of any product or any alleged product defect or violation and, to the Company’s knowledge, no third party has initiated, conducted or intends to initiate any such notice or action.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267970</wp:posOffset>
            </wp:positionV>
            <wp:extent cx="713232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4"/>
          </w:cols>
          <w:pgMar w:left="976" w:top="688" w:right="339" w:bottom="1440" w:gutter="0" w:footer="0" w:header="0"/>
        </w:sectPr>
      </w:pPr>
    </w:p>
    <w:bookmarkStart w:id="28" w:name="page29"/>
    <w:bookmarkEnd w:id="28"/>
    <w:p>
      <w:pPr>
        <w:jc w:val="both"/>
        <w:ind w:left="4" w:firstLine="644"/>
        <w:spacing w:after="0" w:line="253" w:lineRule="auto"/>
        <w:tabs>
          <w:tab w:leader="none" w:pos="917"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Cybersecurity</w:t>
      </w:r>
      <w:r>
        <w:rPr>
          <w:rFonts w:ascii="Times New Roman" w:cs="Times New Roman" w:eastAsia="Times New Roman" w:hAnsi="Times New Roman"/>
          <w:sz w:val="18"/>
          <w:szCs w:val="18"/>
          <w:color w:val="auto"/>
        </w:rPr>
        <w:t>. (i)(x) To the Company’s knowledge, there has been no security breach or other compromise of or relating to any of the Company’s or any Subsidiary’s information technology and computer systems, networks, hardware, software, data (including the data of its respective customers, employees, suppliers, vendors and any third party data maintained by or on behalf of it), equipment or technology (collectively, “</w:t>
      </w:r>
      <w:r>
        <w:rPr>
          <w:rFonts w:ascii="Times New Roman" w:cs="Times New Roman" w:eastAsia="Times New Roman" w:hAnsi="Times New Roman"/>
          <w:sz w:val="18"/>
          <w:szCs w:val="18"/>
          <w:u w:val="single" w:color="auto"/>
          <w:color w:val="auto"/>
        </w:rPr>
        <w:t>IT Systems and Data</w:t>
      </w:r>
      <w:r>
        <w:rPr>
          <w:rFonts w:ascii="Times New Roman" w:cs="Times New Roman" w:eastAsia="Times New Roman" w:hAnsi="Times New Roman"/>
          <w:sz w:val="18"/>
          <w:szCs w:val="18"/>
          <w:color w:val="auto"/>
        </w:rPr>
        <w:t>”) and (y) the Company and the Subsidiaries have not been notified of, and has no knowledge of any event or condition that would reasonably be expected to result in, any security breach or other compromise to its IT Systems and Data; (ii) the Company and the Subsidiaries are presently in compliance with all applicable laws or statutes and all judgments, orders, rules and regulations of any court or arbitrator or governmental or regulatory authority, internal policies and contractual obligations relating to the privacy and security of IT Systems and Data and to the protection of such IT Systems and Data from unauthorized use, access, misappropriation or modification, except as would not, individually or in the aggregate, have a Material Adverse Effect; (iii) the Company and the Subsidiaries have implemented and maintained commercially reasonable safeguards to maintain and protect its material confidential information and the integrity, continuous operation, redundancy and security of all IT Systems and Data; and (iv) the Company and the Subsidiaries have implemented backup and disaster recovery technology consistent with industry standards and practices.</w:t>
      </w:r>
    </w:p>
    <w:p>
      <w:pPr>
        <w:spacing w:after="0" w:line="189" w:lineRule="exact"/>
        <w:rPr>
          <w:rFonts w:ascii="Times New Roman" w:cs="Times New Roman" w:eastAsia="Times New Roman" w:hAnsi="Times New Roman"/>
          <w:sz w:val="18"/>
          <w:szCs w:val="18"/>
          <w:color w:val="auto"/>
        </w:rPr>
      </w:pPr>
    </w:p>
    <w:p>
      <w:pPr>
        <w:jc w:val="both"/>
        <w:ind w:left="4" w:firstLine="644"/>
        <w:spacing w:after="0" w:line="253" w:lineRule="auto"/>
        <w:tabs>
          <w:tab w:leader="none" w:pos="917"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Compliance with Data Privacy Laws</w:t>
      </w:r>
      <w:r>
        <w:rPr>
          <w:rFonts w:ascii="Times New Roman" w:cs="Times New Roman" w:eastAsia="Times New Roman" w:hAnsi="Times New Roman"/>
          <w:sz w:val="18"/>
          <w:szCs w:val="18"/>
          <w:color w:val="auto"/>
        </w:rPr>
        <w:t>. (i) The Company and the Subsidiaries are, and at all times during the last three (3) years were, in material compliance with all applicable state, federal and foreign data privacy and security laws and regulations, including, without limitation, the European Union General Data Protection Regulation (“</w:t>
      </w:r>
      <w:r>
        <w:rPr>
          <w:rFonts w:ascii="Times New Roman" w:cs="Times New Roman" w:eastAsia="Times New Roman" w:hAnsi="Times New Roman"/>
          <w:sz w:val="18"/>
          <w:szCs w:val="18"/>
          <w:u w:val="single" w:color="auto"/>
          <w:color w:val="auto"/>
        </w:rPr>
        <w:t>GDPR</w:t>
      </w:r>
      <w:r>
        <w:rPr>
          <w:rFonts w:ascii="Times New Roman" w:cs="Times New Roman" w:eastAsia="Times New Roman" w:hAnsi="Times New Roman"/>
          <w:sz w:val="18"/>
          <w:szCs w:val="18"/>
          <w:color w:val="auto"/>
        </w:rPr>
        <w:t>”) (EU 2016/679) (collectively, “</w:t>
      </w:r>
      <w:r>
        <w:rPr>
          <w:rFonts w:ascii="Times New Roman" w:cs="Times New Roman" w:eastAsia="Times New Roman" w:hAnsi="Times New Roman"/>
          <w:sz w:val="18"/>
          <w:szCs w:val="18"/>
          <w:u w:val="single" w:color="auto"/>
          <w:color w:val="auto"/>
        </w:rPr>
        <w:t>Privacy Laws</w:t>
      </w:r>
      <w:r>
        <w:rPr>
          <w:rFonts w:ascii="Times New Roman" w:cs="Times New Roman" w:eastAsia="Times New Roman" w:hAnsi="Times New Roman"/>
          <w:sz w:val="18"/>
          <w:szCs w:val="18"/>
          <w:color w:val="auto"/>
        </w:rPr>
        <w:t>”), except as would not, individually or in the aggregate, result in a Material Adverse Effect; (ii) the Company and the Subsidiaries have in place, comply with, and take appropriate steps reasonably designed to ensure compliance with their policies and procedures relating to data privacy and security and the collection, storage, use, disclosure, handling and analysis of Personal Data (as defined below) (the “</w:t>
      </w:r>
      <w:r>
        <w:rPr>
          <w:rFonts w:ascii="Times New Roman" w:cs="Times New Roman" w:eastAsia="Times New Roman" w:hAnsi="Times New Roman"/>
          <w:sz w:val="18"/>
          <w:szCs w:val="18"/>
          <w:u w:val="single" w:color="auto"/>
          <w:color w:val="auto"/>
        </w:rPr>
        <w:t>Policies</w:t>
      </w:r>
      <w:r>
        <w:rPr>
          <w:rFonts w:ascii="Times New Roman" w:cs="Times New Roman" w:eastAsia="Times New Roman" w:hAnsi="Times New Roman"/>
          <w:sz w:val="18"/>
          <w:szCs w:val="18"/>
          <w:color w:val="auto"/>
        </w:rPr>
        <w:t>”); (iii) the Company provides accurate notice of its applicable Policies to its customers, employees, third party vendors and representatives as required by the Privacy Laws; and</w:t>
      </w:r>
    </w:p>
    <w:p>
      <w:pPr>
        <w:spacing w:after="0" w:line="2" w:lineRule="exact"/>
        <w:rPr>
          <w:rFonts w:ascii="Times New Roman" w:cs="Times New Roman" w:eastAsia="Times New Roman" w:hAnsi="Times New Roman"/>
          <w:sz w:val="18"/>
          <w:szCs w:val="18"/>
          <w:color w:val="auto"/>
        </w:rPr>
      </w:pPr>
    </w:p>
    <w:p>
      <w:pPr>
        <w:jc w:val="both"/>
        <w:ind w:left="4" w:hanging="4"/>
        <w:spacing w:after="0" w:line="265" w:lineRule="auto"/>
        <w:tabs>
          <w:tab w:leader="none" w:pos="310"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applicable Policies provide accurate and sufficient notice of the Company’s then-current privacy practices relating to its subject matter, and do not contain any material omissions of the Company’s then-current privacy practices, as required by Privacy Laws. “</w:t>
      </w:r>
      <w:r>
        <w:rPr>
          <w:rFonts w:ascii="Times New Roman" w:cs="Times New Roman" w:eastAsia="Times New Roman" w:hAnsi="Times New Roman"/>
          <w:sz w:val="17"/>
          <w:szCs w:val="17"/>
          <w:u w:val="single" w:color="auto"/>
          <w:color w:val="auto"/>
        </w:rPr>
        <w:t>Personal Data</w:t>
      </w:r>
      <w:r>
        <w:rPr>
          <w:rFonts w:ascii="Times New Roman" w:cs="Times New Roman" w:eastAsia="Times New Roman" w:hAnsi="Times New Roman"/>
          <w:sz w:val="17"/>
          <w:szCs w:val="17"/>
          <w:color w:val="auto"/>
        </w:rPr>
        <w:t>” means (i) a natural person’s name, street address, telephone number, email address, photograph, social security number, bank information, or customer or account number; (ii) any information which would qualify as “personally identifying information” under the Federal Trade Commission Act, as amended; (iii) “personal data” as defined by GDPR; and (iv) any other piece of information that allows the identification of such natural person, or his or her family, or permits the collection or analysis of any identifiable data related to an identified person’s health or sexual orientation. (i) None of such disclosures made or contained in any of the Policies have been inaccurate, misleading, or deceptive in violation of any Privacy Laws and</w:t>
      </w:r>
    </w:p>
    <w:p>
      <w:pPr>
        <w:spacing w:after="0" w:line="1" w:lineRule="exact"/>
        <w:rPr>
          <w:rFonts w:ascii="Times New Roman" w:cs="Times New Roman" w:eastAsia="Times New Roman" w:hAnsi="Times New Roman"/>
          <w:sz w:val="17"/>
          <w:szCs w:val="17"/>
          <w:color w:val="auto"/>
        </w:rPr>
      </w:pPr>
    </w:p>
    <w:p>
      <w:pPr>
        <w:jc w:val="both"/>
        <w:ind w:left="4" w:hanging="4"/>
        <w:spacing w:after="0" w:line="252" w:lineRule="auto"/>
        <w:tabs>
          <w:tab w:leader="none" w:pos="272"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execution, delivery and performance of the Transaction Documents will not result in a breach of any Privacy Laws or Policies. Neither the Company nor the Subsidiaries (i) to the knowledge of the Company, has received written notice of any actual or potential liability of the Company or the Subsidiaries under, or actual or potential violation by the Company or the Subsidiaries of, any of the Privacy Laws; (ii) is currently conducting or paying for, in whole or in part, any investigation, remediation or other corrective action pursuant to any regulatory request or demand pursuant to any Privacy Law; or (iii) is a party to any order, decree, or agreement by or with any court or arbitrator or governmental or regulatory authority that imposed any obligation or liability under any Privacy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269240</wp:posOffset>
            </wp:positionV>
            <wp:extent cx="713232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4"/>
          </w:cols>
          <w:pgMar w:left="976" w:top="688" w:right="339" w:bottom="1440" w:gutter="0" w:footer="0" w:header="0"/>
        </w:sectPr>
      </w:pPr>
    </w:p>
    <w:bookmarkStart w:id="29" w:name="page30"/>
    <w:bookmarkEnd w:id="29"/>
    <w:p>
      <w:pPr>
        <w:jc w:val="both"/>
        <w:ind w:left="-460" w:firstLine="644"/>
        <w:spacing w:after="0" w:line="256" w:lineRule="auto"/>
        <w:tabs>
          <w:tab w:leader="none" w:pos="573"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Share Option Plans</w:t>
      </w:r>
      <w:r>
        <w:rPr>
          <w:rFonts w:ascii="Times New Roman" w:cs="Times New Roman" w:eastAsia="Times New Roman" w:hAnsi="Times New Roman"/>
          <w:sz w:val="18"/>
          <w:szCs w:val="18"/>
          <w:color w:val="auto"/>
        </w:rPr>
        <w:t>. Each share option granted by the Company under the Company’s stock option plan was granted (i) in accordance with the terms of the Company’s share option plan and (ii) with an exercise price at least equal to the fair market value of the Ordinary Shares on the date such share option would be considered granted under GAAP and applicable law. No share option granted under the Company’s share option plan has been backdated. The Company has not knowingly granted, and there is no and has been no Company policy or practice to knowingly grant, share options prior to, or otherwise knowingly coordinate the grant of share options with, the release or other public announcement of material information regarding the Company or its Subsidiaries or their financial results or prospects.</w:t>
      </w:r>
    </w:p>
    <w:p>
      <w:pPr>
        <w:spacing w:after="0" w:line="187" w:lineRule="exact"/>
        <w:rPr>
          <w:rFonts w:ascii="Times New Roman" w:cs="Times New Roman" w:eastAsia="Times New Roman" w:hAnsi="Times New Roman"/>
          <w:sz w:val="18"/>
          <w:szCs w:val="18"/>
          <w:color w:val="auto"/>
        </w:rPr>
      </w:pPr>
    </w:p>
    <w:p>
      <w:pPr>
        <w:jc w:val="both"/>
        <w:ind w:left="-460" w:firstLine="644"/>
        <w:spacing w:after="0" w:line="266" w:lineRule="auto"/>
        <w:tabs>
          <w:tab w:leader="none" w:pos="453"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Office of Foreign Assets Control</w:t>
      </w:r>
      <w:r>
        <w:rPr>
          <w:rFonts w:ascii="Times New Roman" w:cs="Times New Roman" w:eastAsia="Times New Roman" w:hAnsi="Times New Roman"/>
          <w:sz w:val="18"/>
          <w:szCs w:val="18"/>
          <w:color w:val="auto"/>
        </w:rPr>
        <w:t>. Neither the Company nor any Subsidiary nor, to the Company’s knowledge, any director, officer, agent, employee or affiliate of the Company or any Subsidiary is currently subject to any U.S. sanctions administered by the Office of Foreign Assets Control of the U.S. Treasury Department (“</w:t>
      </w:r>
      <w:r>
        <w:rPr>
          <w:rFonts w:ascii="Times New Roman" w:cs="Times New Roman" w:eastAsia="Times New Roman" w:hAnsi="Times New Roman"/>
          <w:sz w:val="18"/>
          <w:szCs w:val="18"/>
          <w:u w:val="single" w:color="auto"/>
          <w:color w:val="auto"/>
        </w:rPr>
        <w:t>OFAC</w:t>
      </w:r>
      <w:r>
        <w:rPr>
          <w:rFonts w:ascii="Times New Roman" w:cs="Times New Roman" w:eastAsia="Times New Roman" w:hAnsi="Times New Roman"/>
          <w:sz w:val="18"/>
          <w:szCs w:val="18"/>
          <w:color w:val="auto"/>
        </w:rPr>
        <w:t>”).</w:t>
      </w:r>
    </w:p>
    <w:p>
      <w:pPr>
        <w:spacing w:after="0" w:line="175" w:lineRule="exact"/>
        <w:rPr>
          <w:rFonts w:ascii="Times New Roman" w:cs="Times New Roman" w:eastAsia="Times New Roman" w:hAnsi="Times New Roman"/>
          <w:sz w:val="18"/>
          <w:szCs w:val="18"/>
          <w:color w:val="auto"/>
        </w:rPr>
      </w:pPr>
    </w:p>
    <w:p>
      <w:pPr>
        <w:ind w:left="-460" w:firstLine="644"/>
        <w:spacing w:after="0" w:line="282" w:lineRule="auto"/>
        <w:tabs>
          <w:tab w:leader="none" w:pos="633"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U.S. Real Property Holding Corporation</w:t>
      </w:r>
      <w:r>
        <w:rPr>
          <w:rFonts w:ascii="Times New Roman" w:cs="Times New Roman" w:eastAsia="Times New Roman" w:hAnsi="Times New Roman"/>
          <w:sz w:val="18"/>
          <w:szCs w:val="18"/>
          <w:color w:val="auto"/>
        </w:rPr>
        <w:t>. The Company is not and has never been a U.S. real property holding corporation within the meaning of Section 897 of the Internal Revenue Code of 1986, as amended, and the Company shall so certify upon Purchaser’s request.</w:t>
      </w:r>
    </w:p>
    <w:p>
      <w:pPr>
        <w:spacing w:after="0" w:line="161" w:lineRule="exact"/>
        <w:rPr>
          <w:rFonts w:ascii="Times New Roman" w:cs="Times New Roman" w:eastAsia="Times New Roman" w:hAnsi="Times New Roman"/>
          <w:sz w:val="18"/>
          <w:szCs w:val="18"/>
          <w:color w:val="auto"/>
        </w:rPr>
      </w:pPr>
    </w:p>
    <w:p>
      <w:pPr>
        <w:jc w:val="both"/>
        <w:ind w:left="-460" w:firstLine="644"/>
        <w:spacing w:after="0" w:line="256" w:lineRule="auto"/>
        <w:tabs>
          <w:tab w:leader="none" w:pos="533"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Bank Holding Company Act</w:t>
      </w:r>
      <w:r>
        <w:rPr>
          <w:rFonts w:ascii="Times New Roman" w:cs="Times New Roman" w:eastAsia="Times New Roman" w:hAnsi="Times New Roman"/>
          <w:sz w:val="18"/>
          <w:szCs w:val="18"/>
          <w:color w:val="auto"/>
        </w:rPr>
        <w:t>. Neither the Company nor any of its Subsidiaries or Affiliates is subject to the Bank Holding Company Act of 1956, as amended (the “</w:t>
      </w:r>
      <w:r>
        <w:rPr>
          <w:rFonts w:ascii="Times New Roman" w:cs="Times New Roman" w:eastAsia="Times New Roman" w:hAnsi="Times New Roman"/>
          <w:sz w:val="18"/>
          <w:szCs w:val="18"/>
          <w:u w:val="single" w:color="auto"/>
          <w:color w:val="auto"/>
        </w:rPr>
        <w:t>BHCA</w:t>
      </w:r>
      <w:r>
        <w:rPr>
          <w:rFonts w:ascii="Times New Roman" w:cs="Times New Roman" w:eastAsia="Times New Roman" w:hAnsi="Times New Roman"/>
          <w:sz w:val="18"/>
          <w:szCs w:val="18"/>
          <w:color w:val="auto"/>
        </w:rPr>
        <w:t>”) and to regulation by the Board of Governors of the Federal Reserve System (the “</w:t>
      </w:r>
      <w:r>
        <w:rPr>
          <w:rFonts w:ascii="Times New Roman" w:cs="Times New Roman" w:eastAsia="Times New Roman" w:hAnsi="Times New Roman"/>
          <w:sz w:val="18"/>
          <w:szCs w:val="18"/>
          <w:u w:val="single" w:color="auto"/>
          <w:color w:val="auto"/>
        </w:rPr>
        <w:t>Federal Reserve</w:t>
      </w:r>
      <w:r>
        <w:rPr>
          <w:rFonts w:ascii="Times New Roman" w:cs="Times New Roman" w:eastAsia="Times New Roman" w:hAnsi="Times New Roman"/>
          <w:sz w:val="18"/>
          <w:szCs w:val="18"/>
          <w:color w:val="auto"/>
        </w:rPr>
        <w:t>”). Neither the Company nor any of its Subsidiaries or Affiliates owns or controls, directly or indirectly, five percent (5%) or more of the outstanding shares of any class of voting securities or twenty-five percent (25%) or more of the total equity of a bank or any entity that is subject to the BHCA and to regulation by the Federal Reserve. Neither the Company nor any of its Subsidiaries or Affiliates exercises a controlling influence over the management or policies of a bank or any entity that is subject to the BHCA and to regulation by the Federal Reserve.</w:t>
      </w:r>
    </w:p>
    <w:p>
      <w:pPr>
        <w:spacing w:after="0" w:line="187" w:lineRule="exact"/>
        <w:rPr>
          <w:rFonts w:ascii="Times New Roman" w:cs="Times New Roman" w:eastAsia="Times New Roman" w:hAnsi="Times New Roman"/>
          <w:sz w:val="18"/>
          <w:szCs w:val="18"/>
          <w:color w:val="auto"/>
        </w:rPr>
      </w:pPr>
    </w:p>
    <w:p>
      <w:pPr>
        <w:jc w:val="both"/>
        <w:ind w:left="-460" w:firstLine="644"/>
        <w:spacing w:after="0" w:line="258" w:lineRule="auto"/>
        <w:tabs>
          <w:tab w:leader="none" w:pos="533"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Money Laundering</w:t>
      </w:r>
      <w:r>
        <w:rPr>
          <w:rFonts w:ascii="Times New Roman" w:cs="Times New Roman" w:eastAsia="Times New Roman" w:hAnsi="Times New Roman"/>
          <w:sz w:val="18"/>
          <w:szCs w:val="18"/>
          <w:color w:val="auto"/>
        </w:rPr>
        <w:t>. The operations of the Company and its Subsidiaries are and have been conducted at all times in compliance with applicable financial record-keeping and reporting requirements of the Currency and Foreign Transactions Reporting Act of 1970, as amended, any Italian equivalent, applicable money laundering statutes and applicable rules and regulations thereunder (collectively, the “</w:t>
      </w:r>
      <w:r>
        <w:rPr>
          <w:rFonts w:ascii="Times New Roman" w:cs="Times New Roman" w:eastAsia="Times New Roman" w:hAnsi="Times New Roman"/>
          <w:sz w:val="18"/>
          <w:szCs w:val="18"/>
          <w:u w:val="single" w:color="auto"/>
          <w:color w:val="auto"/>
        </w:rPr>
        <w:t>Money Laundering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Laws</w:t>
      </w:r>
      <w:r>
        <w:rPr>
          <w:rFonts w:ascii="Times New Roman" w:cs="Times New Roman" w:eastAsia="Times New Roman" w:hAnsi="Times New Roman"/>
          <w:sz w:val="18"/>
          <w:szCs w:val="18"/>
          <w:color w:val="auto"/>
        </w:rPr>
        <w:t>”), and no Action or Proceeding by or before any court or governmental agency, authority or body or any arbitrator involving the Company or any Subsidiary with respect to the Money Laundering Laws is pending or, to the knowledge of the Company or any Subsidiary, threatened.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265430</wp:posOffset>
            </wp:positionV>
            <wp:extent cx="713232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688" w:right="339" w:bottom="1440" w:gutter="0" w:footer="0" w:header="0"/>
        </w:sectPr>
      </w:pPr>
    </w:p>
    <w:bookmarkStart w:id="30" w:name="page31"/>
    <w:bookmarkEnd w:id="30"/>
    <w:p>
      <w:pPr>
        <w:jc w:val="both"/>
        <w:ind w:left="660" w:firstLine="644"/>
        <w:spacing w:after="0" w:line="261" w:lineRule="auto"/>
        <w:tabs>
          <w:tab w:leader="none" w:pos="1653"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Promotional Stock Activities</w:t>
      </w:r>
      <w:r>
        <w:rPr>
          <w:rFonts w:ascii="Times New Roman" w:cs="Times New Roman" w:eastAsia="Times New Roman" w:hAnsi="Times New Roman"/>
          <w:sz w:val="18"/>
          <w:szCs w:val="18"/>
          <w:color w:val="auto"/>
        </w:rPr>
        <w:t>. Neither the Company nor any Subsidiary of the Company and, to the Company’s knowledge, none of their respective officers, directors, managers, affiliates or agents, has engaged in any stock promotional activity that could give rise to a complaint, inquiry, or trading suspension by the SEC alleging: (i) a violation of the anti-fraud provisions of the federal securities laws; (ii) violations of the anti-touting provisions; (iii) improper “gun-jumping”; or (iv) promotion without proper disclosure of compensation.</w:t>
      </w:r>
    </w:p>
    <w:p>
      <w:pPr>
        <w:spacing w:after="0" w:line="179" w:lineRule="exact"/>
        <w:rPr>
          <w:rFonts w:ascii="Times New Roman" w:cs="Times New Roman" w:eastAsia="Times New Roman" w:hAnsi="Times New Roman"/>
          <w:sz w:val="18"/>
          <w:szCs w:val="18"/>
          <w:color w:val="auto"/>
        </w:rPr>
      </w:pPr>
    </w:p>
    <w:p>
      <w:pPr>
        <w:ind w:left="1640" w:hanging="336"/>
        <w:spacing w:after="0"/>
        <w:tabs>
          <w:tab w:leader="none" w:pos="16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Foreign Private Issuer</w:t>
      </w:r>
      <w:r>
        <w:rPr>
          <w:rFonts w:ascii="Times New Roman" w:cs="Times New Roman" w:eastAsia="Times New Roman" w:hAnsi="Times New Roman"/>
          <w:sz w:val="18"/>
          <w:szCs w:val="18"/>
          <w:color w:val="auto"/>
        </w:rPr>
        <w:t>. The Company is a “foreign private issuer” as defined in Rule 405 promulgated under the Securities Act.</w:t>
      </w:r>
    </w:p>
    <w:p>
      <w:pPr>
        <w:spacing w:after="0" w:line="225" w:lineRule="exact"/>
        <w:rPr>
          <w:rFonts w:ascii="Times New Roman" w:cs="Times New Roman" w:eastAsia="Times New Roman" w:hAnsi="Times New Roman"/>
          <w:sz w:val="18"/>
          <w:szCs w:val="18"/>
          <w:color w:val="auto"/>
        </w:rPr>
      </w:pPr>
    </w:p>
    <w:p>
      <w:pPr>
        <w:jc w:val="both"/>
        <w:ind w:left="660" w:firstLine="644"/>
        <w:spacing w:after="0" w:line="266" w:lineRule="auto"/>
        <w:tabs>
          <w:tab w:leader="none" w:pos="1593"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Jurisdiction</w:t>
      </w:r>
      <w:r>
        <w:rPr>
          <w:rFonts w:ascii="Times New Roman" w:cs="Times New Roman" w:eastAsia="Times New Roman" w:hAnsi="Times New Roman"/>
          <w:sz w:val="18"/>
          <w:szCs w:val="18"/>
          <w:color w:val="auto"/>
        </w:rPr>
        <w:t>. The Company has the power to submit, and has legally, validly, effectively and irrevocably submitted, to the jurisdiction of the Specified Courts, and has the power to designate, appoint and empower, and has legally, validly and effectively designated, appointed and empowered, an agent for service of process in any suit or proceeding based on or arising under this Agreement in any Specified Court.</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3.2 </w:t>
      </w:r>
      <w:r>
        <w:rPr>
          <w:rFonts w:ascii="Times New Roman" w:cs="Times New Roman" w:eastAsia="Times New Roman" w:hAnsi="Times New Roman"/>
          <w:sz w:val="18"/>
          <w:szCs w:val="18"/>
          <w:u w:val="single" w:color="auto"/>
          <w:color w:val="auto"/>
        </w:rPr>
        <w:t>Representations and Warranties of the Purchasers</w:t>
      </w:r>
      <w:r>
        <w:rPr>
          <w:rFonts w:ascii="Times New Roman" w:cs="Times New Roman" w:eastAsia="Times New Roman" w:hAnsi="Times New Roman"/>
          <w:sz w:val="18"/>
          <w:szCs w:val="18"/>
          <w:color w:val="auto"/>
        </w:rPr>
        <w:t>. Each Purchaser, for itself and for no other Purchaser, hereby represents and warrants as of the date hereof and as of the Closing Date to the Company as follows (unless as of a specific date therein, in which case they shall be accurate as of such date):</w:t>
      </w:r>
    </w:p>
    <w:p>
      <w:pPr>
        <w:spacing w:after="0" w:line="176" w:lineRule="exact"/>
        <w:rPr>
          <w:sz w:val="20"/>
          <w:szCs w:val="20"/>
          <w:color w:val="auto"/>
        </w:rPr>
      </w:pPr>
    </w:p>
    <w:p>
      <w:pPr>
        <w:jc w:val="both"/>
        <w:ind w:left="340" w:firstLine="640"/>
        <w:spacing w:after="0" w:line="253" w:lineRule="auto"/>
        <w:tabs>
          <w:tab w:leader="none" w:pos="1246"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Organization; Authority</w:t>
      </w:r>
      <w:r>
        <w:rPr>
          <w:rFonts w:ascii="Times New Roman" w:cs="Times New Roman" w:eastAsia="Times New Roman" w:hAnsi="Times New Roman"/>
          <w:sz w:val="18"/>
          <w:szCs w:val="18"/>
          <w:color w:val="auto"/>
        </w:rPr>
        <w:t>. Such Purchaser is either an individual or an entity duly incorporated or formed, validly existing and in good standing under the laws of the jurisdiction of its incorporation or formation with full right, corporate, partnership, limited liability company or similar power and authority to enter into and to consummate the transactions contemplated by the Transaction Documents and otherwise to carry out its obligations hereunder and thereunder. The execution and delivery of the Transaction Documents and performance by such Purchaser of the transactions contemplated by the Transaction Documents have been duly authorized by all necessary corporate, partnership, limited liability company or similar action, as applicable, on the part of such Purchaser. Each Transaction Document to which it is a party has been duly executed by such Purchaser, and when delivered by such Purchaser in accordance with the terms hereof, will constitute the valid and legally binding obligation of such Purchaser, enforceable against it in accordance with its terms, except: (i) as limited by general equitable principles and applicable bankruptcy, insolvency, reorganization, moratorium and other laws of general application affecting enforcement of creditors’ rights generally, (ii) as limited by laws relating to the availability of specific performance, injunctive relief or other equitable remedies and (iii) insofar as indemnification and contribution provisions may be limited by applicable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270510</wp:posOffset>
            </wp:positionV>
            <wp:extent cx="713232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31" w:name="page32"/>
    <w:bookmarkEnd w:id="31"/>
    <w:p>
      <w:pPr>
        <w:jc w:val="both"/>
        <w:ind w:left="-640" w:firstLine="640"/>
        <w:spacing w:after="0" w:line="253" w:lineRule="auto"/>
        <w:tabs>
          <w:tab w:leader="none" w:pos="263"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Understandings or Arrangements</w:t>
      </w:r>
      <w:r>
        <w:rPr>
          <w:rFonts w:ascii="Times New Roman" w:cs="Times New Roman" w:eastAsia="Times New Roman" w:hAnsi="Times New Roman"/>
          <w:sz w:val="18"/>
          <w:szCs w:val="18"/>
          <w:color w:val="auto"/>
        </w:rPr>
        <w:t>. Such Purchaser is acquiring the Securities as principal for its own account and has no direct or indirect arrangement or understandings with any other persons to distribute or regarding the distribution of such Securities (this representation and warranty not limiting such Purchaser’s right to sell the Securities pursuant to the Registration Statement or otherwise in compliance with applicable federal and state securities laws). Such Purchaser is acquiring the Securities hereunder in the ordinary course of its business. Such Purchaser is acquiring such Securities as principal for his, her or its own account and not with a view to or for distributing or reselling such Securities or any part thereof in violation of the Securities Act or any applicable state securities law, has no present intention of distributing any of such Securities in violation of the Securities Act or any applicable state securities law and has no direct or indirect arrangement or understandings with any other persons to distribute or regarding the distribution of such Securities in violation of the Securities Act or any applicable state securities law (this representation and warranty not limiting such Purchaser’s right to sell such Securities pursuant to a registration statement or otherwise in compliance with applicable federal and state securities laws).</w:t>
      </w:r>
    </w:p>
    <w:p>
      <w:pPr>
        <w:spacing w:after="0" w:line="194" w:lineRule="exact"/>
        <w:rPr>
          <w:rFonts w:ascii="Times New Roman" w:cs="Times New Roman" w:eastAsia="Times New Roman" w:hAnsi="Times New Roman"/>
          <w:sz w:val="18"/>
          <w:szCs w:val="18"/>
          <w:color w:val="auto"/>
        </w:rPr>
      </w:pPr>
    </w:p>
    <w:p>
      <w:pPr>
        <w:ind w:left="-640" w:right="20" w:firstLine="640"/>
        <w:spacing w:after="0" w:line="282" w:lineRule="auto"/>
        <w:tabs>
          <w:tab w:leader="none" w:pos="252"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Purchaser Status</w:t>
      </w:r>
      <w:r>
        <w:rPr>
          <w:rFonts w:ascii="Times New Roman" w:cs="Times New Roman" w:eastAsia="Times New Roman" w:hAnsi="Times New Roman"/>
          <w:sz w:val="18"/>
          <w:szCs w:val="18"/>
          <w:color w:val="auto"/>
        </w:rPr>
        <w:t>. At the time such Purchaser was offered the Securities, it was, and as of the date hereof it is, an “accredited investor” as defined in Rule 501(a)(1), (a)(2), (a)(3), (a)(7), (a)(8), (a)(9), (a)(12), or (a)(13) under the Securities Act.</w:t>
      </w:r>
    </w:p>
    <w:p>
      <w:pPr>
        <w:spacing w:after="0" w:line="161" w:lineRule="exact"/>
        <w:rPr>
          <w:rFonts w:ascii="Times New Roman" w:cs="Times New Roman" w:eastAsia="Times New Roman" w:hAnsi="Times New Roman"/>
          <w:sz w:val="18"/>
          <w:szCs w:val="18"/>
          <w:color w:val="auto"/>
        </w:rPr>
      </w:pPr>
    </w:p>
    <w:p>
      <w:pPr>
        <w:jc w:val="both"/>
        <w:ind w:left="-640" w:firstLine="640"/>
        <w:spacing w:after="0" w:line="261" w:lineRule="auto"/>
        <w:tabs>
          <w:tab w:leader="none" w:pos="276"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Experience of Such Purchaser</w:t>
      </w:r>
      <w:r>
        <w:rPr>
          <w:rFonts w:ascii="Times New Roman" w:cs="Times New Roman" w:eastAsia="Times New Roman" w:hAnsi="Times New Roman"/>
          <w:sz w:val="18"/>
          <w:szCs w:val="18"/>
          <w:color w:val="auto"/>
        </w:rPr>
        <w:t>. Such Purchaser, either alone or together with its representatives, has such knowledge, sophistication and experience in business and financial matters so as to be capable of evaluating the merits and risks of the prospective investment in the Securities, and has so evaluated the merits and risks of such investment. Such Purchaser is able to bear the economic risk of an investment in the Securities and, at the present time, is able to afford a complete loss of such investment.</w:t>
      </w:r>
    </w:p>
    <w:p>
      <w:pPr>
        <w:spacing w:after="0" w:line="179" w:lineRule="exact"/>
        <w:rPr>
          <w:rFonts w:ascii="Times New Roman" w:cs="Times New Roman" w:eastAsia="Times New Roman" w:hAnsi="Times New Roman"/>
          <w:sz w:val="18"/>
          <w:szCs w:val="18"/>
          <w:color w:val="auto"/>
        </w:rPr>
      </w:pPr>
    </w:p>
    <w:p>
      <w:pPr>
        <w:jc w:val="both"/>
        <w:ind w:left="-640" w:firstLine="640"/>
        <w:spacing w:after="0" w:line="253" w:lineRule="auto"/>
        <w:tabs>
          <w:tab w:leader="none" w:pos="252"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Access to Information</w:t>
      </w:r>
      <w:r>
        <w:rPr>
          <w:rFonts w:ascii="Times New Roman" w:cs="Times New Roman" w:eastAsia="Times New Roman" w:hAnsi="Times New Roman"/>
          <w:sz w:val="18"/>
          <w:szCs w:val="18"/>
          <w:color w:val="auto"/>
        </w:rPr>
        <w:t>. Such Purchaser acknowledges that it has had the opportunity to review the Transaction Documents (including all exhibits and schedules thereto) and the SEC Reports and has been afforded, (i) the opportunity to ask such questions as it has deemed necessary of, and to receive answers from, representatives of the Company concerning the terms and conditions of the offering of the Securities and the merits and risks of investing in the Securities; (ii) access to information about the Company and its financial condition, results of operations, business, properties, management and prospects sufficient to enable it to evaluate its investment; and (iii) the opportunity to obtain such additional information that the Company possesses or can acquire without unreasonable effort or expense that is necessary to make an informed investment decision with respect to the investment. Such Purchaser acknowledges and agrees that neither the Placement Agent nor any Affiliate of the Placement Agent has provided such Purchaser with any information or advice with respect to the Securities nor is such information or advice necessary or desired. Neither the Placement Agent nor any Affiliate has made or makes any representation as to the Company or the quality of the Securities and the Placement Agent and any Affiliate may have acquired non-public information with respect to the Company which such Purchaser agrees need not be provided to it. In connection with the issuance of the Securities to such Purchaser, neither the Placement Agent nor any of its Affiliates has acted as a financial advisor or fiduciary to such Purchaser.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-616585</wp:posOffset>
            </wp:positionH>
            <wp:positionV relativeFrom="paragraph">
              <wp:posOffset>269240</wp:posOffset>
            </wp:positionV>
            <wp:extent cx="713232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260"/>
          </w:cols>
          <w:pgMar w:left="1300" w:top="688" w:right="339" w:bottom="1440" w:gutter="0" w:footer="0" w:header="0"/>
        </w:sectPr>
      </w:pPr>
    </w:p>
    <w:bookmarkStart w:id="32" w:name="page33"/>
    <w:bookmarkEnd w:id="32"/>
    <w:p>
      <w:pPr>
        <w:jc w:val="both"/>
        <w:ind w:left="340" w:firstLine="640"/>
        <w:spacing w:after="0" w:line="253" w:lineRule="auto"/>
        <w:tabs>
          <w:tab w:leader="none" w:pos="1213"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Certain Transactions and Confidentiality</w:t>
      </w:r>
      <w:r>
        <w:rPr>
          <w:rFonts w:ascii="Times New Roman" w:cs="Times New Roman" w:eastAsia="Times New Roman" w:hAnsi="Times New Roman"/>
          <w:sz w:val="18"/>
          <w:szCs w:val="18"/>
          <w:color w:val="auto"/>
        </w:rPr>
        <w:t>. Other than consummating the transactions contemplated hereunder, such Purchaser has not, nor has any Person acting on behalf of or pursuant to any understanding with such Purchaser, directly or indirectly executed any purchases or sales, including Short Sales, of the securities of the Company during the period commencing as of the time that such Purchaser first received a term sheet (written or oral) from the Company or any other Person representing the Company setting forth the material pricing terms of the transactions contemplated hereunder and ending immediately prior to the execution hereof. Notwithstanding the foregoing, in the case of a Purchaser that is a multi-managed investment vehicle whereby separate portfolio managers manage separate portions of such Purchaser’s assets and the portfolio managers have no direct knowledge of the investment decisions made by the portfolio managers managing other portions of such Purchaser’s assets, the representation set forth above shall only apply with respect to the portion of assets managed by the portfolio manager that made the investment decision to purchase the Securities covered by this Agreement. Other than to other Persons party to this Agreement or to such Purchaser’s representatives, including, without limitation, its officers, directors, partners, legal and other advisors, employees, agents and Affiliates, such Purchaser has maintained the confidentiality of all disclosures made to it in connection with this transaction (including the existence and terms of this transaction).</w:t>
      </w:r>
    </w:p>
    <w:p>
      <w:pPr>
        <w:spacing w:after="0" w:line="19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acknowledges and agrees that the representations contained in this Section 3.2 shall not modify, amend or affect such Purchaser’s right to rely on the Company’s representations and warranties contained in this Agreement or any representations and warranties contained in any other Transaction Document or any other document or instrument executed and/or delivered in connection with this Agreement or the consummation of the transactions contemplated hereby. Notwithstanding the foregoing, for the avoidance of doubt, nothing contained herein shall constitute a representation or warranty, or preclude any actions, with respect to locating or borrowing shares in order to effect Short Sales or similar transactions in the future.</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IV.</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OTHER AGREEMENTS OF THE PARTIES</w:t>
      </w:r>
    </w:p>
    <w:p>
      <w:pPr>
        <w:spacing w:after="0" w:line="20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4.1 </w:t>
      </w:r>
      <w:r>
        <w:rPr>
          <w:rFonts w:ascii="Times New Roman" w:cs="Times New Roman" w:eastAsia="Times New Roman" w:hAnsi="Times New Roman"/>
          <w:sz w:val="18"/>
          <w:szCs w:val="18"/>
          <w:u w:val="single" w:color="auto"/>
          <w:color w:val="auto"/>
        </w:rPr>
        <w:t>Furnishing of Information</w:t>
      </w:r>
      <w:r>
        <w:rPr>
          <w:rFonts w:ascii="Times New Roman" w:cs="Times New Roman" w:eastAsia="Times New Roman" w:hAnsi="Times New Roman"/>
          <w:sz w:val="18"/>
          <w:szCs w:val="18"/>
          <w:color w:val="auto"/>
        </w:rPr>
        <w:t>. Until the time that no Purchaser owns Securities, the Company covenants to maintain the registration of the ADSs under Section 12(b) or 12(g) of the Exchange Act and to timely file (or obtain extensions in respect thereof and file within the applicable grace period) all reports required to be filed by the Company after the date hereof pursuant to the Exchange Act, even if the Company is not then subject to the reporting requirements of the Exchange Act, provided, that the Company may cease to comply with the provisions of this Section 4.1 in the event of a merger or similar transaction involving the Company and in which such combined company becomes a private corporation, or the sale of substantially all of the assets of the Company.</w:t>
      </w:r>
    </w:p>
    <w:p>
      <w:pPr>
        <w:spacing w:after="0" w:line="18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4.2 </w:t>
      </w:r>
      <w:r>
        <w:rPr>
          <w:rFonts w:ascii="Times New Roman" w:cs="Times New Roman" w:eastAsia="Times New Roman" w:hAnsi="Times New Roman"/>
          <w:sz w:val="18"/>
          <w:szCs w:val="18"/>
          <w:u w:val="single" w:color="auto"/>
          <w:color w:val="auto"/>
        </w:rPr>
        <w:t>Integration</w:t>
      </w:r>
      <w:r>
        <w:rPr>
          <w:rFonts w:ascii="Times New Roman" w:cs="Times New Roman" w:eastAsia="Times New Roman" w:hAnsi="Times New Roman"/>
          <w:sz w:val="18"/>
          <w:szCs w:val="18"/>
          <w:color w:val="auto"/>
        </w:rPr>
        <w:t>. The Company shall not sell, offer for sale or solicit offers to buy or otherwise negotiate in respect of any security (as defined in Section 2 of the Securities Act) that would be integrated with the offer or sale of the Securities for purposes of the rules and regulations of any Trading Market such that it would require shareholder approval prior to the closing of such other transaction unless shareholder approval is obtained before the closing of such subsequent transaction.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262890</wp:posOffset>
            </wp:positionV>
            <wp:extent cx="713232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33" w:name="page34"/>
    <w:bookmarkEnd w:id="33"/>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4.3 </w:t>
      </w:r>
      <w:r>
        <w:rPr>
          <w:rFonts w:ascii="Times New Roman" w:cs="Times New Roman" w:eastAsia="Times New Roman" w:hAnsi="Times New Roman"/>
          <w:sz w:val="18"/>
          <w:szCs w:val="18"/>
          <w:u w:val="single" w:color="auto"/>
          <w:color w:val="auto"/>
        </w:rPr>
        <w:t>Securities Laws Disclosure; Publicity</w:t>
      </w:r>
      <w:r>
        <w:rPr>
          <w:rFonts w:ascii="Times New Roman" w:cs="Times New Roman" w:eastAsia="Times New Roman" w:hAnsi="Times New Roman"/>
          <w:sz w:val="18"/>
          <w:szCs w:val="18"/>
          <w:color w:val="auto"/>
        </w:rPr>
        <w:t>. The Company shall (a) by the Disclosure Time, issue a press release disclosing the material terms of the transactions contemplated hereby, and (b) file a Report on Form 6-K, including the Transaction Documents as exhibits thereto, with the Commission within the time required by the Exchange Act. From and after the issuance of such press release, the Company represents to the Purchasers that it shall have publicly disclosed all material, non-public information delivered to any of the Purchasers by the Company or any of its Subsidiaries, or any of their respective officers, directors, employees, Affiliates or agents, including, without limitation, the Placement Agent, in connection with the transactions contemplated by the Transaction Documents. In addition, effective upon the issuance of such press release, the Company acknowledges and agrees that any and all confidentiality or similar obligations under any agreement, whether written or oral, between the Company, any of its Subsidiaries or any of their respective officers, directors, agents, employees, Affiliates or agents, including, without limitation, the Placement Agent, on the one hand, and any of the Purchasers or any of their Affiliates on the other hand, shall terminate and be of no further force or effect. The Company understands and confirms that each Purchaser shall be relying on the foregoing covenant in effecting transactions in securities of the Company. The Company and each Purchaser shall consult with each other in issuing any other press releases with respect to the transactions contemplated hereby, and neither the Company nor any Purchaser shall issue any such press release nor otherwise make any such public statement without the prior consent of the Company, with respect to any press release of any Purchaser, or without the prior consent of each Purchaser, with respect to any press release of the Company, which consent shall not unreasonably be withheld or delayed, except if such disclosure is required by law, in which case the disclosing party shall promptly provide the other party with prior notice of such public statement or communication. Notwithstanding the foregoing, the Company shall not publicly disclose the name of any Purchaser, or include the name of any Purchaser in any filing with the Commission or any regulatory agency or Trading Market, without the prior written consent of such Purchaser, except (a) as required by federal securities law in connection with the filing of final Transaction Documents with the Commission and (b) to the extent such disclosure is required by law or Trading Market regulations, in which case the Company shall provide the Purchasers with prior notice of such disclosure permitted under this clause (b) and reasonably cooperate with such Purchaser regarding such disclosure.</w:t>
      </w:r>
    </w:p>
    <w:p>
      <w:pPr>
        <w:spacing w:after="0" w:line="191"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4.4 </w:t>
      </w:r>
      <w:r>
        <w:rPr>
          <w:rFonts w:ascii="Times New Roman" w:cs="Times New Roman" w:eastAsia="Times New Roman" w:hAnsi="Times New Roman"/>
          <w:sz w:val="18"/>
          <w:szCs w:val="18"/>
          <w:u w:val="single" w:color="auto"/>
          <w:color w:val="auto"/>
        </w:rPr>
        <w:t>Shareholder Rights Plan</w:t>
      </w:r>
      <w:r>
        <w:rPr>
          <w:rFonts w:ascii="Times New Roman" w:cs="Times New Roman" w:eastAsia="Times New Roman" w:hAnsi="Times New Roman"/>
          <w:sz w:val="18"/>
          <w:szCs w:val="18"/>
          <w:color w:val="auto"/>
        </w:rPr>
        <w:t>. No claim will be made or enforced by the Company or, with the consent of the Company, any other Person, that any Purchaser is an “</w:t>
      </w:r>
      <w:r>
        <w:rPr>
          <w:rFonts w:ascii="Times New Roman" w:cs="Times New Roman" w:eastAsia="Times New Roman" w:hAnsi="Times New Roman"/>
          <w:sz w:val="18"/>
          <w:szCs w:val="18"/>
          <w:u w:val="single" w:color="auto"/>
          <w:color w:val="auto"/>
        </w:rPr>
        <w:t>Acquiring Person</w:t>
      </w:r>
      <w:r>
        <w:rPr>
          <w:rFonts w:ascii="Times New Roman" w:cs="Times New Roman" w:eastAsia="Times New Roman" w:hAnsi="Times New Roman"/>
          <w:sz w:val="18"/>
          <w:szCs w:val="18"/>
          <w:color w:val="auto"/>
        </w:rPr>
        <w:t>” under any control share acquisition, business combination, poison pill (including any distribution under a rights agreement) or similar anti-takeover plan or arrangement in effect or hereafter adopted by the Company, or that any Purchaser could be deemed to trigger the provisions of any such plan or arrangement, by virtue of receiving Securities under the Transaction Documents or under any other agreement between the Company and the Purchasers.</w:t>
      </w:r>
    </w:p>
    <w:p>
      <w:pPr>
        <w:spacing w:after="0" w:line="183"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4.5 </w:t>
      </w:r>
      <w:r>
        <w:rPr>
          <w:rFonts w:ascii="Times New Roman" w:cs="Times New Roman" w:eastAsia="Times New Roman" w:hAnsi="Times New Roman"/>
          <w:sz w:val="18"/>
          <w:szCs w:val="18"/>
          <w:u w:val="single" w:color="auto"/>
          <w:color w:val="auto"/>
        </w:rPr>
        <w:t>Non-Public Information</w:t>
      </w:r>
      <w:r>
        <w:rPr>
          <w:rFonts w:ascii="Times New Roman" w:cs="Times New Roman" w:eastAsia="Times New Roman" w:hAnsi="Times New Roman"/>
          <w:sz w:val="18"/>
          <w:szCs w:val="18"/>
          <w:color w:val="auto"/>
        </w:rPr>
        <w:t>. Except with respect to the material pricing terms and conditions of the transactions contemplated by the Transaction Documents, which shall be disclosed pursuant to Section 4.3, the Company covenants and agrees that neither it, nor any other Person acting on its behalf will provide any Purchaser or its agents or counsel with any information that constitutes, or the Company reasonably believes constitutes, material non-public information, unless prior thereto such Purchaser shall have consented in writing to the receipt of such information and agreed in writing with the Company to keep such information confidential. The Company understands and confirms that each Purchaser shall be relying on the foregoing covenant in effecting transactions in securities of the Company. To the extent that the Company, any of its Subsidiaries, or any of their respective officers, directors, agents, employees or Affiliates delivers any material, non-public information to a Purchaser without such Purchaser’s consent, the Company hereby covenants and agrees that such Purchaser shall not have any duty of confidentiality to the Company, any of its Subsidiaries, or any of their respective officers, directors, employees, Affiliates or agents, including, without limitation, the Placement Agent, or a duty to the Company, any of its Subsidiaries or any of their respective officers, directors, employees, Affiliates or agents, including, without limitation, the Placement Agent, not to trade on the basis of, such material, non-public information, provided that the Purchaser shall remain subject to applicable laws. To the extent that any notice provided pursuant to any Transaction Document constitutes, or contains, material, non-public information regarding the Company or any Subsidiaries, the Company shall simultaneously with the delivery of such notice file such notice with the Commission pursuant to a Report of Foreign Private Issuer on Form 6-K. The Company understands and confirms that each Purchaser shall be relying on the foregoing covenant in effecting transactions in securities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713232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34" w:name="page35"/>
    <w:bookmarkEnd w:id="34"/>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4.6 </w:t>
      </w:r>
      <w:r>
        <w:rPr>
          <w:rFonts w:ascii="Times New Roman" w:cs="Times New Roman" w:eastAsia="Times New Roman" w:hAnsi="Times New Roman"/>
          <w:sz w:val="18"/>
          <w:szCs w:val="18"/>
          <w:u w:val="single" w:color="auto"/>
          <w:color w:val="auto"/>
        </w:rPr>
        <w:t>Use of Proceeds</w:t>
      </w:r>
      <w:r>
        <w:rPr>
          <w:rFonts w:ascii="Times New Roman" w:cs="Times New Roman" w:eastAsia="Times New Roman" w:hAnsi="Times New Roman"/>
          <w:sz w:val="18"/>
          <w:szCs w:val="18"/>
          <w:color w:val="auto"/>
        </w:rPr>
        <w:t>. The Company shall use the net proceeds from the sale of the Securities hereunder for working capital purposes as set forth in the Registration Statement and Prospectus Supplement and shall not use such proceeds: (a) for the satisfaction of any portion of the Company’s debt (other than payment of trade payables in the ordinary course of the Company’s business and prior practices), (b) for the redemption of any ADSs, Ordinary Shares or Ordinary Share Equivalents, (c) for the settlement of any outstanding litigation or (d) in violation of FCPA or OFAC regulations.</w:t>
      </w:r>
    </w:p>
    <w:p>
      <w:pPr>
        <w:spacing w:after="0" w:line="180"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18"/>
          <w:szCs w:val="18"/>
          <w:color w:val="auto"/>
        </w:rPr>
        <w:t xml:space="preserve">4.7 </w:t>
      </w:r>
      <w:r>
        <w:rPr>
          <w:rFonts w:ascii="Times New Roman" w:cs="Times New Roman" w:eastAsia="Times New Roman" w:hAnsi="Times New Roman"/>
          <w:sz w:val="18"/>
          <w:szCs w:val="18"/>
          <w:u w:val="single" w:color="auto"/>
          <w:color w:val="auto"/>
        </w:rPr>
        <w:t>Indemnification of Purchasers</w:t>
      </w:r>
      <w:r>
        <w:rPr>
          <w:rFonts w:ascii="Times New Roman" w:cs="Times New Roman" w:eastAsia="Times New Roman" w:hAnsi="Times New Roman"/>
          <w:sz w:val="18"/>
          <w:szCs w:val="18"/>
          <w:color w:val="auto"/>
        </w:rPr>
        <w:t>. Subject to the provisions of this Section 4.7, the Company will indemnify and hold each Purchaser and its directors, officers, shareholders, members, partners, employees and agents (and any other Persons with a functionally equivalent role of a Person holding such titles notwithstanding a lack of such title or any other title), each Person who controls such Purchaser (within the meaning of Section 15 of the Securities Act and Section 20 of the Exchange Act), and the directors, officers, shareholders, agents, members, partners or employees (and any other Persons with a functionally equivalent role of a Person holding such titles notwithstanding a lack of such title or any other title) of such controlling persons (each, a “Purchaser Party”) harmless from any and all direct losses, liabilities, obligations, claims, contingencies, damages, costs and expenses, including all judgments, amounts paid in settlements, court costs and reasonable attorneys’ fees and costs of investigation that any such Purchaser Party may suffer or incur as a result of or relating to (a) any breach of any of the representations, warranties, covenants or agreements made by the Company in this Agreement or in the other Transaction Documents or (b) any action instituted against the Purchaser Parties in any capacity, or any of them or their respective Affiliates, by any shareholder of the Company who is not an Affiliate of such Purchaser Party, with respect to any of the transactions contemplated by the Transaction Documents (unless such action is solely based upon a material breach of such Purchaser Party’s representations, warranties or covenants under the Transaction Documents or any agreements or understandings such Purchaser Party may have with any such shareholder or any violations by such Purchaser Party of state or federal securities laws or any conduct by such Purchaser Party which is finally judicially determined to constitute fraud, gross negligence or willful misconduct). If any action shall be brought against any Purchaser Party in respect of which indemnity may be sought pursuant to this Agreement, such Purchaser Party shall promptly notify the Company in writing, and, the Company shall have the right to assume the defense thereof with counsel of its own choosing reasonably acceptable to the Purchaser Party. Any Purchaser Party shall have the right to employ separate counsel in any such action and participate in the defense thereof, but the fees and expenses of such counsel shall be at the expense of such Purchaser Party except to the extent that (i) the employment thereof has been specifically authorized by the Company in writing, (ii) the Company has failed after a reasonable period of time to assume such defense and to employ counsel or (iii) in such action there is, in the reasonable opinion of counsel a material conflict on any material issue between the position of the Company and the position of such Purchaser Party, in which case the Company shall be responsible for the reasonable fees and expenses of no more than one such separate counsel. The Company will not be liable to any Purchaser Party under this Agreement (y) for any settlement by a Purchaser Party effected without the Company’s prior written consent, which shall not be unreasonably withheld or delayed; or (z) to the extent, but only to the extent that a loss, claim, damage or liability is attributable to any Purchaser Party’s breach of any of the representations, warranties, covenants or agreements made by such Purchaser Party in this Agreement or in the other Transaction Documents. The indemnity agreements contained herein shall be in addition to any cause of action or similar right of any Purchaser Party against the Company or others and any liabilities the Company may be subject to pursuant to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278130</wp:posOffset>
            </wp:positionV>
            <wp:extent cx="713232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35" w:name="page36"/>
    <w:bookmarkEnd w:id="35"/>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4.8 </w:t>
      </w:r>
      <w:r>
        <w:rPr>
          <w:rFonts w:ascii="Times New Roman" w:cs="Times New Roman" w:eastAsia="Times New Roman" w:hAnsi="Times New Roman"/>
          <w:sz w:val="18"/>
          <w:szCs w:val="18"/>
          <w:u w:val="single" w:color="auto"/>
          <w:color w:val="auto"/>
        </w:rPr>
        <w:t>Reservation of Ordinary Shares</w:t>
      </w:r>
      <w:r>
        <w:rPr>
          <w:rFonts w:ascii="Times New Roman" w:cs="Times New Roman" w:eastAsia="Times New Roman" w:hAnsi="Times New Roman"/>
          <w:sz w:val="18"/>
          <w:szCs w:val="18"/>
          <w:color w:val="auto"/>
        </w:rPr>
        <w:t>. As of the date hereof, the Company has reserved and the Company shall continue to reserve and keep available at all times, free of preemptive rights, a sufficient number of Ordinary Shares for the purpose of enabling the Company to issue ADSs pursuant to this Agreement.</w:t>
      </w:r>
    </w:p>
    <w:p>
      <w:pPr>
        <w:spacing w:after="0" w:line="17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4.9 </w:t>
      </w:r>
      <w:r>
        <w:rPr>
          <w:rFonts w:ascii="Times New Roman" w:cs="Times New Roman" w:eastAsia="Times New Roman" w:hAnsi="Times New Roman"/>
          <w:sz w:val="18"/>
          <w:szCs w:val="18"/>
          <w:u w:val="single" w:color="auto"/>
          <w:color w:val="auto"/>
        </w:rPr>
        <w:t>Listing of ADSs</w:t>
      </w:r>
      <w:r>
        <w:rPr>
          <w:rFonts w:ascii="Times New Roman" w:cs="Times New Roman" w:eastAsia="Times New Roman" w:hAnsi="Times New Roman"/>
          <w:sz w:val="18"/>
          <w:szCs w:val="18"/>
          <w:color w:val="auto"/>
        </w:rPr>
        <w:t>. The Company hereby agrees to use commercially reasonable efforts to maintain the listing or quotation of the ADSs on the Trading Market on which it is currently listed, and concurrently with the Closing, the Company shall apply to list or quote all of the ADSs on such Trading Market and promptly secure the listing of all of the ADSs on such Trading Market. The Company further agrees, if the Company applies to have the ADSs traded on any other Trading Market, it will then include in such application all of the ADSs, and will take such other action as is necessary to cause all of the ADSs to be listed or quoted on such other Trading Market as promptly as possible. The Company will then take all action reasonably necessary to continue the listing and trading of its ADSs on a Trading Market and will comply in all material respects with the Company’s reporting, filing and other obligations under the bylaws or rules of the Trading Market. The Company agrees to use commercially reasonable efforts to maintain the eligibility of the ADSs for electronic transfer through the Depository Trust Company or another established clearing corporation, including, without limitation, by timely payment of fees to the Depository Trust Company or such other established clearing corporation in connection with such electronic transfer.</w:t>
      </w:r>
    </w:p>
    <w:p>
      <w:pPr>
        <w:spacing w:after="0" w:line="18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4.10 </w:t>
      </w:r>
      <w:r>
        <w:rPr>
          <w:rFonts w:ascii="Times New Roman" w:cs="Times New Roman" w:eastAsia="Times New Roman" w:hAnsi="Times New Roman"/>
          <w:sz w:val="18"/>
          <w:szCs w:val="18"/>
          <w:u w:val="single" w:color="auto"/>
          <w:color w:val="auto"/>
        </w:rPr>
        <w:t>Subsequent Equity Sales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660" w:firstLine="644"/>
        <w:spacing w:after="0" w:line="258" w:lineRule="auto"/>
        <w:tabs>
          <w:tab w:leader="none" w:pos="15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the date hereof until ninety (90) days after the Closing Date, neither the Company nor any Subsidiary shall (i) issue, enter into any agreement to issue or announce the issuance or proposed issuance of any ADSs, Ordinary Shares or Ordinary Share Equivalents or (ii) file any registration statement or amendment or supplement thereto, other than the Prospectus Supplement or filing a registration statement on Form S-8 in connection with any employee benefit plan. Any Purchaser shall be entitled to obtain injunctive relief against the Company to preclude any such issuance, which remedy shall be in addition to any right to collect damages.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265430</wp:posOffset>
            </wp:positionV>
            <wp:extent cx="713232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36" w:name="page37"/>
    <w:bookmarkEnd w:id="36"/>
    <w:p>
      <w:pPr>
        <w:jc w:val="both"/>
        <w:ind w:left="660" w:firstLine="644"/>
        <w:spacing w:after="0" w:line="253" w:lineRule="auto"/>
        <w:tabs>
          <w:tab w:leader="none" w:pos="1572"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the date hereof until six (6) months after the Closing Date, the Company shall be prohibited from effecting or entering into an agreement to effect any issuance by the Company or any of its Subsidiaries of ADSs, Ordinary Shares or Ordinary Share Equivalents (or a combination of units thereof) involving a Variable Rate Transaction. “</w:t>
      </w:r>
      <w:r>
        <w:rPr>
          <w:rFonts w:ascii="Times New Roman" w:cs="Times New Roman" w:eastAsia="Times New Roman" w:hAnsi="Times New Roman"/>
          <w:sz w:val="18"/>
          <w:szCs w:val="18"/>
          <w:u w:val="single" w:color="auto"/>
          <w:color w:val="auto"/>
        </w:rPr>
        <w:t>Variable Rate Transaction</w:t>
      </w:r>
      <w:r>
        <w:rPr>
          <w:rFonts w:ascii="Times New Roman" w:cs="Times New Roman" w:eastAsia="Times New Roman" w:hAnsi="Times New Roman"/>
          <w:sz w:val="18"/>
          <w:szCs w:val="18"/>
          <w:color w:val="auto"/>
        </w:rPr>
        <w:t>” means a transaction in which the Company (i) issues or sells any debt or equity securities that are convertible into, exchangeable or exercisable for, or include the right to receive additional ADSs and/or Ordinary Shares either (A) at a conversion price, exercise price or exchange rate or other price that is based upon and/or varies with the trading prices of or quotations for the ADSs and/or Ordinary Shares at any time after the initial issuance of such debt or equity securities, or</w:t>
      </w:r>
    </w:p>
    <w:p>
      <w:pPr>
        <w:spacing w:after="0" w:line="5" w:lineRule="exact"/>
        <w:rPr>
          <w:rFonts w:ascii="Times New Roman" w:cs="Times New Roman" w:eastAsia="Times New Roman" w:hAnsi="Times New Roman"/>
          <w:sz w:val="18"/>
          <w:szCs w:val="18"/>
          <w:color w:val="auto"/>
        </w:rPr>
      </w:pPr>
    </w:p>
    <w:p>
      <w:pPr>
        <w:jc w:val="both"/>
        <w:ind w:left="660" w:hanging="4"/>
        <w:spacing w:after="0" w:line="251" w:lineRule="auto"/>
        <w:tabs>
          <w:tab w:leader="none" w:pos="952"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with a conversion, exercise or exchange price that is subject to being reset at some future date after the initial issuance of such debt or equity security or upon the occurrence of specified or contingent events directly or indirectly related to the business of the Company or the market for the ADSs and/or Ordinary Shares or (ii) enters into, or effects a transaction under, any agreement, including, but not limited to, an equity line of credit or an “at-the-market offering”, whereby the Company may issue securities at a future determined price regardless of whether shares pursuant to such agreement have actually been issued and regardless of whether such agreement is subsequently canceled;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after ninety (90) days after the Closing Date, the entry into and/or issuance of shares of Common Stock in an “at the market” offering with the Maxim Group LLC and Rodman &amp; Renshaw LLC, as sales agents, shall not be deemed a Variable Rate Transaction. Any Purchaser shall be entitled to obtain injunctive relief against the Company to preclude any such issuance, which remedy shall be in addition to any right to collect damages.</w:t>
      </w:r>
    </w:p>
    <w:p>
      <w:pPr>
        <w:spacing w:after="0" w:line="193" w:lineRule="exact"/>
        <w:rPr>
          <w:rFonts w:ascii="Times New Roman" w:cs="Times New Roman" w:eastAsia="Times New Roman" w:hAnsi="Times New Roman"/>
          <w:sz w:val="18"/>
          <w:szCs w:val="18"/>
          <w:color w:val="auto"/>
        </w:rPr>
      </w:pPr>
    </w:p>
    <w:p>
      <w:pPr>
        <w:jc w:val="both"/>
        <w:ind w:left="660" w:firstLine="644"/>
        <w:spacing w:after="0" w:line="266" w:lineRule="auto"/>
        <w:tabs>
          <w:tab w:leader="none" w:pos="1580"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the foregoing, this Section 4.10 shall not apply in respect of an Exempt Issuance, except that no Variable Rate Transaction shall be an Exempt Issuance. For the avoidance of doubt, the Mandatory Convertible Bond Subscription Agreement and the Mandatory Convertible Bonds shall not be deemed a Variable Rate Transaction under this Section 4.10.</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4.11 </w:t>
      </w:r>
      <w:r>
        <w:rPr>
          <w:rFonts w:ascii="Times New Roman" w:cs="Times New Roman" w:eastAsia="Times New Roman" w:hAnsi="Times New Roman"/>
          <w:sz w:val="18"/>
          <w:szCs w:val="18"/>
          <w:u w:val="single" w:color="auto"/>
          <w:color w:val="auto"/>
        </w:rPr>
        <w:t>Equal Treatment of Purchasers</w:t>
      </w:r>
      <w:r>
        <w:rPr>
          <w:rFonts w:ascii="Times New Roman" w:cs="Times New Roman" w:eastAsia="Times New Roman" w:hAnsi="Times New Roman"/>
          <w:sz w:val="18"/>
          <w:szCs w:val="18"/>
          <w:color w:val="auto"/>
        </w:rPr>
        <w:t>. No consideration (including any modification of this Agreement) shall be offered or paid to any Person to amend or consent to a waiver or modification of any provision of this Agreement unless the same consideration is also offered to all of the parties to this Agreement. For clarification purposes, this provision constitutes a separate right granted to each Purchaser by the Company and negotiated separately by each Purchaser, and is intended for the Company to treat the Purchasers as a class and shall not in any way be construed as the Purchasers acting in concert or as a group with respect to the purchase, disposition or voting of Securities or otherwise.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265430</wp:posOffset>
            </wp:positionV>
            <wp:extent cx="713232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37" w:name="page38"/>
    <w:bookmarkEnd w:id="37"/>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4.12 </w:t>
      </w:r>
      <w:r>
        <w:rPr>
          <w:rFonts w:ascii="Times New Roman" w:cs="Times New Roman" w:eastAsia="Times New Roman" w:hAnsi="Times New Roman"/>
          <w:sz w:val="18"/>
          <w:szCs w:val="18"/>
          <w:u w:val="single" w:color="auto"/>
          <w:color w:val="auto"/>
        </w:rPr>
        <w:t>Certain Transactions and Confidentiality</w:t>
      </w:r>
      <w:r>
        <w:rPr>
          <w:rFonts w:ascii="Times New Roman" w:cs="Times New Roman" w:eastAsia="Times New Roman" w:hAnsi="Times New Roman"/>
          <w:sz w:val="18"/>
          <w:szCs w:val="18"/>
          <w:color w:val="auto"/>
        </w:rPr>
        <w:t>. Each Purchaser, severally and not jointly with the other Purchasers, covenants that neither it nor any Affiliate acting on its behalf or pursuant to any understanding with it will execute any purchases or sales, including Short Sales of any of the Company’s securities during the period commencing with the execution of this Agreement and ending at such time that the transactions contemplated by this Agreement are first publicly announced pursuant to the initial press release as described in Section 4.3. Each Purchaser, severally and not jointly with the other Purchasers, covenants that until such time as the transactions contemplated by this Agreement are publicly disclosed by the Company pursuant to the initial press release as described in Section 4.3, such Purchaser will maintain the confidentiality of the existence and terms of this transaction and the information included in the Disclosure Schedules (other than as disclosed to its legal and other representatives). Notwithstanding the foregoing and notwithstanding anything contained in this Agreement to the contrary, the Company expressly acknowledges and agrees that (i) no Purchaser makes any representation, warranty or covenant hereby that it will not engage in effecting transactions in any securities of the Company after the time that the transactions contemplated by this Agreement are first publicly announced pursuant to the initial press release as described in Section 4.3, (ii) no Purchaser shall be restricted or prohibited from effecting any transactions in any securities of the Company in accordance with applicable securities laws from and after the time that the transactions contemplated by this Agreement are first publicly announced pursuant to the initial press release as described in Section 4.3 and (iii) no Purchaser shall have any duty of confidentiality or duty not to trade in the securities of the Company to the Company, any of its Subsidiaries, or any of their respective officers, directors, employees, Affiliates, or agent, including, without limitation, the Placement Agent, after the issuance of the initial press release as described in Section 4.3. Notwithstanding the foregoing, in the case of a Purchaser that is a multi-managed investment vehicle whereby separate portfolio managers manage separate portions of such Purchaser’s assets and the portfolio managers have no direct knowledge of the investment decisions made by the portfolio managers managing other portions of such Purchaser’s assets, the covenant set forth above shall only apply with respect to the portion of assets managed by the portfolio manager that made the investment decision to purchase the Securities covered by this Agreement and in the case of a Purchaser that has implemented internal information barriers pursuant to an information controls policy to ‘wall off’ certain trading personnel, this Section 4.12 shall apply only with respect to activities of such walled-off trading personnel.</w:t>
      </w:r>
    </w:p>
    <w:p>
      <w:pPr>
        <w:spacing w:after="0" w:line="18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4.13 </w:t>
      </w:r>
      <w:r>
        <w:rPr>
          <w:rFonts w:ascii="Times New Roman" w:cs="Times New Roman" w:eastAsia="Times New Roman" w:hAnsi="Times New Roman"/>
          <w:sz w:val="18"/>
          <w:szCs w:val="18"/>
          <w:u w:val="single" w:color="auto"/>
          <w:color w:val="auto"/>
        </w:rPr>
        <w:t>Blue Sky Filings</w:t>
      </w:r>
      <w:r>
        <w:rPr>
          <w:rFonts w:ascii="Times New Roman" w:cs="Times New Roman" w:eastAsia="Times New Roman" w:hAnsi="Times New Roman"/>
          <w:sz w:val="18"/>
          <w:szCs w:val="18"/>
          <w:color w:val="auto"/>
        </w:rPr>
        <w:t>. The Company shall take such action as the Company shall reasonably determine is necessary in order to obtain an exemption for, or to qualify the Securities for, sale to the Purchasers at the Closing under applicable securities or “Blue Sky” laws of the states of the United States, and shall provide evidence of such actions promptly upon request of any Purchaser.</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4.14 </w:t>
      </w:r>
      <w:r>
        <w:rPr>
          <w:rFonts w:ascii="Times New Roman" w:cs="Times New Roman" w:eastAsia="Times New Roman" w:hAnsi="Times New Roman"/>
          <w:sz w:val="18"/>
          <w:szCs w:val="18"/>
          <w:u w:val="single" w:color="auto"/>
          <w:color w:val="auto"/>
        </w:rPr>
        <w:t>Lock-Up Agreement</w:t>
      </w:r>
      <w:r>
        <w:rPr>
          <w:rFonts w:ascii="Times New Roman" w:cs="Times New Roman" w:eastAsia="Times New Roman" w:hAnsi="Times New Roman"/>
          <w:sz w:val="18"/>
          <w:szCs w:val="18"/>
          <w:color w:val="auto"/>
        </w:rPr>
        <w:t>. The Company shall not amend, modify, waive or terminate any provision of any of the Lock-Up Agreements except the term of the lock-up period and shall enforce the provisions of each Lock-Up Agreement in accordance with its terms. If any party to a Lock-Up Agreement breaches any provision of a Lock-Up Agreement, the Company shall promptly use its best efforts to seek specific performance of the terms of such Lock-Up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262890</wp:posOffset>
            </wp:positionV>
            <wp:extent cx="713232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38" w:name="page39"/>
    <w:bookmarkEnd w:id="38"/>
    <w:p>
      <w:pPr>
        <w:jc w:val="center"/>
        <w:spacing w:after="0"/>
        <w:rPr>
          <w:sz w:val="20"/>
          <w:szCs w:val="20"/>
          <w:color w:val="auto"/>
        </w:rPr>
      </w:pPr>
      <w:r>
        <w:rPr>
          <w:rFonts w:ascii="Times New Roman" w:cs="Times New Roman" w:eastAsia="Times New Roman" w:hAnsi="Times New Roman"/>
          <w:sz w:val="18"/>
          <w:szCs w:val="18"/>
          <w:b w:val="1"/>
          <w:bCs w:val="1"/>
          <w:color w:val="auto"/>
        </w:rPr>
        <w:t>ARTICLE V.</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MISCELLANEOUS</w:t>
      </w:r>
    </w:p>
    <w:p>
      <w:pPr>
        <w:spacing w:after="0" w:line="207" w:lineRule="exact"/>
        <w:rPr>
          <w:sz w:val="20"/>
          <w:szCs w:val="20"/>
          <w:color w:val="auto"/>
        </w:rPr>
      </w:pPr>
    </w:p>
    <w:p>
      <w:pPr>
        <w:jc w:val="both"/>
        <w:ind w:right="20" w:firstLine="648"/>
        <w:spacing w:after="0" w:line="261" w:lineRule="auto"/>
        <w:rPr>
          <w:sz w:val="20"/>
          <w:szCs w:val="20"/>
          <w:color w:val="auto"/>
        </w:rPr>
      </w:pPr>
      <w:r>
        <w:rPr>
          <w:rFonts w:ascii="Times New Roman" w:cs="Times New Roman" w:eastAsia="Times New Roman" w:hAnsi="Times New Roman"/>
          <w:sz w:val="18"/>
          <w:szCs w:val="18"/>
          <w:color w:val="auto"/>
        </w:rPr>
        <w:t xml:space="preserve">5.1 </w:t>
      </w:r>
      <w:r>
        <w:rPr>
          <w:rFonts w:ascii="Times New Roman" w:cs="Times New Roman" w:eastAsia="Times New Roman" w:hAnsi="Times New Roman"/>
          <w:sz w:val="18"/>
          <w:szCs w:val="18"/>
          <w:u w:val="single" w:color="auto"/>
          <w:color w:val="auto"/>
        </w:rPr>
        <w:t>Termination</w:t>
      </w:r>
      <w:r>
        <w:rPr>
          <w:rFonts w:ascii="Times New Roman" w:cs="Times New Roman" w:eastAsia="Times New Roman" w:hAnsi="Times New Roman"/>
          <w:sz w:val="18"/>
          <w:szCs w:val="18"/>
          <w:color w:val="auto"/>
        </w:rPr>
        <w:t>. This Agreement may be terminated by any Purchaser, as to such Purchaser’s obligations hereunder only and without any effect whatsoever on the obligations between the Company and the other Purchasers, by written notice to the other parties, if the Closing has not been</w:t>
      </w:r>
    </w:p>
    <w:p>
      <w:pPr>
        <w:jc w:val="both"/>
        <w:spacing w:after="0" w:line="209" w:lineRule="auto"/>
        <w:rPr>
          <w:sz w:val="20"/>
          <w:szCs w:val="20"/>
          <w:color w:val="auto"/>
        </w:rPr>
      </w:pPr>
      <w:r>
        <w:rPr>
          <w:rFonts w:ascii="Times New Roman" w:cs="Times New Roman" w:eastAsia="Times New Roman" w:hAnsi="Times New Roman"/>
          <w:sz w:val="18"/>
          <w:szCs w:val="18"/>
          <w:color w:val="auto"/>
        </w:rPr>
        <w:t>consummated on or before the fifth (5</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Trading Day following the date hereof;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no such termination will affect the right of any party to sue for any breach by any other party (or parties).</w:t>
      </w:r>
    </w:p>
    <w:p>
      <w:pPr>
        <w:spacing w:after="0" w:line="20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5.2 </w:t>
      </w:r>
      <w:r>
        <w:rPr>
          <w:rFonts w:ascii="Times New Roman" w:cs="Times New Roman" w:eastAsia="Times New Roman" w:hAnsi="Times New Roman"/>
          <w:sz w:val="18"/>
          <w:szCs w:val="18"/>
          <w:u w:val="single" w:color="auto"/>
          <w:color w:val="auto"/>
        </w:rPr>
        <w:t>Fees and Expenses</w:t>
      </w:r>
      <w:r>
        <w:rPr>
          <w:rFonts w:ascii="Times New Roman" w:cs="Times New Roman" w:eastAsia="Times New Roman" w:hAnsi="Times New Roman"/>
          <w:sz w:val="18"/>
          <w:szCs w:val="18"/>
          <w:color w:val="auto"/>
        </w:rPr>
        <w:t>. Except as expressly set forth in the Transaction Documents to the contrary, each party shall pay the fees and expenses of its advisers, counsel, accountants and other experts, if any, and all other expenses incurred by such party incident to the negotiation, preparation, execution, delivery and performance of this Agreement. The Company shall pay all Depositary fees (including, without limitation, any fees required for same-day processing of any instruction letter delivered by the Company to issue ADSs), stamp taxes and other taxes and duties levied in connection with the delivery of any ADSs to the Purchasers and shall reimburse the Purchasers for any fees charged to Purchasers by the Depositary in connection with the issuance or holding or sale of the ADSs and/or Ordinary Shares.</w:t>
      </w:r>
    </w:p>
    <w:p>
      <w:pPr>
        <w:spacing w:after="0" w:line="18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5.3 </w:t>
      </w:r>
      <w:r>
        <w:rPr>
          <w:rFonts w:ascii="Times New Roman" w:cs="Times New Roman" w:eastAsia="Times New Roman" w:hAnsi="Times New Roman"/>
          <w:sz w:val="18"/>
          <w:szCs w:val="18"/>
          <w:u w:val="single" w:color="auto"/>
          <w:color w:val="auto"/>
        </w:rPr>
        <w:t>Entire Agreement</w:t>
      </w:r>
      <w:r>
        <w:rPr>
          <w:rFonts w:ascii="Times New Roman" w:cs="Times New Roman" w:eastAsia="Times New Roman" w:hAnsi="Times New Roman"/>
          <w:sz w:val="18"/>
          <w:szCs w:val="18"/>
          <w:color w:val="auto"/>
        </w:rPr>
        <w:t>. The Transaction Documents, together with the exhibits and schedules thereto, the Prospectus and the Prospectus Supplement, contain the entire understanding of the parties with respect to the subject matter hereof and thereof and supersede all prior agreements and understandings, oral or written, with respect to such matters, which the parties acknowledge have been merged into such documents, exhibits and schedules.</w:t>
      </w:r>
    </w:p>
    <w:p>
      <w:pPr>
        <w:spacing w:after="0" w:line="180"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5.4 </w:t>
      </w: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Any and all notices or other communications or deliveries required or permitted to be provided hereunder shall be in writing and shall be deemed given and effective on the earliest of: (a) the time of transmission, if such notice or communication is delivered via email attachment at the email address as set forth on the signature pages attached hereto at or prior to 5:30 p.m. (New York City time) on a Trading Day, (b) the next Trading Day after the time of transmission, if such notice or communication is delivered via email attachment at the email address as set forth on the signature pages</w:t>
      </w:r>
    </w:p>
    <w:p>
      <w:pPr>
        <w:spacing w:after="0" w:line="3" w:lineRule="exact"/>
        <w:rPr>
          <w:sz w:val="20"/>
          <w:szCs w:val="20"/>
          <w:color w:val="auto"/>
        </w:rPr>
      </w:pPr>
    </w:p>
    <w:p>
      <w:pPr>
        <w:jc w:val="both"/>
        <w:spacing w:after="0" w:line="231" w:lineRule="auto"/>
        <w:rPr>
          <w:sz w:val="20"/>
          <w:szCs w:val="20"/>
          <w:color w:val="auto"/>
        </w:rPr>
      </w:pPr>
      <w:r>
        <w:rPr>
          <w:rFonts w:ascii="Times New Roman" w:cs="Times New Roman" w:eastAsia="Times New Roman" w:hAnsi="Times New Roman"/>
          <w:sz w:val="18"/>
          <w:szCs w:val="18"/>
          <w:color w:val="auto"/>
        </w:rPr>
        <w:t>attached hereto on a day that is not a Trading Day or later than 5:30 p.m. (New York City time) on any Trading Day, (c) the second (2</w:t>
      </w:r>
      <w:r>
        <w:rPr>
          <w:rFonts w:ascii="Times New Roman" w:cs="Times New Roman" w:eastAsia="Times New Roman" w:hAnsi="Times New Roman"/>
          <w:sz w:val="29"/>
          <w:szCs w:val="29"/>
          <w:color w:val="auto"/>
          <w:vertAlign w:val="superscript"/>
        </w:rPr>
        <w:t>nd</w:t>
      </w:r>
      <w:r>
        <w:rPr>
          <w:rFonts w:ascii="Times New Roman" w:cs="Times New Roman" w:eastAsia="Times New Roman" w:hAnsi="Times New Roman"/>
          <w:sz w:val="18"/>
          <w:szCs w:val="18"/>
          <w:color w:val="auto"/>
        </w:rPr>
        <w:t>) Trading Day following the date of mailing, if sent by U.S. nationally recognized overnight courier service or (d) upon actual receipt by the party to whom such notice is required to be given. The address for such notices and communications shall be as set forth on the signature pages attached hereto. To the extent that any notice provided pursuant to any Transaction Document constitutes, or contains, material, non-public information regarding the Company or any Subsidiaries, the Company shall simultaneously file such notice with the Commission pursuant to a Report on Form 6-K.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276225</wp:posOffset>
            </wp:positionV>
            <wp:extent cx="713232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39" w:name="page40"/>
    <w:bookmarkEnd w:id="39"/>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5.5 </w:t>
      </w:r>
      <w:r>
        <w:rPr>
          <w:rFonts w:ascii="Times New Roman" w:cs="Times New Roman" w:eastAsia="Times New Roman" w:hAnsi="Times New Roman"/>
          <w:sz w:val="18"/>
          <w:szCs w:val="18"/>
          <w:u w:val="single" w:color="auto"/>
          <w:color w:val="auto"/>
        </w:rPr>
        <w:t>Amendments; Waivers</w:t>
      </w:r>
      <w:r>
        <w:rPr>
          <w:rFonts w:ascii="Times New Roman" w:cs="Times New Roman" w:eastAsia="Times New Roman" w:hAnsi="Times New Roman"/>
          <w:sz w:val="18"/>
          <w:szCs w:val="18"/>
          <w:color w:val="auto"/>
        </w:rPr>
        <w:t>. No provision of this Agreement may be waived, modified, supplemented or amended except in a written instrument signed, in the case of an amendment, by the Company and Purchasers which purchased at least 50.1% in interest of the ADSs based on the initial Subscription Amounts hereunder (or, prior to the Closing, the Company and each Purchaser) or, in the case of a waiver, by the party against whom enforcement of any such waived provision is sought, provided that if any amendment, modification or waiver disproportionately and adversely impacts a Purchaser (or group of Purchasers), the consent of such 50.1% in interest of such disproportionately impacted Purchaser (or group of Purchasers) shall also be required. No waiver of any default with respect to any provision, condition or requirement of this Agreement shall be deemed to be a continuing waiver in the future or a waiver of any subsequent default or a waiver of any other provision, condition or requirement hereof, nor shall any delay or omission of any party to exercise any right hereunder in any manner impair the exercise of any such right. Any proposed amendment or waiver that disproportionately, materially and adversely affects the rights and obligations of any Purchaser relative to the comparable rights and obligations of the other Purchasers shall require the prior written consent of such adversely affected Purchaser. Any amendment effected in accordance with this Section 5.5 shall be binding upon each Purchaser and holder of Securities and the Company.</w:t>
      </w:r>
    </w:p>
    <w:p>
      <w:pPr>
        <w:spacing w:after="0" w:line="192"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 xml:space="preserve">5.6 </w:t>
      </w:r>
      <w:r>
        <w:rPr>
          <w:rFonts w:ascii="Times New Roman" w:cs="Times New Roman" w:eastAsia="Times New Roman" w:hAnsi="Times New Roman"/>
          <w:sz w:val="18"/>
          <w:szCs w:val="18"/>
          <w:u w:val="single" w:color="auto"/>
          <w:color w:val="auto"/>
        </w:rPr>
        <w:t>Headings</w:t>
      </w:r>
      <w:r>
        <w:rPr>
          <w:rFonts w:ascii="Times New Roman" w:cs="Times New Roman" w:eastAsia="Times New Roman" w:hAnsi="Times New Roman"/>
          <w:sz w:val="18"/>
          <w:szCs w:val="18"/>
          <w:color w:val="auto"/>
        </w:rPr>
        <w:t>. The headings herein are for convenience only, do not constitute a part of this Agreement and shall not be deemed to limit or affect any of the provisions hereof.</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5.7 </w:t>
      </w:r>
      <w:r>
        <w:rPr>
          <w:rFonts w:ascii="Times New Roman" w:cs="Times New Roman" w:eastAsia="Times New Roman" w:hAnsi="Times New Roman"/>
          <w:sz w:val="18"/>
          <w:szCs w:val="18"/>
          <w:u w:val="single" w:color="auto"/>
          <w:color w:val="auto"/>
        </w:rPr>
        <w:t>Successors and Assigns</w:t>
      </w:r>
      <w:r>
        <w:rPr>
          <w:rFonts w:ascii="Times New Roman" w:cs="Times New Roman" w:eastAsia="Times New Roman" w:hAnsi="Times New Roman"/>
          <w:sz w:val="18"/>
          <w:szCs w:val="18"/>
          <w:color w:val="auto"/>
        </w:rPr>
        <w:t>. This Agreement shall be binding upon and inure to the benefit of the parties and their successors and permitted assigns. The Company may not assign this Agreement or any rights or obligations hereunder without the prior written consent of each Purchaser (other than by merger). Any Purchaser may assign any or all of its rights under this Agreement to any Person to whom such Purchaser assigns or transfers any Securities, provided that such transferee agrees in writing to be bound, with respect to the transferred Securities, by the provisions of the Transaction Documents that apply to the “Purchasers.”</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5.8 </w:t>
      </w:r>
      <w:r>
        <w:rPr>
          <w:rFonts w:ascii="Times New Roman" w:cs="Times New Roman" w:eastAsia="Times New Roman" w:hAnsi="Times New Roman"/>
          <w:sz w:val="18"/>
          <w:szCs w:val="18"/>
          <w:u w:val="single" w:color="auto"/>
          <w:color w:val="auto"/>
        </w:rPr>
        <w:t>No Third-Party Beneficiaries</w:t>
      </w:r>
      <w:r>
        <w:rPr>
          <w:rFonts w:ascii="Times New Roman" w:cs="Times New Roman" w:eastAsia="Times New Roman" w:hAnsi="Times New Roman"/>
          <w:sz w:val="18"/>
          <w:szCs w:val="18"/>
          <w:color w:val="auto"/>
        </w:rPr>
        <w:t>. The Placement Agent shall be the third party beneficiary of the representations, warranties, and covenants of the Company in this Agreement and the representations, warranties, and covenants of the Purchasers in this Agreement. This Agreement is intended for the benefit of the parties hereto and their respective successors and permitted assigns and is not for the benefit of, nor may any provision hereof be enforced by, any other Person, except as otherwise set forth in Section 4.7 and this Section 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262890</wp:posOffset>
            </wp:positionV>
            <wp:extent cx="713232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40" w:name="page41"/>
    <w:bookmarkEnd w:id="40"/>
    <w:p>
      <w:pPr>
        <w:jc w:val="both"/>
        <w:ind w:firstLine="648"/>
        <w:spacing w:after="0" w:line="251" w:lineRule="auto"/>
        <w:rPr>
          <w:sz w:val="20"/>
          <w:szCs w:val="20"/>
          <w:color w:val="auto"/>
        </w:rPr>
      </w:pPr>
      <w:r>
        <w:rPr>
          <w:rFonts w:ascii="Times New Roman" w:cs="Times New Roman" w:eastAsia="Times New Roman" w:hAnsi="Times New Roman"/>
          <w:sz w:val="18"/>
          <w:szCs w:val="18"/>
          <w:color w:val="auto"/>
        </w:rPr>
        <w:t xml:space="preserve">5.9 </w:t>
      </w:r>
      <w:r>
        <w:rPr>
          <w:rFonts w:ascii="Times New Roman" w:cs="Times New Roman" w:eastAsia="Times New Roman" w:hAnsi="Times New Roman"/>
          <w:sz w:val="18"/>
          <w:szCs w:val="18"/>
          <w:u w:val="single" w:color="auto"/>
          <w:color w:val="auto"/>
        </w:rPr>
        <w:t>Governing Law; Agent for Process</w:t>
      </w:r>
      <w:r>
        <w:rPr>
          <w:rFonts w:ascii="Times New Roman" w:cs="Times New Roman" w:eastAsia="Times New Roman" w:hAnsi="Times New Roman"/>
          <w:sz w:val="18"/>
          <w:szCs w:val="18"/>
          <w:color w:val="auto"/>
        </w:rPr>
        <w:t>. All questions concerning the construction, validity, enforcement and interpretation of the Transaction Documents shall be governed by and construed and enforced in accordance with the internal laws of the State of New York, without regard to the principles of conflicts of law thereof. Each party agrees that all legal Proceedings concerning the interpretations, enforcement and defense of the transactions contemplated by this Agreement and any other Transaction Documents (whether brought against a party hereto or its respective affiliates, directors, officers, shareholders, partners, members, employees or agents) shall be commenced exclusively in the U.S. federal and New York state courts sitting in the Borough of Manhattan, City of New York (collectively, the “</w:t>
      </w:r>
      <w:r>
        <w:rPr>
          <w:rFonts w:ascii="Times New Roman" w:cs="Times New Roman" w:eastAsia="Times New Roman" w:hAnsi="Times New Roman"/>
          <w:sz w:val="18"/>
          <w:szCs w:val="18"/>
          <w:u w:val="single" w:color="auto"/>
          <w:color w:val="auto"/>
        </w:rPr>
        <w:t>Specified Courts</w:t>
      </w:r>
      <w:r>
        <w:rPr>
          <w:rFonts w:ascii="Times New Roman" w:cs="Times New Roman" w:eastAsia="Times New Roman" w:hAnsi="Times New Roman"/>
          <w:sz w:val="18"/>
          <w:szCs w:val="18"/>
          <w:color w:val="auto"/>
        </w:rPr>
        <w:t>”). Each party hereby irrevocably submits to the exclusive jurisdiction of the Specified Courts for the adjudication of any dispute hereunder or in connection herewith or with any transaction contemplated hereby or discussed herein (including with respect to the enforcement of any of the Transaction Documents), and hereby irrevocably waives, and agrees not to assert in any Action or Proceeding, any claim that it is not personally subject to the jurisdiction of any such court, that such Action or Proceeding is improper or is an inconvenient venue for such Proceeding. Each party hereby irrevocably waives personal service of process and consents to process being served in any such Action or Proceeding by mailing a copy thereof via registered or certified mail or overnight delivery (with evidence of delivery) to such party at the address in effect for notices to it under this Agreement and agrees that such service shall constitute good and sufficient service of process and notice thereof. Nothing contained herein shall be deemed to limit in any way any right to serve process in any other manner permitted by law. If any party shall commence an Action or Proceeding to enforce any provisions of the Transaction Documents, then, in addition to the obligations of the Company under Section 4.7, the prevailing party in such Action or Proceeding shall be reimbursed by the non-prevailing party for its reasonable attorneys’ fees and other costs and expenses incurred with the investigation, preparation and prosecution of such Action or Proceeding. In addition to and without limiting the foregoing, the Company has appointed Cogency Global Inc. as its authorized agent (the “</w:t>
      </w:r>
      <w:r>
        <w:rPr>
          <w:rFonts w:ascii="Times New Roman" w:cs="Times New Roman" w:eastAsia="Times New Roman" w:hAnsi="Times New Roman"/>
          <w:sz w:val="18"/>
          <w:szCs w:val="18"/>
          <w:u w:val="single" w:color="auto"/>
          <w:color w:val="auto"/>
        </w:rPr>
        <w:t>Authorized Agent</w:t>
      </w:r>
      <w:r>
        <w:rPr>
          <w:rFonts w:ascii="Times New Roman" w:cs="Times New Roman" w:eastAsia="Times New Roman" w:hAnsi="Times New Roman"/>
          <w:sz w:val="18"/>
          <w:szCs w:val="18"/>
          <w:color w:val="auto"/>
        </w:rPr>
        <w:t>”) upon whom process may be served in any suit, action or proceeding arising out of or based upon the Transaction Documents or the transactions contemplated herein which may be instituted in any Specified Court by any Purchaser, and expressly accept the non-exclusive jurisdiction of any such court in respect of any such suit, action or proceeding. The Company hereby represents and warrants that the Authorized Agent has accepted such appointment and has agreed to act as said agent for service of process, and the Company agrees to take any and all action, including the filing of any and all documents that may be necessary to continue such appointment in full force and effect as aforesaid. The Company hereby authorizes and directs the Authorized Agent to accept such service. Service of process upon the Authorized Agent shall be deemed, in every respect, effective service of process upon the Company. If the Authorized Agent shall cease to act as agent for service of process, the Company shall appoint, without unreasonable delay, another such agent in the United States, and notify you of such appointment. This paragraph shall survive any termination of this Agreement, in whole or in part. The Company agrees that a final judgment in any such action, proceeding or counterclaim brought in any such court shall be conclusive and binding upon the Company and may be enforced in any other courts to the jurisdiction of which the Company is or may be subject, by suit upon such judgment.</w:t>
      </w:r>
    </w:p>
    <w:p>
      <w:pPr>
        <w:spacing w:after="0" w:line="20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5.10 </w:t>
      </w:r>
      <w:r>
        <w:rPr>
          <w:rFonts w:ascii="Times New Roman" w:cs="Times New Roman" w:eastAsia="Times New Roman" w:hAnsi="Times New Roman"/>
          <w:sz w:val="18"/>
          <w:szCs w:val="18"/>
          <w:u w:val="single" w:color="auto"/>
          <w:color w:val="auto"/>
        </w:rPr>
        <w:t>Survival</w:t>
      </w:r>
      <w:r>
        <w:rPr>
          <w:rFonts w:ascii="Times New Roman" w:cs="Times New Roman" w:eastAsia="Times New Roman" w:hAnsi="Times New Roman"/>
          <w:sz w:val="18"/>
          <w:szCs w:val="18"/>
          <w:color w:val="auto"/>
        </w:rPr>
        <w:t>. The representations and warranties contained herein shall survive the Closing and the delivery of the Securities.</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5.11 </w:t>
      </w:r>
      <w:r>
        <w:rPr>
          <w:rFonts w:ascii="Times New Roman" w:cs="Times New Roman" w:eastAsia="Times New Roman" w:hAnsi="Times New Roman"/>
          <w:sz w:val="18"/>
          <w:szCs w:val="18"/>
          <w:u w:val="single" w:color="auto"/>
          <w:color w:val="auto"/>
        </w:rPr>
        <w:t>Execution</w:t>
      </w:r>
      <w:r>
        <w:rPr>
          <w:rFonts w:ascii="Times New Roman" w:cs="Times New Roman" w:eastAsia="Times New Roman" w:hAnsi="Times New Roman"/>
          <w:sz w:val="18"/>
          <w:szCs w:val="18"/>
          <w:color w:val="auto"/>
        </w:rPr>
        <w:t>. This Agreement may be executed in two or more counterparts, all of which when taken together shall be considered one and the same agreement and shall become effective when counterparts have been signed by each party and delivered to each other party, it being understood that the parties need not sign the same counterpart. In the event that any signature is delivered by e-mail delivery of a “.pdf” format data file, such signature shall be deemed to have been duly and validly delivered and shall create a valid and binding obligation of the party executing (or on whose behalf such signature is executed) with the same force and effect as if such “.pdf” signature page were an original thereof.</w:t>
      </w:r>
    </w:p>
    <w:p>
      <w:pPr>
        <w:spacing w:after="0" w:line="18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5.12 </w:t>
      </w: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If any term, provision, covenant or restriction of this Agreement is held by a court of competent jurisdiction to be invalid, illegal, void or unenforceable, the remainder of the terms, provisions, covenants and restrictions set forth herein shall remain in full force and effect and shall in no way be affected, impaired or invalidated, and the parties hereto shall use their commercially reasonable efforts to find and employ an alternative means to achieve the same or substantially the same result as that contemplated by such term, provision, covenant or restriction. It is hereby stipulated and declared to be the intention of the parties that they would have executed the remaining terms, provisions, covenants and restrictions without including any of such that may be hereafter declared invalid, illegal, void or unenforceable.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267970</wp:posOffset>
            </wp:positionV>
            <wp:extent cx="713232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41" w:name="page42"/>
    <w:bookmarkEnd w:id="41"/>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5.13 </w:t>
      </w:r>
      <w:r>
        <w:rPr>
          <w:rFonts w:ascii="Times New Roman" w:cs="Times New Roman" w:eastAsia="Times New Roman" w:hAnsi="Times New Roman"/>
          <w:sz w:val="18"/>
          <w:szCs w:val="18"/>
          <w:u w:val="single" w:color="auto"/>
          <w:color w:val="auto"/>
        </w:rPr>
        <w:t>Rescission and Withdrawal Right</w:t>
      </w:r>
      <w:r>
        <w:rPr>
          <w:rFonts w:ascii="Times New Roman" w:cs="Times New Roman" w:eastAsia="Times New Roman" w:hAnsi="Times New Roman"/>
          <w:sz w:val="18"/>
          <w:szCs w:val="18"/>
          <w:color w:val="auto"/>
        </w:rPr>
        <w:t>. Notwithstanding anything to the contrary contained in (and without limiting any similar provisions of) any of the other Transaction Documents, whenever any Purchaser exercises a right, election, demand or option under a Transaction Document and the Company does not timely perform its related obligations within the periods therein provided, then such Purchaser may rescind or withdraw, in its sole discretion from time to time upon written notice to the Company, any relevant notice, demand or election in whole or in part without prejudice to its future actions and rights.</w:t>
      </w:r>
    </w:p>
    <w:p>
      <w:pPr>
        <w:spacing w:after="0" w:line="18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5.14 </w:t>
      </w:r>
      <w:r>
        <w:rPr>
          <w:rFonts w:ascii="Times New Roman" w:cs="Times New Roman" w:eastAsia="Times New Roman" w:hAnsi="Times New Roman"/>
          <w:sz w:val="18"/>
          <w:szCs w:val="18"/>
          <w:u w:val="single" w:color="auto"/>
          <w:color w:val="auto"/>
        </w:rPr>
        <w:t>Replacement of Securities</w:t>
      </w:r>
      <w:r>
        <w:rPr>
          <w:rFonts w:ascii="Times New Roman" w:cs="Times New Roman" w:eastAsia="Times New Roman" w:hAnsi="Times New Roman"/>
          <w:sz w:val="18"/>
          <w:szCs w:val="18"/>
          <w:color w:val="auto"/>
        </w:rPr>
        <w:t>. If any certificate or instrument evidencing any Securities is mutilated, lost, stolen or destroyed, the Company shall issue or cause to be issued in exchange and substitution for and upon cancellation thereof (in the case of mutilation), or in lieu of and substitution therefor, a new certificate or instrument, but only upon receipt of evidence reasonably satisfactory to the Company of such loss, theft or destruction. The applicant for a new certificate or instrument under such circumstances shall also pay any reasonable third-party costs (including customary indemnity) associated with the issuance of such replacement Securities.</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5.15 </w:t>
      </w:r>
      <w:r>
        <w:rPr>
          <w:rFonts w:ascii="Times New Roman" w:cs="Times New Roman" w:eastAsia="Times New Roman" w:hAnsi="Times New Roman"/>
          <w:sz w:val="18"/>
          <w:szCs w:val="18"/>
          <w:u w:val="single" w:color="auto"/>
          <w:color w:val="auto"/>
        </w:rPr>
        <w:t>Remedies</w:t>
      </w:r>
      <w:r>
        <w:rPr>
          <w:rFonts w:ascii="Times New Roman" w:cs="Times New Roman" w:eastAsia="Times New Roman" w:hAnsi="Times New Roman"/>
          <w:sz w:val="18"/>
          <w:szCs w:val="18"/>
          <w:color w:val="auto"/>
        </w:rPr>
        <w:t>. In addition to being entitled to exercise all rights provided herein or granted by law, including recovery of damages, each of the Purchasers and the Company will be entitled to specific performance under the Transaction Documents. The parties agree that monetary damages may not be adequate compensation for any loss incurred by reason of any breach of obligations contained in the Transaction Documents and hereby agree to waive and not to assert in any Action for specific performance of any such obligation the defense that a remedy at law would be adequate.</w:t>
      </w:r>
    </w:p>
    <w:p>
      <w:pPr>
        <w:spacing w:after="0" w:line="18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5.16 </w:t>
      </w:r>
      <w:r>
        <w:rPr>
          <w:rFonts w:ascii="Times New Roman" w:cs="Times New Roman" w:eastAsia="Times New Roman" w:hAnsi="Times New Roman"/>
          <w:sz w:val="18"/>
          <w:szCs w:val="18"/>
          <w:u w:val="single" w:color="auto"/>
          <w:color w:val="auto"/>
        </w:rPr>
        <w:t>Payment Set Aside</w:t>
      </w:r>
      <w:r>
        <w:rPr>
          <w:rFonts w:ascii="Times New Roman" w:cs="Times New Roman" w:eastAsia="Times New Roman" w:hAnsi="Times New Roman"/>
          <w:sz w:val="18"/>
          <w:szCs w:val="18"/>
          <w:color w:val="auto"/>
        </w:rPr>
        <w:t>. To the extent that the Company makes a payment or payments to any Purchaser pursuant to any Transaction Document or a Purchaser enforces or exercises its rights thereunder, and such payment or payments or the proceeds of such enforcement or exercise or any part thereof are subsequently invalidated, declared to be fraudulent or preferential, set aside, recovered from, disgorged by or are required to be refunded, repaid or otherwise restored to the Company, a trustee, receiver or any other Person under any law (including, without limitation, any bankruptcy law, state or federal law, common law or equitable cause of action), then to the extent of any such restoration the obligation or part thereof originally intended to be satisfied shall be revived and continued in full force and effect as if such payment had not been made or such enforcement or setoff had not occurred.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267970</wp:posOffset>
            </wp:positionV>
            <wp:extent cx="713232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42" w:name="page43"/>
    <w:bookmarkEnd w:id="42"/>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5.17 </w:t>
      </w:r>
      <w:r>
        <w:rPr>
          <w:rFonts w:ascii="Times New Roman" w:cs="Times New Roman" w:eastAsia="Times New Roman" w:hAnsi="Times New Roman"/>
          <w:sz w:val="18"/>
          <w:szCs w:val="18"/>
          <w:u w:val="single" w:color="auto"/>
          <w:color w:val="auto"/>
        </w:rPr>
        <w:t>Independent Nature of Purchasers’ Obligations and Rights</w:t>
      </w:r>
      <w:r>
        <w:rPr>
          <w:rFonts w:ascii="Times New Roman" w:cs="Times New Roman" w:eastAsia="Times New Roman" w:hAnsi="Times New Roman"/>
          <w:sz w:val="18"/>
          <w:szCs w:val="18"/>
          <w:color w:val="auto"/>
        </w:rPr>
        <w:t>. The obligations of each Purchaser under any Transaction Document are several and not joint with the obligations of any other Purchaser, and no Purchaser shall be responsible in any way for the performance or non-performance of the obligations of any other Purchaser under any Transaction Document. Nothing contained herein or in any other Transaction Document, and no action taken by any Purchaser pursuant hereto or thereto, shall be deemed to constitute the Purchasers as a partnership, an association, a joint venture or any other kind of entity, or create a presumption that the Purchasers are in any way acting in concert or as a group with respect to such obligations or the transactions contemplated by the Transaction Documents. Each Purchaser shall be entitled to independently protect and enforce its rights including, without limitation, the rights arising out of this Agreement or out of the other Transaction Documents, and it shall not be necessary for any other Purchaser to be joined as an additional party in any Proceeding for such purpose. Each Purchaser has been represented by its own separate legal counsel in its review and negotiation of the Transaction Documents. For reasons of administrative convenience only, each Purchaser and its respective counsel have chosen to communicate with the Company through EGS. EGS does not represent any of the Purchasers and only represents the Placement Agent. The Company has elected to provide all Purchasers with the same terms and Transaction Documents for the convenience of the Company and not because it was required or requested to do so by any of the Purchasers. It is expressly understood and agreed that each provision contained in this Agreement and in each other Transaction Document is between the Company and a Purchaser, solely, and not between the Company and the Purchasers collectively and not between and among the Purchasers.</w:t>
      </w:r>
    </w:p>
    <w:p>
      <w:pPr>
        <w:spacing w:after="0" w:line="18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5.18 </w:t>
      </w:r>
      <w:r>
        <w:rPr>
          <w:rFonts w:ascii="Times New Roman" w:cs="Times New Roman" w:eastAsia="Times New Roman" w:hAnsi="Times New Roman"/>
          <w:sz w:val="18"/>
          <w:szCs w:val="18"/>
          <w:u w:val="single" w:color="auto"/>
          <w:color w:val="auto"/>
        </w:rPr>
        <w:t>Liquidated Damages</w:t>
      </w:r>
      <w:r>
        <w:rPr>
          <w:rFonts w:ascii="Times New Roman" w:cs="Times New Roman" w:eastAsia="Times New Roman" w:hAnsi="Times New Roman"/>
          <w:sz w:val="18"/>
          <w:szCs w:val="18"/>
          <w:color w:val="auto"/>
        </w:rPr>
        <w:t>. The Company’s obligations to pay any partial liquidated damages or other amounts owing under the Transaction Documents is a continuing obligation of the Company and shall not terminate until all unpaid partial liquidated damages and other amounts have been paid notwithstanding the fact that the instrument or security pursuant to which such partial liquidated damages or other amounts are due and payable shall have been canceled.</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5.19 </w:t>
      </w:r>
      <w:r>
        <w:rPr>
          <w:rFonts w:ascii="Times New Roman" w:cs="Times New Roman" w:eastAsia="Times New Roman" w:hAnsi="Times New Roman"/>
          <w:sz w:val="18"/>
          <w:szCs w:val="18"/>
          <w:u w:val="single" w:color="auto"/>
          <w:color w:val="auto"/>
        </w:rPr>
        <w:t>Saturdays, Sundays, Holidays, etc.</w:t>
      </w:r>
      <w:r>
        <w:rPr>
          <w:rFonts w:ascii="Times New Roman" w:cs="Times New Roman" w:eastAsia="Times New Roman" w:hAnsi="Times New Roman"/>
          <w:sz w:val="18"/>
          <w:szCs w:val="18"/>
          <w:color w:val="auto"/>
        </w:rPr>
        <w:t xml:space="preserve"> If the last or appointed day for the taking of any action or the expiration of any right required or granted herein shall not be a Business Day, then such action may be taken or such right may be exercised on the next succeeding Business Day.</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5.20 </w:t>
      </w:r>
      <w:r>
        <w:rPr>
          <w:rFonts w:ascii="Times New Roman" w:cs="Times New Roman" w:eastAsia="Times New Roman" w:hAnsi="Times New Roman"/>
          <w:sz w:val="18"/>
          <w:szCs w:val="18"/>
          <w:u w:val="single" w:color="auto"/>
          <w:color w:val="auto"/>
        </w:rPr>
        <w:t>Construction</w:t>
      </w:r>
      <w:r>
        <w:rPr>
          <w:rFonts w:ascii="Times New Roman" w:cs="Times New Roman" w:eastAsia="Times New Roman" w:hAnsi="Times New Roman"/>
          <w:sz w:val="18"/>
          <w:szCs w:val="18"/>
          <w:color w:val="auto"/>
        </w:rPr>
        <w:t>. The parties agree that each of them and/or their respective counsel have reviewed and had an opportunity to revise the Transaction Documents and, therefore, the normal rule of construction to the effect that any ambiguities are to be resolved against the drafting party shall not be employed in the interpretation of the Transaction Documents or any amendments thereto. In addition, each and every reference to share prices, Ordinary Shares and ADSs in any Transaction Document shall be subject to adjustment for reverse and forward stock splits, stock dividends, stock combinations and other similar transactions of the ADSs or Ordinary Shares that occur after the date of this Agreement.</w:t>
      </w:r>
    </w:p>
    <w:p>
      <w:pPr>
        <w:spacing w:after="0" w:line="179"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 xml:space="preserve">5.21 </w:t>
      </w:r>
      <w:r>
        <w:rPr>
          <w:rFonts w:ascii="Times New Roman" w:cs="Times New Roman" w:eastAsia="Times New Roman" w:hAnsi="Times New Roman"/>
          <w:sz w:val="18"/>
          <w:szCs w:val="18"/>
          <w:b w:val="1"/>
          <w:bCs w:val="1"/>
          <w:u w:val="single" w:color="auto"/>
          <w:color w:val="auto"/>
        </w:rPr>
        <w:t>WAIVER OF JURY TRIAL</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u w:val="single" w:color="auto"/>
          <w:color w:val="auto"/>
        </w:rPr>
        <w:t>IN ANY ACTION, SUIT, OR PROCEEDING IN ANY JURISDICTION BROUGHT BY ANY PARTY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u w:val="single" w:color="auto"/>
          <w:color w:val="auto"/>
        </w:rPr>
        <w:t>AGAINST ANY OTHER PARTY, THE PARTIES EACH KNOWINGLY AND INTENTIONALLY, TO THE GREATEST EXTENT PERMITTED BY APPLICABLE LAW, HEREBY ABSOLUTELY, UNCONDITIONALLY, IRREVOCABLY AND EXPRESSLY WAIVES FOREVER TRIAL BY JURY.</w:t>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(Signature Pages Follow)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292735</wp:posOffset>
            </wp:positionV>
            <wp:extent cx="713232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43" w:name="page44"/>
    <w:bookmarkEnd w:id="43"/>
    <w:p>
      <w:pPr>
        <w:ind w:firstLine="648"/>
        <w:spacing w:after="0" w:line="282" w:lineRule="auto"/>
        <w:rPr>
          <w:sz w:val="20"/>
          <w:szCs w:val="20"/>
          <w:color w:val="auto"/>
        </w:rPr>
      </w:pPr>
      <w:r>
        <w:rPr>
          <w:rFonts w:ascii="Times New Roman" w:cs="Times New Roman" w:eastAsia="Times New Roman" w:hAnsi="Times New Roman"/>
          <w:sz w:val="18"/>
          <w:szCs w:val="18"/>
          <w:color w:val="auto"/>
        </w:rPr>
        <w:t>IN WITNESS WHEREOF, the parties hereto have caused this Securities Purchase Agreement to be duly executed by their respective authorized signatories as of the date first indicated above.</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5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GENENTA SCIENCE S.P.A.</w:t>
            </w:r>
          </w:p>
        </w:tc>
        <w:tc>
          <w:tcPr>
            <w:tcW w:w="220" w:type="dxa"/>
            <w:vAlign w:val="bottom"/>
          </w:tcPr>
          <w:p>
            <w:pPr>
              <w:spacing w:after="0"/>
              <w:rPr>
                <w:sz w:val="17"/>
                <w:szCs w:val="17"/>
                <w:color w:val="auto"/>
              </w:rPr>
            </w:pPr>
          </w:p>
        </w:tc>
        <w:tc>
          <w:tcPr>
            <w:tcW w:w="3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Address for Notice:</w:t>
            </w:r>
          </w:p>
        </w:tc>
      </w:tr>
      <w:tr>
        <w:trPr>
          <w:trHeight w:val="20"/>
        </w:trPr>
        <w:tc>
          <w:tcPr>
            <w:tcW w:w="580" w:type="dxa"/>
            <w:vAlign w:val="bottom"/>
          </w:tcPr>
          <w:p>
            <w:pPr>
              <w:spacing w:after="0" w:line="20" w:lineRule="exact"/>
              <w:rPr>
                <w:sz w:val="1"/>
                <w:szCs w:val="1"/>
                <w:color w:val="auto"/>
              </w:rPr>
            </w:pPr>
          </w:p>
        </w:tc>
        <w:tc>
          <w:tcPr>
            <w:tcW w:w="4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r>
      <w:tr>
        <w:trPr>
          <w:trHeight w:val="218"/>
        </w:trPr>
        <w:tc>
          <w:tcPr>
            <w:tcW w:w="580" w:type="dxa"/>
            <w:vAlign w:val="bottom"/>
          </w:tcPr>
          <w:p>
            <w:pPr>
              <w:spacing w:after="0"/>
              <w:rPr>
                <w:sz w:val="18"/>
                <w:szCs w:val="18"/>
                <w:color w:val="auto"/>
              </w:rPr>
            </w:pPr>
          </w:p>
        </w:tc>
        <w:tc>
          <w:tcPr>
            <w:tcW w:w="4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Via Olgettina No. 58</w:t>
            </w:r>
          </w:p>
        </w:tc>
      </w:tr>
      <w:tr>
        <w:trPr>
          <w:trHeight w:val="234"/>
        </w:trPr>
        <w:tc>
          <w:tcPr>
            <w:tcW w:w="580" w:type="dxa"/>
            <w:vAlign w:val="bottom"/>
          </w:tcPr>
          <w:p>
            <w:pPr>
              <w:spacing w:after="0"/>
              <w:rPr>
                <w:sz w:val="20"/>
                <w:szCs w:val="20"/>
                <w:color w:val="auto"/>
              </w:rPr>
            </w:pPr>
          </w:p>
        </w:tc>
        <w:tc>
          <w:tcPr>
            <w:tcW w:w="4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20132 Milan, Italy</w:t>
            </w:r>
          </w:p>
        </w:tc>
      </w:tr>
      <w:tr>
        <w:trPr>
          <w:trHeight w:val="432"/>
        </w:trPr>
        <w:tc>
          <w:tcPr>
            <w:tcW w:w="5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By:</w:t>
            </w:r>
          </w:p>
        </w:tc>
        <w:tc>
          <w:tcPr>
            <w:tcW w:w="2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211"/>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49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Pierluigi Paracchi</w:t>
            </w:r>
          </w:p>
        </w:tc>
        <w:tc>
          <w:tcPr>
            <w:tcW w:w="220" w:type="dxa"/>
            <w:vAlign w:val="bottom"/>
          </w:tcPr>
          <w:p>
            <w:pPr>
              <w:spacing w:after="0"/>
              <w:rPr>
                <w:sz w:val="18"/>
                <w:szCs w:val="18"/>
                <w:color w:val="auto"/>
              </w:rPr>
            </w:pPr>
          </w:p>
        </w:tc>
        <w:tc>
          <w:tcPr>
            <w:tcW w:w="30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w w:val="98"/>
              </w:rPr>
              <w:t>E-Mail: pierluigi.paracchi@genenta.com</w:t>
            </w:r>
          </w:p>
        </w:tc>
      </w:tr>
    </w:tbl>
    <w:p>
      <w:pPr>
        <w:spacing w:after="0"/>
        <w:tabs>
          <w:tab w:leader="none" w:pos="5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Executive Officer</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With a copy to (which shall not constitute notice):</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[REMAINDER OF PAGE INTENTIONALLY LEFT BLANK</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SIGNATURE PAGE FOR PURCHASER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688" w:right="359" w:bottom="1440" w:gutter="0" w:footer="0" w:header="0"/>
        </w:sectPr>
      </w:pPr>
    </w:p>
    <w:bookmarkStart w:id="44" w:name="page45"/>
    <w:bookmarkEnd w:id="44"/>
    <w:p>
      <w:pPr>
        <w:jc w:val="center"/>
        <w:spacing w:after="0"/>
        <w:rPr>
          <w:sz w:val="20"/>
          <w:szCs w:val="20"/>
          <w:color w:val="auto"/>
        </w:rPr>
      </w:pPr>
      <w:r>
        <w:rPr>
          <w:rFonts w:ascii="Times New Roman" w:cs="Times New Roman" w:eastAsia="Times New Roman" w:hAnsi="Times New Roman"/>
          <w:sz w:val="18"/>
          <w:szCs w:val="18"/>
          <w:color w:val="auto"/>
        </w:rPr>
        <w:t>[PURCHASER SIGNATURE PAGES TO GNTA SECURITIES PURCHASE AGREEMENT]</w:t>
      </w:r>
    </w:p>
    <w:p>
      <w:pPr>
        <w:spacing w:after="0" w:line="225"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IN WITNESS WHEREOF, the undersigned have caused this Securities Purchase Agreement to be duly executed by their respective authorized signatories as of the date first indicated above.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of Purchaser: ________________________________________________________</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Signature of Authorized Signatory of Purchaser</w:t>
      </w:r>
      <w:r>
        <w:rPr>
          <w:rFonts w:ascii="Times New Roman" w:cs="Times New Roman" w:eastAsia="Times New Roman" w:hAnsi="Times New Roman"/>
          <w:sz w:val="18"/>
          <w:szCs w:val="18"/>
          <w:color w:val="auto"/>
        </w:rPr>
        <w:t>: _________________________________</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of Authorized Signatory: _______________________________________________</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 of Authorized Signatory: ________________________________________________</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 Address of Authorized Signatory: _________________________________________</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Address for Notice to Purchaser: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Address for Delivery of ADSs to Purchaser (if not same as address for notice):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Subscription Amount: $_________________</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ADSs: _________________</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EIN Number: ____________________</w:t>
      </w:r>
    </w:p>
    <w:p>
      <w:pPr>
        <w:spacing w:after="0" w:line="225" w:lineRule="exact"/>
        <w:rPr>
          <w:sz w:val="20"/>
          <w:szCs w:val="20"/>
          <w:color w:val="auto"/>
        </w:rPr>
      </w:pPr>
    </w:p>
    <w:p>
      <w:pPr>
        <w:jc w:val="both"/>
        <w:ind w:right="20" w:firstLine="8"/>
        <w:spacing w:after="0" w:line="261" w:lineRule="auto"/>
        <w:tabs>
          <w:tab w:leader="none" w:pos="220" w:val="left"/>
        </w:tabs>
        <w:numPr>
          <w:ilvl w:val="0"/>
          <w:numId w:val="40"/>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Notwithstanding anything contained in this Agreement to the contrary, by checking this box (i) the obligations of the above-signed to purchase the securities set forth in this Agreement to be purchased from the Company by the above-signed, and the obligations of the Company to sell such securities to</w:t>
      </w:r>
    </w:p>
    <w:p>
      <w:pPr>
        <w:jc w:val="both"/>
        <w:spacing w:after="0" w:line="231" w:lineRule="auto"/>
        <w:rPr>
          <w:sz w:val="20"/>
          <w:szCs w:val="20"/>
          <w:color w:val="auto"/>
        </w:rPr>
      </w:pPr>
      <w:r>
        <w:rPr>
          <w:rFonts w:ascii="Times New Roman" w:cs="Times New Roman" w:eastAsia="Times New Roman" w:hAnsi="Times New Roman"/>
          <w:sz w:val="18"/>
          <w:szCs w:val="18"/>
          <w:color w:val="auto"/>
        </w:rPr>
        <w:t>the above-signed, shall be unconditional and all conditions to Closing shall be disregarded, (ii) the Closing shall occur on the first (1</w:t>
      </w:r>
      <w:r>
        <w:rPr>
          <w:rFonts w:ascii="Times New Roman" w:cs="Times New Roman" w:eastAsia="Times New Roman" w:hAnsi="Times New Roman"/>
          <w:sz w:val="29"/>
          <w:szCs w:val="29"/>
          <w:color w:val="auto"/>
          <w:vertAlign w:val="superscript"/>
        </w:rPr>
        <w:t>st</w:t>
      </w:r>
      <w:r>
        <w:rPr>
          <w:rFonts w:ascii="Times New Roman" w:cs="Times New Roman" w:eastAsia="Times New Roman" w:hAnsi="Times New Roman"/>
          <w:sz w:val="18"/>
          <w:szCs w:val="18"/>
          <w:color w:val="auto"/>
        </w:rPr>
        <w:t>) Trading Day following the date of this Agreement and (iii) any condition to Closing contemplated by this Agreement (but prior to being disregarded by clause (i) above) that required delivery by the Company or the above-signed of any agreement, instrument, certificate or the like or purchase price (as applicable) shall no longer be a condition and shall instead be an unconditional obligation of the Company or the above-signed (as applicable) to deliver such agreement, instrument, certificate or the like or purchase price (as applicable) to such other party on the Closing Date.</w:t>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[SIGNATURE PAGES CONTINUE]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45" w:name="page46"/>
    <w:bookmarkEnd w:id="45"/>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Genenta Announces Pricing of $15.0 Million Registered Direct Offering of American Depositary Shares</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Milan, Italy and New York, USA, October 26, 2025 (GLOBE NEWSWIRE) – Genenta Science (Nasdaq: GNTA), a pioneer in immuno-oncology, today announced that it has entered into a securities purchase agreement with institutional investors to purchase 4,285,715 American Depositary Shares (“ADSs”) at an offering price of $3.50 per ADS, for gross proceeds of approximately $15.0 million, before deducting placement agent fees and other estimated offering expenses. All of the securities in the offering were sold by Genenta, and no warrants or other derivative securities were issued in connection with this offering.</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Maxim Group LLC is acting as lead placement agent for the offering, and Rodman &amp; Renshaw LLC is acting as co-placement agent for the offering.</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Genenta intends to use the net proceeds from the offering for working capital and general corporate purposes. The offering is expected to close on or about October 28, 2025, subject to the satisfaction of customary closing conditions.</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securities described above are being offered pursuant to a shelf registration statement on Form F-3 (File No. 333-271901) previously filed with the U.S. Securities and Exchange Commission (“SEC”) and declared effective on May 24, 2023. A prospectus supplement relating to the securities to be issued in the offering will be filed by the Company with the SEC. When available, copies of the prospectus supplement relating to the offering, together with the accompanying prospectus, can be obtained at the SEC’s website at www.sec.gov or by contacting Maxim Group LLC, at 300 Park Avenue, 16th Floor, New York, NY 10022, Attention: Syndicate Department, or via email at syndicate@maximgrp.com or by telephone at (212) 895-3745., or from Rodman &amp; Renshaw LLC at 600 Lexington Avenue, 32nd Floor, New York, NY 10022, by telephone at (212) 540-4414, or by email at info@rodm.com.</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This press release shall not constitute an offer to sell or the solicitation of an offer to buy these securities, nor shall there be any sale of these securities in any state or jurisdiction in which such offer, solicitation or sale would be unlawful prior to registration or qualification under the securities laws of any such state or jurisdiction.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260350</wp:posOffset>
            </wp:positionV>
            <wp:extent cx="713232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b w:val="1"/>
          <w:bCs w:val="1"/>
          <w:i w:val="1"/>
          <w:iCs w:val="1"/>
          <w:color w:val="auto"/>
        </w:rPr>
        <w:t>About Genenta Science</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i w:val="1"/>
          <w:iCs w:val="1"/>
          <w:color w:val="auto"/>
        </w:rPr>
        <w:t>Genenta Science (Nasdaq: GNTA) is a clinical stage immuno-oncology company developing a proprietary hematopoietic stem cells therapy for the treatment of a variety of solid tumor cancers. Genenta’s first in class product candidate is Temferon™, which is designed to allow the expression of immune-therapeutic payloads within the tumor microenvironment by bone marrow derived myeloid cells and enable a durable and targeted response. Genenta has completed the Phase 1 trial for newly diagnosed Glioblastoma Multiforme (GBM) patients with an unmethylated MGMT gene promoter, which suggests the potential reprogramming of the tumor microenvironment and inhibiting of myeloid induced tolerance, while allowing the induction of T cell responses, potentially breaking immune tolerance. Genenta has initiated a Phase 1/2a metastatic Renal Cell Carcinoma study that will also include a combination with immune checkpoint inhibitors. Genenta’s treatments are designed as one-time monotherapies, but with the additional potential, when used in combination, to significantly enhance the efficacy of other approved therapeutics.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Statements in this press release contain “forward-looking statements,” within the meaning of the U.S. Private Securities Litigation Reform Act of 1995, that are subject to substantial risks and uncertainties. All statements, other than statements of historical fact, contained in this press release are forward-looking statements. Forward-looking statements contained in this press release may be identified by the use of words such as “anticipate,” “believe,” “contemplate,” “could,” “estimate,” “expect,” “intend,” “seek,” “may,” “might,” “plan,” “potential,” “predict,” “project,” “suggest,” “target,” “aim,” “should,” “will,” “would,” or the negative of these words or other similar expressions, although not all forward-looking statements contain these words. Forward-looking statements are based on Genenta’s current expectations and are subject to inherent uncertainties, risks and assumptions that are difficult to predict, including risks related to the expected completion, timing and size of the offering, Genenta’s intended use of the proceeds from the offering, the funding provided by the recently acquired Mandatory Convertible Bond, the completion and timing of Genenta’s ongoing Phase 1/2a clinical trial for newly diagnosed GBM patients with uMGMT-GBM, its clinical trial for metastatic RCC or any related studies, as well as Genenta’s ability to fund its research and development plans. Further, certain forward-looking statements are based on assumptions as to future events that may not prove to be accurate. These and other risks and uncertainties are described more fully in the section titled “Risk Factors” in Genenta’s Annual Report on Form 20-F for the year ended December 31, 2024 filed with the Securities and Exchange Commission. Forward-looking statements contained in this announcement are made as of the date of this announcement, and Genenta undertakes no duty to update such information except as required under applicable law. This press release discusses product candidates that are under preclinical or clinical evaluation and that have not yet been approved for marketing by the U.S. Food and Drug Administration or any other regulatory authority. Until finalized in a clinical study report, clinical trial data presented herein remain subject to adjustment as a result of clinical site audits and other review processes. No representation is made as to the safety or effectiveness of these product candidates or the use for which such product candidates are being studied. Temferon™ is an investigational product candidate for which the effectiveness and safety have not been established. In addition, Temferon™ is not approved for use in any jurisdiction.</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Genenta Science Media</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Tiziana Pollio, Mobile: +39 348 23 15 143</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E-mail: tiziana.pollio@genenta.com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11240"/>
      </w:cols>
      <w:pgMar w:left="320" w:top="68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36C6125"/>
    <w:multiLevelType w:val="hybridMultilevel"/>
    <w:lvl w:ilvl="0">
      <w:lvlJc w:val="left"/>
      <w:lvlText w:val="*"/>
      <w:numFmt w:val="bullet"/>
      <w:start w:val="1"/>
    </w:lvl>
  </w:abstractNum>
  <w:abstractNum w:abstractNumId="1">
    <w:nsid w:val="628C895D"/>
    <w:multiLevelType w:val="hybridMultilevel"/>
    <w:lvl w:ilvl="0">
      <w:lvlJc w:val="left"/>
      <w:lvlText w:val="%1."/>
      <w:numFmt w:val="decimal"/>
      <w:start w:val="1"/>
    </w:lvl>
  </w:abstractNum>
  <w:abstractNum w:abstractNumId="2">
    <w:nsid w:val="333AB105"/>
    <w:multiLevelType w:val="hybridMultilevel"/>
    <w:lvl w:ilvl="0">
      <w:lvlJc w:val="left"/>
      <w:lvlText w:val="%1."/>
      <w:numFmt w:val="decimal"/>
      <w:start w:val="2"/>
    </w:lvl>
  </w:abstractNum>
  <w:abstractNum w:abstractNumId="3">
    <w:nsid w:val="721DA317"/>
    <w:multiLevelType w:val="hybridMultilevel"/>
    <w:lvl w:ilvl="0">
      <w:lvlJc w:val="left"/>
      <w:lvlText w:val="%1."/>
      <w:numFmt w:val="decimal"/>
      <w:start w:val="3"/>
    </w:lvl>
  </w:abstractNum>
  <w:abstractNum w:abstractNumId="4">
    <w:nsid w:val="2443A858"/>
    <w:multiLevelType w:val="hybridMultilevel"/>
    <w:lvl w:ilvl="0">
      <w:lvlJc w:val="left"/>
      <w:lvlText w:val="%1."/>
      <w:numFmt w:val="decimal"/>
      <w:start w:val="4"/>
    </w:lvl>
  </w:abstractNum>
  <w:abstractNum w:abstractNumId="5">
    <w:nsid w:val="2D1D5AE9"/>
    <w:multiLevelType w:val="hybridMultilevel"/>
    <w:lvl w:ilvl="0">
      <w:lvlJc w:val="left"/>
      <w:lvlText w:val="%1."/>
      <w:numFmt w:val="decimal"/>
      <w:start w:val="5"/>
    </w:lvl>
  </w:abstractNum>
  <w:abstractNum w:abstractNumId="6">
    <w:nsid w:val="6763845E"/>
    <w:multiLevelType w:val="hybridMultilevel"/>
    <w:lvl w:ilvl="0">
      <w:lvlJc w:val="left"/>
      <w:lvlText w:val="(%1)"/>
      <w:numFmt w:val="lowerRoman"/>
      <w:start w:val="1"/>
    </w:lvl>
  </w:abstractNum>
  <w:abstractNum w:abstractNumId="7">
    <w:nsid w:val="75A2A8D4"/>
    <w:multiLevelType w:val="hybridMultilevel"/>
    <w:lvl w:ilvl="0">
      <w:lvlJc w:val="left"/>
      <w:lvlText w:val="(%1)"/>
      <w:numFmt w:val="lowerLetter"/>
      <w:start w:val="1"/>
    </w:lvl>
    <w:lvl w:ilvl="1">
      <w:lvlJc w:val="left"/>
      <w:lvlText w:val="(%2)"/>
      <w:numFmt w:val="lowerRoman"/>
      <w:start w:val="1"/>
    </w:lvl>
  </w:abstractNum>
  <w:abstractNum w:abstractNumId="8">
    <w:nsid w:val="8EDBDAB"/>
    <w:multiLevelType w:val="hybridMultilevel"/>
    <w:lvl w:ilvl="0">
      <w:lvlJc w:val="left"/>
      <w:lvlText w:val="%1"/>
      <w:numFmt w:val="lowerLetter"/>
      <w:start w:val="1"/>
    </w:lvl>
    <w:lvl w:ilvl="1">
      <w:lvlJc w:val="left"/>
      <w:lvlText w:val="(%2)"/>
      <w:numFmt w:val="lowerRoman"/>
      <w:start w:val="6"/>
    </w:lvl>
  </w:abstractNum>
  <w:abstractNum w:abstractNumId="9">
    <w:nsid w:val="79838CB2"/>
    <w:multiLevelType w:val="hybridMultilevel"/>
    <w:lvl w:ilvl="0">
      <w:lvlJc w:val="left"/>
      <w:lvlText w:val="(%1)"/>
      <w:numFmt w:val="lowerLetter"/>
      <w:start w:val="2"/>
    </w:lvl>
    <w:lvl w:ilvl="1">
      <w:lvlJc w:val="left"/>
      <w:lvlText w:val="(%2)"/>
      <w:numFmt w:val="lowerRoman"/>
      <w:start w:val="1"/>
    </w:lvl>
  </w:abstractNum>
  <w:abstractNum w:abstractNumId="10">
    <w:nsid w:val="4353D0CD"/>
    <w:multiLevelType w:val="hybridMultilevel"/>
    <w:lvl w:ilvl="0">
      <w:lvlJc w:val="left"/>
      <w:lvlText w:val="(%1)"/>
      <w:numFmt w:val="lowerLetter"/>
      <w:start w:val="1"/>
    </w:lvl>
    <w:lvl w:ilvl="1">
      <w:lvlJc w:val="left"/>
      <w:lvlText w:val="(%2)"/>
      <w:numFmt w:val="lowerRoman"/>
      <w:start w:val="1"/>
    </w:lvl>
  </w:abstractNum>
  <w:abstractNum w:abstractNumId="11">
    <w:nsid w:val="B03E0C6"/>
    <w:multiLevelType w:val="hybridMultilevel"/>
    <w:lvl w:ilvl="0">
      <w:lvlJc w:val="left"/>
      <w:lvlText w:val="(%1)"/>
      <w:numFmt w:val="lowerRoman"/>
      <w:start w:val="1"/>
    </w:lvl>
  </w:abstractNum>
  <w:abstractNum w:abstractNumId="12">
    <w:nsid w:val="189A769B"/>
    <w:multiLevelType w:val="hybridMultilevel"/>
    <w:lvl w:ilvl="0">
      <w:lvlJc w:val="left"/>
      <w:lvlText w:val="(%1)"/>
      <w:numFmt w:val="lowerRoman"/>
      <w:start w:val="2"/>
    </w:lvl>
  </w:abstractNum>
  <w:abstractNum w:abstractNumId="13">
    <w:nsid w:val="54E49EB4"/>
    <w:multiLevelType w:val="hybridMultilevel"/>
    <w:lvl w:ilvl="0">
      <w:lvlJc w:val="left"/>
      <w:lvlText w:val="(%1)"/>
      <w:numFmt w:val="lowerLetter"/>
      <w:start w:val="1"/>
    </w:lvl>
  </w:abstractNum>
  <w:abstractNum w:abstractNumId="14">
    <w:nsid w:val="71F32454"/>
    <w:multiLevelType w:val="hybridMultilevel"/>
    <w:lvl w:ilvl="0">
      <w:lvlJc w:val="left"/>
      <w:lvlText w:val="(%1)"/>
      <w:numFmt w:val="lowerLetter"/>
      <w:start w:val="2"/>
    </w:lvl>
  </w:abstractNum>
  <w:abstractNum w:abstractNumId="15">
    <w:nsid w:val="2CA88611"/>
    <w:multiLevelType w:val="hybridMultilevel"/>
    <w:lvl w:ilvl="0">
      <w:lvlJc w:val="left"/>
      <w:lvlText w:val="%1"/>
      <w:numFmt w:val="lowerLetter"/>
      <w:start w:val="1"/>
    </w:lvl>
    <w:lvl w:ilvl="1">
      <w:lvlJc w:val="left"/>
      <w:lvlText w:val="(%2)"/>
      <w:numFmt w:val="lowerLetter"/>
      <w:start w:val="4"/>
    </w:lvl>
  </w:abstractNum>
  <w:abstractNum w:abstractNumId="16">
    <w:nsid w:val="836C40E"/>
    <w:multiLevelType w:val="hybridMultilevel"/>
    <w:lvl w:ilvl="0">
      <w:lvlJc w:val="left"/>
      <w:lvlText w:val="(%1)"/>
      <w:numFmt w:val="lowerLetter"/>
      <w:start w:val="22"/>
    </w:lvl>
    <w:lvl w:ilvl="1">
      <w:lvlJc w:val="left"/>
      <w:lvlText w:val="(%2)"/>
      <w:numFmt w:val="lowerLetter"/>
      <w:start w:val="6"/>
    </w:lvl>
  </w:abstractNum>
  <w:abstractNum w:abstractNumId="17">
    <w:nsid w:val="2901D82"/>
    <w:multiLevelType w:val="hybridMultilevel"/>
    <w:lvl w:ilvl="0">
      <w:lvlJc w:val="left"/>
      <w:lvlText w:val="(%1)"/>
      <w:numFmt w:val="lowerLetter"/>
      <w:start w:val="7"/>
    </w:lvl>
  </w:abstractNum>
  <w:abstractNum w:abstractNumId="18">
    <w:nsid w:val="3A95F874"/>
    <w:multiLevelType w:val="hybridMultilevel"/>
    <w:lvl w:ilvl="0">
      <w:lvlJc w:val="left"/>
      <w:lvlText w:val="(%1)"/>
      <w:numFmt w:val="lowerLetter"/>
      <w:start w:val="9"/>
    </w:lvl>
  </w:abstractNum>
  <w:abstractNum w:abstractNumId="19">
    <w:nsid w:val="8138641"/>
    <w:multiLevelType w:val="hybridMultilevel"/>
    <w:lvl w:ilvl="0">
      <w:lvlJc w:val="left"/>
      <w:lvlText w:val="(%1)"/>
      <w:numFmt w:val="lowerLetter"/>
      <w:start w:val="11"/>
    </w:lvl>
  </w:abstractNum>
  <w:abstractNum w:abstractNumId="20">
    <w:nsid w:val="1E7FF521"/>
    <w:multiLevelType w:val="hybridMultilevel"/>
    <w:lvl w:ilvl="0">
      <w:lvlJc w:val="left"/>
      <w:lvlText w:val="(%1)"/>
      <w:numFmt w:val="lowerLetter"/>
      <w:start w:val="14"/>
    </w:lvl>
  </w:abstractNum>
  <w:abstractNum w:abstractNumId="21">
    <w:nsid w:val="7C3DBD3D"/>
    <w:multiLevelType w:val="hybridMultilevel"/>
    <w:lvl w:ilvl="0">
      <w:lvlJc w:val="left"/>
      <w:lvlText w:val="(%1)"/>
      <w:numFmt w:val="lowerLetter"/>
      <w:start w:val="17"/>
    </w:lvl>
  </w:abstractNum>
  <w:abstractNum w:abstractNumId="22">
    <w:nsid w:val="737B8DDC"/>
    <w:multiLevelType w:val="hybridMultilevel"/>
    <w:lvl w:ilvl="0">
      <w:lvlJc w:val="left"/>
      <w:lvlText w:val="(%1)"/>
      <w:numFmt w:val="lowerLetter"/>
      <w:start w:val="20"/>
    </w:lvl>
  </w:abstractNum>
  <w:abstractNum w:abstractNumId="23">
    <w:nsid w:val="6CEAF087"/>
    <w:multiLevelType w:val="hybridMultilevel"/>
    <w:lvl w:ilvl="0">
      <w:lvlJc w:val="left"/>
      <w:lvlText w:val="(%1)"/>
      <w:numFmt w:val="lowerLetter"/>
      <w:start w:val="24"/>
    </w:lvl>
  </w:abstractNum>
  <w:abstractNum w:abstractNumId="24">
    <w:nsid w:val="22221A70"/>
    <w:multiLevelType w:val="hybridMultilevel"/>
    <w:lvl w:ilvl="0">
      <w:lvlJc w:val="left"/>
      <w:lvlText w:val="(%1)"/>
      <w:numFmt w:val="lowerLetter"/>
      <w:start w:val="27"/>
    </w:lvl>
  </w:abstractNum>
  <w:abstractNum w:abstractNumId="25">
    <w:nsid w:val="4516DDE9"/>
    <w:multiLevelType w:val="hybridMultilevel"/>
    <w:lvl w:ilvl="0">
      <w:lvlJc w:val="left"/>
      <w:lvlText w:val="(%1)"/>
      <w:numFmt w:val="lowerLetter"/>
      <w:start w:val="30"/>
    </w:lvl>
  </w:abstractNum>
  <w:abstractNum w:abstractNumId="26">
    <w:nsid w:val="3006C83E"/>
    <w:multiLevelType w:val="hybridMultilevel"/>
    <w:lvl w:ilvl="0">
      <w:lvlJc w:val="left"/>
      <w:lvlText w:val="%1"/>
      <w:numFmt w:val="lowerLetter"/>
      <w:start w:val="1"/>
    </w:lvl>
    <w:lvl w:ilvl="1">
      <w:lvlJc w:val="left"/>
      <w:lvlText w:val="(%2)"/>
      <w:numFmt w:val="lowerLetter"/>
      <w:start w:val="33"/>
    </w:lvl>
  </w:abstractNum>
  <w:abstractNum w:abstractNumId="27">
    <w:nsid w:val="614FD4A1"/>
    <w:multiLevelType w:val="hybridMultilevel"/>
    <w:lvl w:ilvl="0">
      <w:lvlJc w:val="left"/>
      <w:lvlText w:val="(%1)"/>
      <w:numFmt w:val="lowerLetter"/>
      <w:start w:val="61"/>
    </w:lvl>
    <w:lvl w:ilvl="1">
      <w:lvlJc w:val="left"/>
      <w:lvlText w:val="(%2)"/>
      <w:numFmt w:val="lowerLetter"/>
      <w:start w:val="34"/>
    </w:lvl>
  </w:abstractNum>
  <w:abstractNum w:abstractNumId="28">
    <w:nsid w:val="419AC241"/>
    <w:multiLevelType w:val="hybridMultilevel"/>
    <w:lvl w:ilvl="0">
      <w:lvlJc w:val="left"/>
      <w:lvlText w:val="%1"/>
      <w:numFmt w:val="lowerRoman"/>
      <w:start w:val="1"/>
    </w:lvl>
    <w:lvl w:ilvl="1">
      <w:lvlJc w:val="left"/>
      <w:lvlText w:val="(%2)"/>
      <w:numFmt w:val="lowerLetter"/>
      <w:start w:val="35"/>
    </w:lvl>
  </w:abstractNum>
  <w:abstractNum w:abstractNumId="29">
    <w:nsid w:val="5577F8E1"/>
    <w:multiLevelType w:val="hybridMultilevel"/>
    <w:lvl w:ilvl="0">
      <w:lvlJc w:val="left"/>
      <w:lvlText w:val="(%1)"/>
      <w:numFmt w:val="lowerRoman"/>
      <w:start w:val="4"/>
    </w:lvl>
    <w:lvl w:ilvl="1">
      <w:lvlJc w:val="left"/>
      <w:lvlText w:val="%2"/>
      <w:numFmt w:val="lowerLetter"/>
      <w:start w:val="1"/>
    </w:lvl>
  </w:abstractNum>
  <w:abstractNum w:abstractNumId="30">
    <w:nsid w:val="440BADFC"/>
    <w:multiLevelType w:val="hybridMultilevel"/>
    <w:lvl w:ilvl="0">
      <w:lvlJc w:val="left"/>
      <w:lvlText w:val="(%1)"/>
      <w:numFmt w:val="lowerRoman"/>
      <w:start w:val="2"/>
    </w:lvl>
    <w:lvl w:ilvl="1">
      <w:lvlJc w:val="left"/>
      <w:lvlText w:val="%2"/>
      <w:numFmt w:val="lowerLetter"/>
      <w:start w:val="1"/>
    </w:lvl>
  </w:abstractNum>
  <w:abstractNum w:abstractNumId="31">
    <w:nsid w:val="5072367"/>
    <w:multiLevelType w:val="hybridMultilevel"/>
    <w:lvl w:ilvl="0">
      <w:lvlJc w:val="left"/>
      <w:lvlText w:val="(%1)"/>
      <w:numFmt w:val="lowerLetter"/>
      <w:start w:val="37"/>
    </w:lvl>
  </w:abstractNum>
  <w:abstractNum w:abstractNumId="32">
    <w:nsid w:val="3804823E"/>
    <w:multiLevelType w:val="hybridMultilevel"/>
    <w:lvl w:ilvl="0">
      <w:lvlJc w:val="left"/>
      <w:lvlText w:val="(%1)"/>
      <w:numFmt w:val="lowerLetter"/>
      <w:start w:val="42"/>
    </w:lvl>
  </w:abstractNum>
  <w:abstractNum w:abstractNumId="33">
    <w:nsid w:val="77465F01"/>
    <w:multiLevelType w:val="hybridMultilevel"/>
    <w:lvl w:ilvl="0">
      <w:lvlJc w:val="left"/>
      <w:lvlText w:val="(%1)"/>
      <w:numFmt w:val="lowerLetter"/>
      <w:start w:val="1"/>
    </w:lvl>
  </w:abstractNum>
  <w:abstractNum w:abstractNumId="34">
    <w:nsid w:val="7724C67E"/>
    <w:multiLevelType w:val="hybridMultilevel"/>
    <w:lvl w:ilvl="0">
      <w:lvlJc w:val="left"/>
      <w:lvlText w:val="(%1)"/>
      <w:numFmt w:val="lowerLetter"/>
      <w:start w:val="2"/>
    </w:lvl>
  </w:abstractNum>
  <w:abstractNum w:abstractNumId="35">
    <w:nsid w:val="5C482A97"/>
    <w:multiLevelType w:val="hybridMultilevel"/>
    <w:lvl w:ilvl="0">
      <w:lvlJc w:val="left"/>
      <w:lvlText w:val="(%1)"/>
      <w:numFmt w:val="lowerLetter"/>
      <w:start w:val="6"/>
    </w:lvl>
  </w:abstractNum>
  <w:abstractNum w:abstractNumId="36">
    <w:nsid w:val="2463B9EA"/>
    <w:multiLevelType w:val="hybridMultilevel"/>
    <w:lvl w:ilvl="0">
      <w:lvlJc w:val="left"/>
      <w:lvlText w:val="(%1)"/>
      <w:numFmt w:val="lowerLetter"/>
      <w:start w:val="1"/>
    </w:lvl>
  </w:abstractNum>
  <w:abstractNum w:abstractNumId="37">
    <w:nsid w:val="5E884ADC"/>
    <w:multiLevelType w:val="hybridMultilevel"/>
    <w:lvl w:ilvl="0">
      <w:lvlJc w:val="left"/>
      <w:lvlText w:val="%1"/>
      <w:numFmt w:val="upperLetter"/>
      <w:start w:val="1"/>
    </w:lvl>
    <w:lvl w:ilvl="1">
      <w:lvlJc w:val="left"/>
      <w:lvlText w:val="(%2)"/>
      <w:numFmt w:val="lowerLetter"/>
      <w:start w:val="2"/>
    </w:lvl>
  </w:abstractNum>
  <w:abstractNum w:abstractNumId="38">
    <w:nsid w:val="51EAD36B"/>
    <w:multiLevelType w:val="hybridMultilevel"/>
    <w:lvl w:ilvl="0">
      <w:lvlJc w:val="left"/>
      <w:lvlText w:val="(%1)"/>
      <w:numFmt w:val="upperLetter"/>
      <w:start w:val="2"/>
    </w:lvl>
    <w:lvl w:ilvl="1">
      <w:lvlJc w:val="left"/>
      <w:lvlText w:val="(%2)"/>
      <w:numFmt w:val="lowerLetter"/>
      <w:start w:val="3"/>
    </w:lvl>
  </w:abstractNum>
  <w:abstractNum w:abstractNumId="39">
    <w:nsid w:val="2D517796"/>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2025-10-28T05:23:45Z</dcterms:created>
  <dcterms:modified xsi:type="dcterms:W3CDTF">2025-10-28T05:23:45Z</dcterms:modified>
</cp:coreProperties>
</file>