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br/>
        <w:t>Registration No. 333-271901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May 24,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6705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67050" cy="695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Up to $16,362,816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American Depositary Shares</w:t>
        <w:br/>
        <w:t>Representing Ordinary Shares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ATM Sales Agreement (the “Sales Agreement”), with Capital One Securities, Inc. (“Capital One Securities”) and Virtu Americas LLC (“Virtu” and, together with Capital One Securities, each a “Sales Agent” and, collectively, the “Sales Agents”), dated April 26, 2024, relating to the sale of American depositary shares (“ADSs”), each representing one of our ordinary shares, no par value, offered by this prospectus supplement and the accompanying prospectus. In accordance with the terms of the Sales Agreement, under this prospectus supplement, we may offer and sell ADSs having an aggregate offering price of up to $16,362,816 from time to time through or to the Sales Agents, acting as our sales agents or principals.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ADSs, if any, under this prospectus supplement and the accompanying prospectus, may be made by any method that is deemed to be an “at the market offering” as defined in Rule 415(a)(4) under the Securities Act of 1933, as amended (the “Securities Act”). The Sales Agents are not required to sell any specific number or dollar amount of ADSs but will act as our sales agents and use commercially reasonable efforts consistent with their normal trading and sales practices, on mutually agreed terms between the Sales Agents and us.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will receive from us a commission of up to 3.0% of the gross proceeds of any ADSs sold through them under the Sales Agreement. In connection with the sale of ADSs on our behalf, each of the Sales Agents will be deemed to be an “underwriter” within the meaning of the Securities Act and the compensation of the Sales Agents may be deemed to be underwriting commissions or discounts. We have also agreed to provide indemnification and contribution to the Sales Agents with respect to certain liabilities, including liabilities under the Securities Act. For additional information, see “Plan of Distribution” beginning on page S-12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Capital Market (“Nasdaq”) under the symbol “GNTA.” The last reported sale price of the ADSs on the Nasdaq on April 24, 2024 was $2.55 per ADS. The trading price of the ADSs has fluctuated and is likely to continue to fluctuate due to a variety of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the aggregate market value of our outstanding ordinary shares held by non-affiliates, or “public float,” was approximately $49.1 million, based on 18,216,958 of our ordinary shares outstanding, of which approximately 11,156,466 shares were held by non-affiliates, and a per share price of $4.40, which was the last reported sale price of the ADSs on the Nasdaq on February 29, 2024 (the highest last reported sale price of the ADSs on the Nasdaq, the principal market for our common equity, in the 60 days prior to the date of this prospectus supplement). We have not offered any securities pursuant to General Instruction I.B.5 of Form F-3 during the prior 12 calendar month period that ends on and includes the date of this prospectus supplement. Pursuant to General Instruction I.B.5 of Form F-3, in no event will we sell securities registered on the registration statement of which this prospectus supplement forms a part in a public primary offering with a value exceeding more than one-third of our public float in any 12-month period so long as our public float remains below $75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w:t>
      </w:r>
      <w:hyperlink w:anchor="SL_004">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S-4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of this prospectus supplement, as well as the section entitled “Item 3. Key Information—D. Risk Factors” beginning on page 3 of our Annual Report on Form 20-F for the year ended December 31, 2023, as amended, which report is incorporated by reference in this prospectus supplement, before investing in our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0" w:right="0" w:hanging="0"/>
        <w:jc w:val="both"/>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3015"/>
        <w:gridCol w:w="3015"/>
      </w:tblGrid>
      <w:tr>
        <w:trPr/>
        <w:tc>
          <w:tcPr>
            <w:tcW w:w="301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9050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600075"/>
                          </a:xfrm>
                          <a:prstGeom prst="rect">
                            <a:avLst/>
                          </a:prstGeom>
                        </pic:spPr>
                      </pic:pic>
                    </a:graphicData>
                  </a:graphic>
                </wp:inline>
              </w:drawing>
            </w:r>
          </w:p>
        </w:tc>
        <w:tc>
          <w:tcPr>
            <w:tcW w:w="301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90500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0" cy="600075"/>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supplement is April 26, 2024.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center"/>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4370"/>
        <w:gridCol w:w="455"/>
      </w:tblGrid>
      <w:tr>
        <w:trPr/>
        <w:tc>
          <w:tcPr>
            <w:tcW w:w="437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37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70" w:type="dxa"/>
            <w:tcBorders/>
            <w:shd w:fill="CCEEFF" w:val="clear"/>
            <w:vAlign w:val="center"/>
          </w:tcPr>
          <w:p>
            <w:pPr>
              <w:pStyle w:val="TableContents"/>
              <w:bidi w:val="0"/>
              <w:spacing w:before="0" w:after="283"/>
              <w:jc w:val="left"/>
              <w:rPr/>
            </w:pPr>
            <w:hyperlink w:anchor="SL_001">
              <w:r>
                <w:rPr>
                  <w:rStyle w:val="InternetLink"/>
                  <w:rFonts w:ascii="Times New Roman;Times;Serif" w:hAnsi="Times New Roman;Times;Serif"/>
                  <w:b w:val="false"/>
                  <w:i w:val="false"/>
                  <w:caps w:val="false"/>
                  <w:smallCaps w:val="false"/>
                  <w:sz w:val="20"/>
                </w:rPr>
                <w:t>About this Prospectus Supplement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4370" w:type="dxa"/>
            <w:tcBorders/>
            <w:shd w:fill="FFFFFF" w:val="clear"/>
            <w:vAlign w:val="center"/>
          </w:tcPr>
          <w:p>
            <w:pPr>
              <w:pStyle w:val="TableContents"/>
              <w:bidi w:val="0"/>
              <w:spacing w:before="0" w:after="0"/>
              <w:jc w:val="left"/>
              <w:rPr/>
            </w:pPr>
            <w:hyperlink w:anchor="SL_002">
              <w:r>
                <w:rPr>
                  <w:rStyle w:val="InternetLink"/>
                  <w:rFonts w:ascii="Times New Roman;Times;Serif" w:hAnsi="Times New Roman;Times;Serif"/>
                  <w:b w:val="false"/>
                  <w:i w:val="false"/>
                  <w:caps w:val="false"/>
                  <w:smallCaps w:val="false"/>
                  <w:sz w:val="20"/>
                </w:rPr>
                <w:t>Prospectus Supplement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4370" w:type="dxa"/>
            <w:tcBorders/>
            <w:shd w:fill="CCEEFF" w:val="clear"/>
            <w:vAlign w:val="center"/>
          </w:tcPr>
          <w:p>
            <w:pPr>
              <w:pStyle w:val="TableContents"/>
              <w:bidi w:val="0"/>
              <w:spacing w:before="0" w:after="283"/>
              <w:jc w:val="left"/>
              <w:rPr/>
            </w:pPr>
            <w:hyperlink w:anchor="SL_003">
              <w:r>
                <w:rPr>
                  <w:rStyle w:val="InternetLink"/>
                  <w:rFonts w:ascii="Times New Roman;Times;Serif" w:hAnsi="Times New Roman;Times;Serif"/>
                  <w:b w:val="false"/>
                  <w:i w:val="false"/>
                  <w:caps w:val="false"/>
                  <w:smallCaps w:val="false"/>
                  <w:sz w:val="20"/>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4370" w:type="dxa"/>
            <w:tcBorders/>
            <w:shd w:fill="FFFFFF" w:val="clear"/>
            <w:vAlign w:val="center"/>
          </w:tcPr>
          <w:p>
            <w:pPr>
              <w:pStyle w:val="TableContents"/>
              <w:bidi w:val="0"/>
              <w:spacing w:before="0" w:after="283"/>
              <w:jc w:val="left"/>
              <w:rPr/>
            </w:pPr>
            <w:hyperlink w:anchor="SL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r>
      <w:tr>
        <w:trPr/>
        <w:tc>
          <w:tcPr>
            <w:tcW w:w="4370" w:type="dxa"/>
            <w:tcBorders/>
            <w:shd w:fill="CCEEFF" w:val="clear"/>
            <w:vAlign w:val="center"/>
          </w:tcPr>
          <w:p>
            <w:pPr>
              <w:pStyle w:val="TableContents"/>
              <w:bidi w:val="0"/>
              <w:spacing w:before="0" w:after="283"/>
              <w:jc w:val="left"/>
              <w:rPr/>
            </w:pPr>
            <w:hyperlink w:anchor="SL_005">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4370" w:type="dxa"/>
            <w:tcBorders/>
            <w:shd w:fill="FFFFFF" w:val="clear"/>
            <w:vAlign w:val="center"/>
          </w:tcPr>
          <w:p>
            <w:pPr>
              <w:pStyle w:val="TableContents"/>
              <w:bidi w:val="0"/>
              <w:spacing w:before="0" w:after="283"/>
              <w:jc w:val="left"/>
              <w:rPr/>
            </w:pPr>
            <w:hyperlink w:anchor="SL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S-8</w:t>
            </w:r>
          </w:p>
        </w:tc>
      </w:tr>
      <w:tr>
        <w:trPr/>
        <w:tc>
          <w:tcPr>
            <w:tcW w:w="4370" w:type="dxa"/>
            <w:tcBorders/>
            <w:shd w:fill="CCEEFF" w:val="clear"/>
            <w:vAlign w:val="center"/>
          </w:tcPr>
          <w:p>
            <w:pPr>
              <w:pStyle w:val="TableContents"/>
              <w:bidi w:val="0"/>
              <w:spacing w:before="0" w:after="283"/>
              <w:jc w:val="left"/>
              <w:rPr/>
            </w:pPr>
            <w:hyperlink w:anchor="SL_007">
              <w:r>
                <w:rPr>
                  <w:rStyle w:val="InternetLink"/>
                  <w:rFonts w:ascii="Times New Roman;Times;Serif" w:hAnsi="Times New Roman;Times;Serif"/>
                  <w:b w:val="false"/>
                  <w:i w:val="false"/>
                  <w:caps w:val="false"/>
                  <w:smallCaps w:val="false"/>
                  <w:sz w:val="20"/>
                </w:rPr>
                <w:t>Dividend Policy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4370" w:type="dxa"/>
            <w:tcBorders/>
            <w:shd w:fill="FFFFFF" w:val="clear"/>
            <w:vAlign w:val="center"/>
          </w:tcPr>
          <w:p>
            <w:pPr>
              <w:pStyle w:val="TableContents"/>
              <w:bidi w:val="0"/>
              <w:spacing w:before="0" w:after="0"/>
              <w:jc w:val="left"/>
              <w:rPr/>
            </w:pPr>
            <w:hyperlink w:anchor="SL_008">
              <w:r>
                <w:rPr>
                  <w:rStyle w:val="InternetLink"/>
                  <w:rFonts w:ascii="Times New Roman;Times;Serif" w:hAnsi="Times New Roman;Times;Serif"/>
                  <w:b w:val="false"/>
                  <w:i w:val="false"/>
                  <w:caps w:val="false"/>
                  <w:smallCaps w:val="false"/>
                  <w:sz w:val="20"/>
                </w:rPr>
                <w:t>Dilution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4370" w:type="dxa"/>
            <w:tcBorders/>
            <w:shd w:fill="CCEEFF" w:val="clear"/>
            <w:vAlign w:val="center"/>
          </w:tcPr>
          <w:p>
            <w:pPr>
              <w:pStyle w:val="TableContents"/>
              <w:bidi w:val="0"/>
              <w:spacing w:before="0" w:after="283"/>
              <w:jc w:val="left"/>
              <w:rPr/>
            </w:pPr>
            <w:hyperlink w:anchor="SL_009">
              <w:r>
                <w:rPr>
                  <w:rStyle w:val="InternetLink"/>
                  <w:rFonts w:ascii="Times New Roman;Times;Serif" w:hAnsi="Times New Roman;Times;Serif"/>
                  <w:b w:val="false"/>
                  <w:i w:val="false"/>
                  <w:caps w:val="false"/>
                  <w:smallCaps w:val="false"/>
                  <w:sz w:val="20"/>
                </w:rPr>
                <w:t>Taxation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4370" w:type="dxa"/>
            <w:tcBorders/>
            <w:shd w:fill="FFFFFF" w:val="clear"/>
            <w:vAlign w:val="center"/>
          </w:tcPr>
          <w:p>
            <w:pPr>
              <w:pStyle w:val="TableContents"/>
              <w:bidi w:val="0"/>
              <w:spacing w:before="0" w:after="283"/>
              <w:jc w:val="left"/>
              <w:rPr/>
            </w:pPr>
            <w:hyperlink w:anchor="SL_010">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r>
        <w:trPr/>
        <w:tc>
          <w:tcPr>
            <w:tcW w:w="4370" w:type="dxa"/>
            <w:tcBorders/>
            <w:shd w:fill="CCEEFF" w:val="clear"/>
            <w:vAlign w:val="center"/>
          </w:tcPr>
          <w:p>
            <w:pPr>
              <w:pStyle w:val="TableContents"/>
              <w:bidi w:val="0"/>
              <w:spacing w:before="0" w:after="283"/>
              <w:jc w:val="left"/>
              <w:rPr/>
            </w:pPr>
            <w:hyperlink w:anchor="SL_011">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4370" w:type="dxa"/>
            <w:tcBorders/>
            <w:shd w:fill="FFFFFF" w:val="clear"/>
            <w:vAlign w:val="center"/>
          </w:tcPr>
          <w:p>
            <w:pPr>
              <w:pStyle w:val="TableContents"/>
              <w:bidi w:val="0"/>
              <w:spacing w:before="0" w:after="0"/>
              <w:jc w:val="left"/>
              <w:rPr/>
            </w:pPr>
            <w:hyperlink w:anchor="SL_012">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4370" w:type="dxa"/>
            <w:tcBorders/>
            <w:shd w:fill="CCEEFF" w:val="clear"/>
            <w:vAlign w:val="center"/>
          </w:tcPr>
          <w:p>
            <w:pPr>
              <w:pStyle w:val="TableContents"/>
              <w:bidi w:val="0"/>
              <w:spacing w:before="0" w:after="283"/>
              <w:jc w:val="left"/>
              <w:rPr/>
            </w:pPr>
            <w:hyperlink w:anchor="SL_013">
              <w:r>
                <w:rPr>
                  <w:rStyle w:val="InternetLink"/>
                  <w:rFonts w:ascii="Times New Roman;Times;Serif" w:hAnsi="Times New Roman;Times;Serif"/>
                  <w:b w:val="false"/>
                  <w:i w:val="false"/>
                  <w:caps w:val="false"/>
                  <w:smallCaps w:val="false"/>
                  <w:sz w:val="20"/>
                </w:rPr>
                <w:t>Expenses of 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4370" w:type="dxa"/>
            <w:tcBorders/>
            <w:shd w:fill="FFFFFF" w:val="clear"/>
            <w:vAlign w:val="center"/>
          </w:tcPr>
          <w:p>
            <w:pPr>
              <w:pStyle w:val="TableContents"/>
              <w:bidi w:val="0"/>
              <w:spacing w:before="0" w:after="283"/>
              <w:jc w:val="left"/>
              <w:rPr/>
            </w:pPr>
            <w:hyperlink w:anchor="SL_01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r>
        <w:trPr/>
        <w:tc>
          <w:tcPr>
            <w:tcW w:w="4370" w:type="dxa"/>
            <w:tcBorders/>
            <w:shd w:fill="CCEEFF" w:val="clear"/>
            <w:vAlign w:val="center"/>
          </w:tcPr>
          <w:p>
            <w:pPr>
              <w:pStyle w:val="TableContents"/>
              <w:bidi w:val="0"/>
              <w:spacing w:before="0" w:after="283"/>
              <w:jc w:val="left"/>
              <w:rPr/>
            </w:pPr>
            <w:hyperlink w:anchor="SL_015">
              <w:r>
                <w:rPr>
                  <w:rStyle w:val="InternetLink"/>
                  <w:rFonts w:ascii="Times New Roman;Times;Serif" w:hAnsi="Times New Roman;Times;Serif"/>
                  <w:b w:val="false"/>
                  <w:i w:val="false"/>
                  <w:caps w:val="false"/>
                  <w:smallCaps w:val="false"/>
                  <w:sz w:val="20"/>
                </w:rPr>
                <w:t>Incorporation of Information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4550"/>
        <w:gridCol w:w="455"/>
      </w:tblGrid>
      <w:tr>
        <w:trPr/>
        <w:tc>
          <w:tcPr>
            <w:tcW w:w="45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550" w:type="dxa"/>
            <w:tcBorders/>
            <w:shd w:fill="CCEEFF" w:val="clear"/>
            <w:vAlign w:val="center"/>
          </w:tcPr>
          <w:p>
            <w:pPr>
              <w:pStyle w:val="TableContents"/>
              <w:bidi w:val="0"/>
              <w:spacing w:before="0" w:after="283"/>
              <w:jc w:val="left"/>
              <w:rPr/>
            </w:pPr>
            <w:hyperlink w:anchor="toc1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550" w:type="dxa"/>
            <w:tcBorders/>
            <w:shd w:fill="FFFFFF" w:val="clear"/>
            <w:vAlign w:val="center"/>
          </w:tcPr>
          <w:p>
            <w:pPr>
              <w:pStyle w:val="TableContents"/>
              <w:bidi w:val="0"/>
              <w:spacing w:before="0" w:after="283"/>
              <w:jc w:val="left"/>
              <w:rPr/>
            </w:pPr>
            <w:hyperlink w:anchor="toc1_002">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4550" w:type="dxa"/>
            <w:tcBorders/>
            <w:shd w:fill="CCEEFF" w:val="clear"/>
            <w:vAlign w:val="center"/>
          </w:tcPr>
          <w:p>
            <w:pPr>
              <w:pStyle w:val="TableContents"/>
              <w:bidi w:val="0"/>
              <w:spacing w:before="0" w:after="283"/>
              <w:jc w:val="left"/>
              <w:rPr/>
            </w:pPr>
            <w:hyperlink w:anchor="toc1_003">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550" w:type="dxa"/>
            <w:tcBorders/>
            <w:shd w:fill="FFFFFF" w:val="clear"/>
            <w:vAlign w:val="center"/>
          </w:tcPr>
          <w:p>
            <w:pPr>
              <w:pStyle w:val="TableContents"/>
              <w:bidi w:val="0"/>
              <w:spacing w:before="0" w:after="283"/>
              <w:jc w:val="left"/>
              <w:rPr/>
            </w:pPr>
            <w:hyperlink w:anchor="toc1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550" w:type="dxa"/>
            <w:tcBorders/>
            <w:shd w:fill="CCEEFF" w:val="clear"/>
            <w:vAlign w:val="center"/>
          </w:tcPr>
          <w:p>
            <w:pPr>
              <w:pStyle w:val="TableContents"/>
              <w:bidi w:val="0"/>
              <w:spacing w:before="0" w:after="283"/>
              <w:jc w:val="left"/>
              <w:rPr/>
            </w:pPr>
            <w:hyperlink w:anchor="toc1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550" w:type="dxa"/>
            <w:tcBorders/>
            <w:shd w:fill="FFFFFF" w:val="clear"/>
            <w:vAlign w:val="center"/>
          </w:tcPr>
          <w:p>
            <w:pPr>
              <w:pStyle w:val="TableContents"/>
              <w:bidi w:val="0"/>
              <w:spacing w:before="0" w:after="283"/>
              <w:jc w:val="left"/>
              <w:rPr/>
            </w:pPr>
            <w:hyperlink w:anchor="toc1_006">
              <w:r>
                <w:rPr>
                  <w:rStyle w:val="InternetLink"/>
                  <w:rFonts w:ascii="Times New Roman;Times;Serif" w:hAnsi="Times New Roman;Times;Serif"/>
                  <w:b w:val="false"/>
                  <w:i w:val="false"/>
                  <w:caps w:val="false"/>
                  <w:smallCaps w:val="false"/>
                  <w:sz w:val="20"/>
                </w:rPr>
                <w:t>Description of Share Capital and Governing Documents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550" w:type="dxa"/>
            <w:tcBorders/>
            <w:shd w:fill="CCEEFF" w:val="clear"/>
            <w:vAlign w:val="center"/>
          </w:tcPr>
          <w:p>
            <w:pPr>
              <w:pStyle w:val="TableContents"/>
              <w:bidi w:val="0"/>
              <w:spacing w:before="0" w:after="283"/>
              <w:jc w:val="left"/>
              <w:rPr/>
            </w:pPr>
            <w:hyperlink w:anchor="toc1_007">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550" w:type="dxa"/>
            <w:tcBorders/>
            <w:shd w:fill="FFFFFF" w:val="clear"/>
            <w:vAlign w:val="center"/>
          </w:tcPr>
          <w:p>
            <w:pPr>
              <w:pStyle w:val="TableContents"/>
              <w:bidi w:val="0"/>
              <w:spacing w:before="0" w:after="283"/>
              <w:jc w:val="left"/>
              <w:rPr/>
            </w:pPr>
            <w:hyperlink w:anchor="toc1_008">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4550" w:type="dxa"/>
            <w:tcBorders/>
            <w:shd w:fill="CCEEFF" w:val="clear"/>
            <w:vAlign w:val="center"/>
          </w:tcPr>
          <w:p>
            <w:pPr>
              <w:pStyle w:val="TableContents"/>
              <w:bidi w:val="0"/>
              <w:spacing w:before="0" w:after="283"/>
              <w:jc w:val="left"/>
              <w:rPr/>
            </w:pPr>
            <w:hyperlink w:anchor="toc1_009">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FFFFFF" w:val="clear"/>
            <w:vAlign w:val="center"/>
          </w:tcPr>
          <w:p>
            <w:pPr>
              <w:pStyle w:val="TableContents"/>
              <w:bidi w:val="0"/>
              <w:spacing w:before="0" w:after="283"/>
              <w:jc w:val="left"/>
              <w:rPr/>
            </w:pPr>
            <w:hyperlink w:anchor="toc1_010">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CCEEFF" w:val="clear"/>
            <w:vAlign w:val="center"/>
          </w:tcPr>
          <w:p>
            <w:pPr>
              <w:pStyle w:val="TableContents"/>
              <w:bidi w:val="0"/>
              <w:spacing w:before="0" w:after="283"/>
              <w:jc w:val="left"/>
              <w:rPr/>
            </w:pPr>
            <w:hyperlink w:anchor="toc1_011">
              <w:r>
                <w:rPr>
                  <w:rStyle w:val="InternetLink"/>
                  <w:rFonts w:ascii="Times New Roman;Times;Serif" w:hAnsi="Times New Roman;Times;Serif"/>
                  <w:b w:val="false"/>
                  <w:i w:val="false"/>
                  <w:caps w:val="false"/>
                  <w:smallCaps w:val="false"/>
                  <w:sz w:val="20"/>
                </w:rPr>
                <w:t>Expenses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FFFFFF" w:val="clear"/>
            <w:vAlign w:val="center"/>
          </w:tcPr>
          <w:p>
            <w:pPr>
              <w:pStyle w:val="TableContents"/>
              <w:bidi w:val="0"/>
              <w:spacing w:before="0" w:after="283"/>
              <w:jc w:val="left"/>
              <w:rPr/>
            </w:pPr>
            <w:hyperlink w:anchor="toc1_012">
              <w:r>
                <w:rPr>
                  <w:rStyle w:val="InternetLink"/>
                  <w:rFonts w:ascii="Times New Roman;Times;Serif" w:hAnsi="Times New Roman;Times;Serif"/>
                  <w:b w:val="false"/>
                  <w:i w:val="false"/>
                  <w:caps w:val="false"/>
                  <w:smallCaps w:val="false"/>
                  <w:sz w:val="20"/>
                </w:rPr>
                <w:t>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550" w:type="dxa"/>
            <w:tcBorders/>
            <w:shd w:fill="CCEEFF" w:val="clear"/>
            <w:vAlign w:val="center"/>
          </w:tcPr>
          <w:p>
            <w:pPr>
              <w:pStyle w:val="TableContents"/>
              <w:bidi w:val="0"/>
              <w:spacing w:before="0" w:after="283"/>
              <w:jc w:val="left"/>
              <w:rPr/>
            </w:pPr>
            <w:hyperlink w:anchor="toc1_01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550" w:type="dxa"/>
            <w:tcBorders/>
            <w:shd w:fill="FFFFFF" w:val="clear"/>
            <w:vAlign w:val="center"/>
          </w:tcPr>
          <w:p>
            <w:pPr>
              <w:pStyle w:val="TableContents"/>
              <w:bidi w:val="0"/>
              <w:spacing w:before="0" w:after="283"/>
              <w:jc w:val="left"/>
              <w:rPr/>
            </w:pPr>
            <w:hyperlink w:anchor="toc1_014">
              <w:r>
                <w:rPr>
                  <w:rStyle w:val="InternetLink"/>
                  <w:rFonts w:ascii="Times New Roman;Times;Serif" w:hAnsi="Times New Roman;Times;Serif"/>
                  <w:b w:val="false"/>
                  <w:i w:val="false"/>
                  <w:caps w:val="false"/>
                  <w:smallCaps w:val="false"/>
                  <w:sz w:val="20"/>
                </w:rPr>
                <w:t>Incorporation of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responsible for the information contained and incorporated by reference in this prospectus supplement, the accompanying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 </w:t>
      </w:r>
    </w:p>
    <w:p>
      <w:pPr>
        <w:pStyle w:val="TextBody"/>
        <w:bidi w:val="0"/>
        <w:spacing w:before="0" w:after="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S-i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SL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dated May 24, 2023 are part of a registration statement that we filed with the Securities and Exchange Commission (the “SEC”) using a “shelf” registration process. Under this shelf registration process, we may sell from time to time any combination of the securities described in the accompanying prospectus included in the shelf registration statement from time to time in one or more offerings up to a total aggregate offering price of $100,000,000. Under this prospectus supplement, we may from time to time sell ADSs having an aggregate offering price of up to $16,362,816, at prices and on terms to be determined by market conditions at the time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we mutually agreed with Cantor Fitzgerald &amp; Co. to terminate the Controlled Equity Offering</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Sales Agreement, dated May 12, 2023 (the “Cantor Sales Agreement”), and no additional offers will be made under the sales agreement prospectus relating to the Cantor Sales Agreement filed with the SEC on May 12, 2023 and included in the shelf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describes the specific terms of this offering of ADSs and also adds to and updates information contained in the accompanying prospectus and the documents incorporated by reference into this prospectus supplement and the accompanying prospectus. To the extent there is a conflict between the information contained in this prospectus supplement, on the one hand, and the information contained in the accompanying prospectus or any document incorporated by reference into this prospectus supplement or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ADSs that we are offering, we urge you to carefully read this prospectus supplement and the accompanying prospectus, and any free writing prospectus that we have authorized for use in connection with this offering, and the information incorporated by reference as described under the headings “Where You Can Find More Information” and “Incorporation of Information by Reference” in this prospectus supplement. These documents contain important information that you should consider when making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Sales Agents have authorized anyone to provide you with any information other than that contained or incorporated by reference in this prospectus supplement, the accompanying prospectus or any related free writing prospectus to which we have referred you. Neither we nor the Sales Agent take any responsibility for and can provide no assurance as to the reliability of, any other information others may give you. Neither we nor the Sales Agents are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and the accompanying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in their entirety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ADSs only in jurisdictions where offers and sales are permitted. The distribution of this prospectus supplement and the accompanying prospectus and the offering of ADSs in certain jurisdictions may be restricted by law. Persons outside the United States who come into possession of this prospectus supplement and the accompanying prospectus must inform themselves about, and observe any restrictions relating to, the offering of ADSs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supplement to “U.S. dollars” or “$” are to the legal currency of the United States and all references to “€” or “euro” are to the currency introduced at the start of the third stage of the European economic and monetary union pursuant to the treaty establishing the European Community,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included in this prospectus supplement have been rounded for ease of presentation. Percentage figures included in this prospectus supplement have not in all cases been calculated on the basis of such rounded figures but on the basis of such amounts prior to rounding. For this reason, percentage amounts in this prospectus supplement may vary slightly from those obtained by performing the same calculations using the figures in our consolidated financial statements. Certain other amounts that appear in this prospectus supplement may similarly not sum due to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throughout this prospectus supplement, the accompanying prospectus, and any related free-writing prospectus, the words “Genenta,” “we,” “us,” “our,” “the Company,” “our company” or similar references refer to Genenta Science S.p.A. and its subsidiaries.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bookmarkStart w:id="3" w:name="SL_002"/>
      <w:bookmarkEnd w:id="3"/>
      <w:r>
        <w:rPr>
          <w:rFonts w:ascii="Times New Roman;Times;Serif" w:hAnsi="Times New Roman;Times;Serif"/>
          <w:b/>
          <w:i w:val="false"/>
          <w:caps w:val="false"/>
          <w:smallCaps w:val="false"/>
          <w:sz w:val="20"/>
          <w:bdr w:val="single" w:sz="12" w:space="1" w:color="000000"/>
        </w:rPr>
        <w:t>PROSPECTUS SUPPLEMENT SUMMARY</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This summary highlights information contained in other parts of this prospectus supplement and the accompanying prospectus or incorporated by reference in this prospectus supplement and the accompanying prospectus from our Annual Report on Form 20-F for the year ended December 31, 2023, as amended, and our other filings with the SEC listed below under the heading “Incorporation of Information by Reference.” This summary may not contain all the information that you should consider before investing in the ADSs. You should read the entire prospectus supplement and the accompanying prospectus, and the information incorporated by reference in this prospectus supplement and the accompanying prospectus carefully, including “Risk Factors” and the financial data and related notes and other information incorporated by reference, before making an investment decision. See “Special Note Regarding Forward-Looking Statements.”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clinical-stage biotechnology company engaged in the development of hematopoietic stem cell gene therapies for the treatment of solid tumors. We have developed a novel biologic platform that involves the ex-vivo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Genenta was formed as an Italian limited liability company (società a responsabilità limitata) in 2014. In May 2021, our Board approved changing the legal form of our company under Italian law to a joint stock company (società per azioni), which was codified under Italian law in June 2021</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Via Olgettina No. 58, 20132 Milan, Italy. Our telephone number in Italy is +39.02.2643.6639. Our website address is www.genenta.com. The information contained on, or that can be accessed through, our website is not part of, and is not incorporated by reference into, this prospectus supplement or the accompanying prospectus. We have included our website address in this prospectus supplement solely as an inactive textual reference. Investors should not rely on any such information in deciding whether to purchase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Nasdaq Listing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ADSs, each representing one ordinary share of the Company, have been listed on the Nasdaq Capital Market under the symbol “GNTA” since December 2021.</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4" w:name="SL_003"/>
      <w:bookmarkEnd w:id="4"/>
      <w:r>
        <w:rPr>
          <w:rFonts w:ascii="Times New Roman;Times;Serif" w:hAnsi="Times New Roman;Times;Serif"/>
          <w:b/>
          <w:i w:val="false"/>
          <w:caps/>
          <w:sz w:val="20"/>
          <w:bdr w:val="single" w:sz="12" w:space="1" w:color="000000"/>
        </w:rPr>
        <w:t>The Offering</w:t>
      </w:r>
    </w:p>
    <w:p>
      <w:pPr>
        <w:pStyle w:val="TextBody"/>
        <w:bidi w:val="0"/>
        <w:spacing w:before="0" w:after="0"/>
        <w:jc w:val="center"/>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21"/>
        <w:gridCol w:w="8184"/>
      </w:tblGrid>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offered by us</w:t>
            </w:r>
          </w:p>
        </w:tc>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having an aggregate offering price of up to $16,362,816.</w:t>
            </w:r>
          </w:p>
        </w:tc>
      </w:tr>
      <w:tr>
        <w:trPr/>
        <w:tc>
          <w:tcPr>
            <w:tcW w:w="2021" w:type="dxa"/>
            <w:tcBorders/>
            <w:vAlign w:val="center"/>
          </w:tcPr>
          <w:p>
            <w:pPr>
              <w:pStyle w:val="TableContents"/>
              <w:bidi w:val="0"/>
              <w:spacing w:before="0" w:after="283"/>
              <w:jc w:val="left"/>
              <w:rPr>
                <w:caps w:val="false"/>
                <w:smallCaps w:val="false"/>
              </w:rPr>
            </w:pPr>
            <w:r>
              <w:rPr>
                <w:caps w:val="false"/>
                <w:smallCaps w:val="false"/>
              </w:rPr>
              <w:t> </w:t>
            </w:r>
          </w:p>
        </w:tc>
        <w:tc>
          <w:tcPr>
            <w:tcW w:w="81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to be outstanding immediately after this offering</w:t>
            </w:r>
          </w:p>
        </w:tc>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24,633,749 shares (as more fully described in the notes following this table), assuming sales of 6,416,791 ADSs in this offering at an assumed offering price of $2.55 per ADS, which was the last reported sale price of the ADSs on the Nasdaq on April 24, 2024. The actual number of ADSs issued will vary depending on the number of ADSs that are sold and the sales price under this offering.</w:t>
            </w:r>
          </w:p>
        </w:tc>
      </w:tr>
      <w:tr>
        <w:trPr/>
        <w:tc>
          <w:tcPr>
            <w:tcW w:w="2021" w:type="dxa"/>
            <w:tcBorders/>
            <w:vAlign w:val="center"/>
          </w:tcPr>
          <w:p>
            <w:pPr>
              <w:pStyle w:val="TableContents"/>
              <w:bidi w:val="0"/>
              <w:spacing w:before="0" w:after="283"/>
              <w:jc w:val="left"/>
              <w:rPr>
                <w:caps w:val="false"/>
                <w:smallCaps w:val="false"/>
              </w:rPr>
            </w:pPr>
            <w:r>
              <w:rPr>
                <w:caps w:val="false"/>
                <w:smallCaps w:val="false"/>
              </w:rPr>
              <w:t> </w:t>
            </w:r>
          </w:p>
        </w:tc>
        <w:tc>
          <w:tcPr>
            <w:tcW w:w="81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w:t>
            </w:r>
          </w:p>
        </w:tc>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represents one of our ordinary shares, with no par value. The ADSs may be evidenced by American Depositary Receipts (“ADRs”). The depositary will hold in custody the ordinary shares underlying the ADSs and you will have the rights of an ADS holder as provided in the Deposit Agreement among us, the depositary and owners and holders of ADSs from time to time.</w:t>
            </w:r>
          </w:p>
        </w:tc>
      </w:tr>
      <w:tr>
        <w:trPr/>
        <w:tc>
          <w:tcPr>
            <w:tcW w:w="2021" w:type="dxa"/>
            <w:tcBorders/>
            <w:vAlign w:val="center"/>
          </w:tcPr>
          <w:p>
            <w:pPr>
              <w:pStyle w:val="TableContents"/>
              <w:bidi w:val="0"/>
              <w:spacing w:before="0" w:after="283"/>
              <w:jc w:val="left"/>
              <w:rPr>
                <w:caps w:val="false"/>
                <w:smallCaps w:val="false"/>
              </w:rPr>
            </w:pPr>
            <w:r>
              <w:rPr>
                <w:caps w:val="false"/>
                <w:smallCaps w:val="false"/>
              </w:rPr>
              <w:t> </w:t>
            </w:r>
          </w:p>
        </w:tc>
        <w:tc>
          <w:tcPr>
            <w:tcW w:w="81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tc>
        <w:tc>
          <w:tcPr>
            <w:tcW w:w="81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offering” that may be made from time to time through or to the Sales Agents as our sales agents or principals. See “Plan of Distribution” on page S-12.</w:t>
            </w:r>
          </w:p>
        </w:tc>
      </w:tr>
      <w:tr>
        <w:trPr/>
        <w:tc>
          <w:tcPr>
            <w:tcW w:w="2021" w:type="dxa"/>
            <w:tcBorders/>
            <w:vAlign w:val="center"/>
          </w:tcPr>
          <w:p>
            <w:pPr>
              <w:pStyle w:val="TableContents"/>
              <w:bidi w:val="0"/>
              <w:spacing w:before="0" w:after="283"/>
              <w:jc w:val="left"/>
              <w:rPr>
                <w:caps w:val="false"/>
                <w:smallCaps w:val="false"/>
              </w:rPr>
            </w:pPr>
            <w:r>
              <w:rPr>
                <w:caps w:val="false"/>
                <w:smallCaps w:val="false"/>
              </w:rPr>
              <w:t> </w:t>
            </w:r>
          </w:p>
        </w:tc>
        <w:tc>
          <w:tcPr>
            <w:tcW w:w="81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if any, from the sale of the ADSs under this prospectus supplement for our clinical trial pipeline development of Temferon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in glioblastoma multiforme (“GBM”), renal cell carcinoma (“RCC”) and potentially other solid tumor indications, as well as general corporate purposes and working capital. See “Use of Proceeds.”</w:t>
            </w:r>
          </w:p>
        </w:tc>
      </w:tr>
      <w:tr>
        <w:trPr/>
        <w:tc>
          <w:tcPr>
            <w:tcW w:w="2021" w:type="dxa"/>
            <w:tcBorders/>
            <w:vAlign w:val="center"/>
          </w:tcPr>
          <w:p>
            <w:pPr>
              <w:pStyle w:val="TableContents"/>
              <w:bidi w:val="0"/>
              <w:spacing w:before="0" w:after="283"/>
              <w:jc w:val="left"/>
              <w:rPr>
                <w:caps w:val="false"/>
                <w:smallCaps w:val="false"/>
              </w:rPr>
            </w:pPr>
            <w:r>
              <w:rPr>
                <w:caps w:val="false"/>
                <w:smallCaps w:val="false"/>
              </w:rPr>
              <w:t> </w:t>
            </w:r>
          </w:p>
        </w:tc>
        <w:tc>
          <w:tcPr>
            <w:tcW w:w="81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w:t>
            </w:r>
          </w:p>
        </w:tc>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w:t>
            </w:r>
          </w:p>
        </w:tc>
      </w:tr>
      <w:tr>
        <w:trPr/>
        <w:tc>
          <w:tcPr>
            <w:tcW w:w="2021" w:type="dxa"/>
            <w:tcBorders/>
            <w:vAlign w:val="center"/>
          </w:tcPr>
          <w:p>
            <w:pPr>
              <w:pStyle w:val="TableContents"/>
              <w:bidi w:val="0"/>
              <w:spacing w:before="0" w:after="283"/>
              <w:jc w:val="left"/>
              <w:rPr>
                <w:caps w:val="false"/>
                <w:smallCaps w:val="false"/>
              </w:rPr>
            </w:pPr>
            <w:r>
              <w:rPr>
                <w:caps w:val="false"/>
                <w:smallCaps w:val="false"/>
              </w:rPr>
              <w:t> </w:t>
            </w:r>
          </w:p>
        </w:tc>
        <w:tc>
          <w:tcPr>
            <w:tcW w:w="81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Custodian</w:t>
            </w:r>
          </w:p>
        </w:tc>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custodian, acting through an office located in the United Kingdom. </w:t>
            </w:r>
          </w:p>
        </w:tc>
      </w:tr>
      <w:tr>
        <w:trPr/>
        <w:tc>
          <w:tcPr>
            <w:tcW w:w="2021" w:type="dxa"/>
            <w:tcBorders/>
            <w:vAlign w:val="center"/>
          </w:tcPr>
          <w:p>
            <w:pPr>
              <w:pStyle w:val="TableContents"/>
              <w:bidi w:val="0"/>
              <w:spacing w:before="0" w:after="283"/>
              <w:jc w:val="left"/>
              <w:rPr>
                <w:caps w:val="false"/>
                <w:smallCaps w:val="false"/>
              </w:rPr>
            </w:pPr>
            <w:r>
              <w:rPr>
                <w:caps w:val="false"/>
                <w:smallCaps w:val="false"/>
              </w:rPr>
              <w:t> </w:t>
            </w:r>
          </w:p>
        </w:tc>
        <w:tc>
          <w:tcPr>
            <w:tcW w:w="81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ADSs involves significant risks. See the disclosure under the heading “Risk Factors” on page S-4 in this prospectus supplement and under similar headings in other documents incorporated by reference into this prospectus supplement.</w:t>
            </w:r>
          </w:p>
        </w:tc>
      </w:tr>
      <w:tr>
        <w:trPr/>
        <w:tc>
          <w:tcPr>
            <w:tcW w:w="2021" w:type="dxa"/>
            <w:tcBorders/>
            <w:vAlign w:val="center"/>
          </w:tcPr>
          <w:p>
            <w:pPr>
              <w:pStyle w:val="TableContents"/>
              <w:bidi w:val="0"/>
              <w:spacing w:before="0" w:after="283"/>
              <w:jc w:val="left"/>
              <w:rPr>
                <w:caps w:val="false"/>
                <w:smallCaps w:val="false"/>
              </w:rPr>
            </w:pPr>
            <w:r>
              <w:rPr>
                <w:caps w:val="false"/>
                <w:smallCaps w:val="false"/>
              </w:rPr>
              <w:t> </w:t>
            </w:r>
          </w:p>
        </w:tc>
        <w:tc>
          <w:tcPr>
            <w:tcW w:w="81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 symbol</w:t>
            </w:r>
          </w:p>
        </w:tc>
        <w:tc>
          <w:tcPr>
            <w:tcW w:w="818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GNTA”</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number of our ordinary shares to be outstanding after this offering as shown above is based on 18,216,958 of our ordinary shares outstanding as of December 31, 2023, and excludes: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586,923 ordinary shares issuable upon exercise of stock options outstanding as of December 31, 2023 with a weighted-average exercise price of $4.84 per share;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23,502 ordinary shares represented by ADSs issuable upon exercise of warrants outstanding as of December 31, 2023 with an exercise price of $14.375 per ADS;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1,234,773 ordinary shares reserved for future issuance under our 2021 – 2025 Stock Option Plan (the “Stock Option Plan”) as of December 31, 2023.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Except as otherwise indicated, all information in this prospectus supplement does not assume or give effect to the grant of any stock options or the exercise of outstanding stock options or warrants after December 31, 2023.</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L_004"/>
      <w:bookmarkEnd w:id="5"/>
      <w:r>
        <w:rPr>
          <w:rFonts w:ascii="Times New Roman;Times;Serif" w:hAnsi="Times New Roman;Times;Serif"/>
          <w:b/>
          <w:i w:val="false"/>
          <w:caps w:val="false"/>
          <w:smallCaps w:val="false"/>
          <w:sz w:val="20"/>
        </w:rPr>
        <w:t xml:space="preserve">RISK FACTORS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the ADSs sold in this offering involves risks. You should carefully consider the risk factors described below and in our Annual Report on Form 20-F for the year ended December 31, 2023, as amended, incorporated by reference in this prospectus supplement and the accompanying prospectus, any amendment or update thereto reflected in subsequent filings with the SEC, and all other information contained or incorporated by reference in this prospectus supplement and the accompanying prospectus, as updated by our subsequent filings with the SEC. The occurrence of any of these risks might cause you to lose all or part of your investment in the ADSs offered under this prospectus supplement. The risks and uncertainties previously described and discussed below are not the only ones we face. Additional risks and uncertainties not presently known to us, or that we currently see as immaterial, may also harm our business. If any of these risks actually occurs, our business, financial condition, results of operation or cash flow could be adversely affected. This could cause the trading price of the ADSs to decline, resulting in a loss of all or part of your investment. Please also read carefully the section below titled “Special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Relating to this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you purchase the ADSs sold in this offering, you may experience immediate and substantial dilution in the net tangible book value of the ADSs. In addition, we may issue additional equity or convertible debt securities in the future, which may result in additional dilution to you.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ADS of the ADSs being offered pursuant to this prospectus supplement may be higher than the net tangible book value per ADS prior to this offering. Assuming an aggregate gross amount of $16,362,816 of ADSs will be sold in this offering at an assumed offering price of $2.55 per ADS, the last reported sale price of the ADSs on the Nasdaq on April 24, 2024, and after deducting commissions and estimated offering expenses payable by us, new investors in this offering will incur immediate dilution of $1.00 per ADS. For a more detailed discussion of the foregoing, see the section entitled “Dilution”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outstanding stock options or warrants are exercised, there will be further dilution to new investors. In addition, to the extent we need to raise additional capital in the future and we issue additional ordinary shares, ordinary shares represented by ADSs or securities convertible or exchangeable for our ordinary shares and/or ordinary shares represented by ADSs, our then existing shareholders may experience dilution and the new securities may have rights senior to those of the ADSs offered in this offering. The price per share or ADS at which we sell additional ordinary shares or ADSs, as applicable, or securities convertible or exchangeable into ordinary shares and/or ADSs, in any future transactions may be higher or lower than the price per ADS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broad discretion in the use of the net proceeds from this offering and may not use them effectively.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our clinical trial pipeline development of Temferon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in GBM, RCC and potentially other solid tumor indications, as well as general corporate purposes and working capital. The failure by our management to apply these funds effectively could harm our business. Pending their use, we plan to invest the net proceeds from this offering in a variety of capital preservation investments, including short-term, investment grade, and interest-bearing instruments and government securities. These investments may not yield a favorable return to our investors. If we do not invest or apply the net proceeds from this offering in ways that enhance value for investors, we may fail to achieve expected financial results, which could cause the price of the ADSs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actual number of ADSs that are sold under the Sales Agreement, at any one time or in total, is uncertain.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in compliance with applicable laws and regulations, we have the discretion to deliver a placement notice to the Sales Agents at any time throughout the term of the Sales Agreement. The number of ADSs that are sold, if any, by the Sales Agents after we deliver a placement notice will fluctuate based on the market price of the ADSs during the sales period and limits we set with the Sales Agents. Because the price per ADS sold will fluctuate based on the market price of the ADSs during the sales period, it is not possible at this stage to predict the number of ADSs that will be ultimately issued.</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ADSs offered hereby will be sold in “at the market offerings,” and investors who buy shares at different times will likely pay different prices.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ADSs in this offering at different times will likely pay different prices, and so may experience different outcomes in their investment results. We will have discretion, subject to market demand, to vary the timing, prices, and numbers of ADSs sold, and there is no minimum or maximum sales price. Investors may experience a decline in the value of their ADSs as a result of ADS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paid, and do not intend to pay, dividends on our ordinary shares and, therefore, unless the ADSs appreciate in value, our investors may not benefit from holding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ADSs is likely to be highly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ADSs has fluctuated, ranging from a closing price low of $4.70 to a closing price high of $7.05 during the year ended December 31, 2023, and is likely to continue to be highly volatile. The following factors, in addition to other risk factors described in this section, may have a significant impact on the market price of the ADSs: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results or delays in pre- and non-clinical studies or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of adverse events in other gene therapy products or clinical studies of such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additional funding;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the approvals necessary to commence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unsatisfactory results of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regulatory approval or the failure to obtain it, or specific label indications or patient populations for its use, or changes or delays in the regulatory review process;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therapeutic innovations or new products by us or our competitors;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actions taken by regulatory authorities with respect to our clinical trials, manufacturing supply chain or sales and marketing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developments in laws or regulations applicable to the treatment of cancer tumors, or any other indication that we may seek to develop;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changes to our relationship with manufacturers or suppliers;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actions in which we may become involved;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concerning our competitors or the biotechnology and pharmaceutical industries in 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expected product sales and profitability or our failure to meet expectations;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commencement of, or involvement in,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changes in our board of directors or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and retain qualified regulatory, research and development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in the United States relating to the sale or pricing of biotechnology or gene therapy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depth of the trading market in the ADSs;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recessions, inflation, increasing interest rates, supply chain shortages, rising fuel prices, or political instability in global, U.S. or particular foreign economies and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global or U.S. banking systems or the banking systems of foreign countries;</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a local or worldwide pandemic, such as COVID-19, geopolitical actions, including war and terrorism (including the ongoing war in Ukraine), or natural disasters;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granting or exercise of employee stock options or other equity awards;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patents, litigation matters and our ability to obtain patent protection for our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scientific or management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shareholder litigation;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investors’ and securities analysts’ perception of the business risks and conditions of our 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the ADS price to decline rapidly and unexpectedly.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is a substantial risk that we are or will become classified as a passive foreign investment company. If we are or become classified as a passive foreign investment company, our U.S. shareholders may suffer adverse tax consequences as a result.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interest income earned by reason of the temporary investment of funds, including those raised in a public offering, and the excess of certain foreign currency gains over certain foreign currency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PFIC will depend on the nature and composition of our income and the nature, composition and value of our assets. Our status may also depend, in part, on how quickly we utilize the cash proceeds from this offering in our business. Based on preliminary analysis, we believe that we were likely classified as a PFIC in 2023, and we may be classified as a PFIC for 2024 and future years. In particular, so long as we do not generate revenue from operations for any taxable year and do not receive any research and development grants, or even if we receive a research and development grant, if such grant does not constitute gross income for United States federal income tax purposes, we likely will be classified as a PFIC in any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in any taxable year during which a U.S. taxpayer holds the ADSs, such U.S. taxpayer would be subject to certain adverse U.S. federal income tax rules. In particular, if the U.S. taxpayer did not make an election to treat us as a “qualified electing fund”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(the “IRS”) determines that we are a PFIC for a year with respect to which we have determined that we were not a PFIC, it may be too late for a U.S. taxpayer to make a timely QEF or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expect to provide U.S. shareholders with the information necessary for a U.S. shareholder to make a QEF election. Prospective investors should assume that a QEF election will not be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“Taxation—U.S. Federal Income Taxation.”</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SL_005"/>
      <w:bookmarkEnd w:id="6"/>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contain many statements that are “forward-looking” within the meaning of Section 27A of the Securities Act of 1933, as amended (the “Securities Act”), and Section 21E of the Securities Exchange Act of 1934, as amended (the “Exchange Act”),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prospectus supplement, any or all of those assumptions could prove to be inaccurate. As a result, the forward-looking statements based on those assumptions could also be incorrect. The forward-looking statements in this prospectus supplement, the accompanying prospectus and the documents incorporated by reference herein and therein include, without limitation, statements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application of the net proceeds from this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revenues, profits, earnings and other estimated financial information;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strong relationships with our customers and suppliers;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planned use of proceeds;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governmental policies regarding our industry;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 factors as set forth under the “Risk Factors” section of this prospectus supplement and under “Item 3. Key Information—D. Risk Factors.” in our Annual Report on Form 20-F for the year ended December 31, 2023, as amended, which report is incorporated by reference in this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supplement in greater detail under the heading “Risk Factors” and elsewhere in this prospectus supplement. You should not rely upon forward-looking statements as predictions of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 supplement.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SEC after the date of this prospectus supplement.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also read carefully the factors described in the “Risk Factors” section of this prospectus supplement, in “Item 3. Key Information—D. Risk Factors” in our Annual Report on Form 20-F for the year ended December 31, 2023, as amended, and in the other documents that we file with the SEC after the date of this prospectus supplement that are incorporated by reference into this prospectus supplement and the accompanying prospectus to better understand the risks and uncertainties inherent in our business and underlying any forward-looking statements. As a result of these factors, we cannot assure you that the forward-looking statements in this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SL_006"/>
      <w:bookmarkEnd w:id="7"/>
      <w:r>
        <w:rPr>
          <w:rFonts w:ascii="Times New Roman;Times;Serif" w:hAnsi="Times New Roman;Times;Serif"/>
          <w:b/>
          <w:i w:val="false"/>
          <w:caps w:val="false"/>
          <w:smallCaps w:val="false"/>
          <w:sz w:val="20"/>
        </w:rPr>
        <w:t xml:space="preserve">USE OF PROCEEDS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ADSs having aggregate sales proceeds of up to $16,362,816 from time to time. Because there is no minimum offering amount required as a condition to close this offering, the actual total public offering amount, commissions and proceeds to us, if any, are not determinable at this time. There can be no assurance that we will sell any ADSs under or fully utilize the Sales Agreement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if any, for our clinical trial pipeline development of Temferon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in GBM, RCC and potentially other solid tumor indications, as well as general corporate purposes and working capital. We have not determined the amount of net proceeds to be used specifically for the foregoing purposes. As a result, our management will have broad discretion in the allocation of the net proceeds from this offering. Pending use of the net proceeds, we currently intend to invest any proceeds in a variety of capital preservation instruments, including short-term, investment grade, and interest-bearing instruments and government securities.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SL_007"/>
      <w:bookmarkEnd w:id="8"/>
      <w:r>
        <w:rPr>
          <w:rFonts w:ascii="Times New Roman;Times;Serif" w:hAnsi="Times New Roman;Times;Serif"/>
          <w:b/>
          <w:i w:val="false"/>
          <w:caps w:val="false"/>
          <w:smallCaps w:val="false"/>
          <w:sz w:val="20"/>
        </w:rPr>
        <w:t>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SL_008"/>
      <w:bookmarkEnd w:id="9"/>
      <w:r>
        <w:rPr>
          <w:rFonts w:ascii="Times New Roman;Times;Serif" w:hAnsi="Times New Roman;Times;Serif"/>
          <w:b/>
          <w:i w:val="false"/>
          <w:caps w:val="false"/>
          <w:smallCaps w:val="false"/>
          <w:sz w:val="20"/>
        </w:rPr>
        <w:t>DILUTION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the ADSs in this offering, your interest will be diluted to the extent of the difference between the price per ADS you pay in this offering and the net tangible book value per ADS immediately after this offering. The net tangible book value of our ordinary shares as of December 31, 2023 was approximately $22.3 million, or approximately $1.22 per ordinary share, based upon 18,216,958 ordinary shares outstanding as of December 31, 2023. Net tangible book value per ordinary share is equal to our total tangible assets, less our total liabilities, divided by the total number of ordinary shares outstanding as of December 31, 2023. For purposes of illustration, the following discussion assumes that all of our outstanding ordinary shares both before and after this offering are represented by ADSs, each representing one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the ADSs in the aggregate amount of $16,362,816 at an assumed offering price of $2.55 per ADS, the last reported sale price of the ADSs on the Nasdaq on April 24, 2024, and after deducting commissions and estimated offering expenses payable by us, our as adjusted net tangible book value as of December 31, 2023 would have been $38.3 million, or $1.55 per ADS. This represents an immediate increase in net tangible book value of $0.31 per ADS to our existing shareholders and an immediate dilution in net tangible book value of $1.00 per ADS to new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calculation on a per ADS basis. The as-adjusted information is illustrative only and will adjust based on the actual price to the public, the actual number of ADSs sold, and other terms of the offering determined at the time ADSs are sold pursuant to this prospectus supplement. The as-adjusted information assumes that all of the ADSs in the aggregate amount of $16,362,816 will be sold at the assumed offering price of $2.55 per ADS, the last reported sale price of the ADSs on the Nasdaq on April 24, 2024. The ADSs sold in this offering, if any, will be sold from time to time at various prices.</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365"/>
        <w:gridCol w:w="60"/>
        <w:gridCol w:w="125"/>
        <w:gridCol w:w="380"/>
        <w:gridCol w:w="60"/>
        <w:gridCol w:w="60"/>
        <w:gridCol w:w="125"/>
        <w:gridCol w:w="380"/>
        <w:gridCol w:w="75"/>
      </w:tblGrid>
      <w:tr>
        <w:trPr/>
        <w:tc>
          <w:tcPr>
            <w:tcW w:w="6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public offering price per ADS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tangible book value per ADS as of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net tangible book value per ADS attributable to the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net tangible book value per ADS after giving effect to the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ADS to new investors participating in the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excludes: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586,923 ordinary shares issuable upon exercise of stock options outstanding as of December 31, 2023 with a weighted-average exercise price of $4.84 per share;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23,502 ordinary shares represented by ADSs issuable upon exercise of warrants outstanding as of December 31, 2023 with an exercise price of $14.375 per ADS;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1,234,773 ordinary shares reserved for future issuance under the Stock Option Plan as of December 31,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does not assume or give effect to the grant of any stock options or the exercise of outstanding stock options or warrants after December 31, 2023. To the extent stock options are exercised, there may be further dilution to new investors.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SL_009"/>
      <w:bookmarkEnd w:id="10"/>
      <w:r>
        <w:rPr>
          <w:rFonts w:ascii="Times New Roman;Times;Serif" w:hAnsi="Times New Roman;Times;Serif"/>
          <w:b/>
          <w:i w:val="false"/>
          <w:caps w:val="false"/>
          <w:smallCaps w:val="false"/>
          <w:sz w:val="20"/>
        </w:rPr>
        <w:t>TAXATION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Italian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“Item 10. Additional Information—E. Taxation—Italian Tax Consequences” in our Annual Report on Form 20-F for the year ended December 31, 2023, as amended, which is incorporated herein by reference, for a summary of material tax consequences under Italian law relating to the purchase, ownership and disposition of the ADSs to be offered and sold under this prospectus supplement. Such summary is not intended to constitute a complete analysis of all tax consequences relating to the acquisition, ownership, and disposition of the ADSs. You should consult your own tax advisor concerning the tax consequences of your particular situation, as well as any tax consequences that may arise under the laws of any state, local, foreign or other taxing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“Item 10. Additional Information—E. Taxation—U.S. Federal Income Taxation” in our Annual Report on Form 20-F for the year ended December 31, 2023, as amended, which is incorporated herein by reference, for a summary of material U.S. federal income tax consequences to a “U.S. Holder” (as defined therein) arising from the purchase, ownership and sale of the ADSs. As described in more detail therein, such summary is for general information purposes only, does not purport to be a comprehensive description of all the U.S. federal income tax considerations that may be relevant to a decision to invest in or dispose of the ADSs, and is not intended to be, and should not be considered to be, legal or tax advice. Each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SL_010"/>
      <w:bookmarkEnd w:id="11"/>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ATM Sales Agreement (the “Sales Agreement”) with Capital One Securities, Inc. (“Capital One Securities”) and Virtu Americas LLC (“Virtu” and, together with Capital One Securities, each a “Sales Agent and, collectively, the “Sales Agents”). Pursuant to this prospectus supplement, we may offer and sell ADSs having an aggregate gross sales price of up to $16,362,816 from time to time through or to the Sales Agents acting as sales agents or principals. We will file a copy of the Sales Agreement by means of a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and subject to the terms and conditions of the Sales Agreement, the Sales Agents may sell the ADSs by any method permitted by law deemed to be an “at the market offering” as defined in Rule 415(a)(4) promulgated under the Securities Act. We may instruct the Sales Agents not to sell ADSs if the sales cannot be effected at or above the price designated by us from time to time. We or the Sales Agents may suspend the offering of ADSs upon notice and subject to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Agents commissions, in cash, for their service in acting as agent in the sale of the ADSs. Capital One Securities and Virtu will be entitled to compensation at a commission rate equal to 1.0% and 3.0%, respectively, of the sales price per ADS sold under the Sales Agreement. Because there is no minimum offering amount required as a condition to close this offering, the actual total public offering amount, commissions and proceeds to us, if any, are not determinable at this time. We have also agreed to reimburse the Sales Agents for certain specified expenses, including the fees and disbursements of their legal counsel in an aggregate amount not to exceed $50,000 in connection with entering into the Sales Agreement. Additionally, pursuant to the terms of the Sales Agreement, we agreed to reimburse the Sales Agents for the fees and costs of their legal counsel reasonably incurred in connection with the Sales Agents’ ongoing diligence arising from the transactions contemplated by the Sales Agreement in an aggregate amount not to exceed $10,000 in the aggregate per calendar half year. We estimate that the total expenses for the offering, excluding compensation and reimbursements payable to the Sales Agents under the terms of the Sales Agreement, will be approximately $641,000.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ADSs will occur on the second business day following the date on which any sales are made, or on some other date that is agreed upon by us and the Sales Agents in connection with a particular transaction, in return for payment of the net proceeds to us. Sales of the ADSs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will use their commercially reasonable efforts, consistent with their sales and trading practices, to solicit offers to purchase the ADSs under the terms and subject to the conditions set forth in the Sales Agreement. In connection with the sale of the ADSs on our behalf, each of the Sales Agents will be deemed to be an “underwriter” within the meaning of the Securities Act and the compensation of the Sales Agents will be deemed to be underwriting commissions or discounts. We have agreed to provide indemnification and contribution to the Sales Agents against certain civil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ADSs pursuant to the Sales Agreement will terminate upon the termination of the Sales Agreement as permitted therein. We and the Sales Agents may each terminate the Sales Agreement at any time upon ten days’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and their respective affiliates may in the future provide various investment banking, commercial banking and other financial services for us and our affiliates, for which services they may in the future receive customary fees. To the extent required by Regulation M, the Sales Agents will not engage in any market making activities involving the ADSs while the offering is ongoing under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may be made available in electronic format on a website maintained by the Sales Agents, and the Sales Agents may distribute this prospectus supplement and the accompanying prospectus electronically.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SL_011"/>
      <w:bookmarkEnd w:id="12"/>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concerning this offering will be passed upon for us by Fenwick &amp; West LLP, New York, New York. Certain legal matters with respect to the validity of the ordinary shares represented by ADSs offered by this prospectus supplement will be passed upon for us by Giovannelli e Associati, Studio Legale, Italy. The Sales Agents are being represented in connection with this offering by Duane Morris LLP, New York, New York, with respect to certain U.S. legal matters, and Chiomenti Studio Legale LLC, New York, New York, with respect to certain Italian 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SL_012"/>
      <w:bookmarkEnd w:id="13"/>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Genenta as of December 31, 2023 and 2022 and for its fiscal years ended December 31, 2023, 2022 and 2021, included in the Company’s Annual Report on Form 20-F for the year ended December 31, 2023, as amended, incorporated by reference herein has been audited by Dannible and McKee, LLP, independent registered public accounting firm, as set forth in their report thereon. Such financial statements are incorporated by reference in this prospectus supplement in reliance upon such report given on the authority of such firm as experts in accounting and auditing. The address of Dannible &amp; McKee, LLP is 221 S. Warren Street #500, Syracuse, New York, United States.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L_013"/>
      <w:bookmarkEnd w:id="14"/>
      <w:r>
        <w:rPr>
          <w:rFonts w:ascii="Times New Roman;Times;Serif" w:hAnsi="Times New Roman;Times;Serif"/>
          <w:b/>
          <w:i w:val="false"/>
          <w:caps w:val="false"/>
          <w:smallCaps w:val="false"/>
          <w:sz w:val="20"/>
        </w:rPr>
        <w:t>EXPENSES OF THE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expenses of this offering payable by us, excluding commissions and reimbursement of expenses, in connection with this offering. All amounts shown are estimated, except the SEC registration fee and the FINRA filing fee.</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2900"/>
        <w:gridCol w:w="60"/>
        <w:gridCol w:w="144"/>
        <w:gridCol w:w="716"/>
        <w:gridCol w:w="75"/>
      </w:tblGrid>
      <w:tr>
        <w:trPr/>
        <w:tc>
          <w:tcPr>
            <w:tcW w:w="2900" w:type="dxa"/>
            <w:tcBorders>
              <w:bottom w:val="single" w:sz="12" w:space="0" w:color="000000"/>
            </w:tcBorders>
            <w:vAlign w:val="center"/>
          </w:tcPr>
          <w:p>
            <w:pPr>
              <w:pStyle w:val="TableContents"/>
              <w:bidi w:val="0"/>
              <w:spacing w:before="0" w:after="283"/>
              <w:jc w:val="center"/>
              <w:rPr>
                <w:b/>
              </w:rPr>
            </w:pPr>
            <w:r>
              <w:rPr>
                <w:b/>
              </w:rPr>
              <w:t>Expenses</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center"/>
              <w:rPr/>
            </w:pPr>
            <w:r>
              <w:rPr/>
              <w:t> </w:t>
            </w:r>
          </w:p>
        </w:tc>
      </w:tr>
      <w:tr>
        <w:trPr/>
        <w:tc>
          <w:tcPr>
            <w:tcW w:w="2900" w:type="dxa"/>
            <w:tcBorders/>
            <w:shd w:fill="CCEEFF" w:val="clear"/>
            <w:tcMar>
              <w:bottom w:w="0" w:type="dxa"/>
            </w:tcMar>
            <w:vAlign w:val="center"/>
          </w:tcPr>
          <w:p>
            <w:pPr>
              <w:pStyle w:val="TableContents"/>
              <w:bidi w:val="0"/>
              <w:spacing w:before="0" w:after="283"/>
              <w:jc w:val="left"/>
              <w:rPr/>
            </w:pPr>
            <w:r>
              <w:rPr/>
              <w:t>Legal fees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left"/>
              <w:rPr/>
            </w:pPr>
            <w:r>
              <w:rPr/>
              <w:t>Accounting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716" w:type="dxa"/>
            <w:tcBorders/>
            <w:shd w:fill="FFFFFF" w:val="clear"/>
            <w:tcMar>
              <w:bottom w:w="0" w:type="dxa"/>
            </w:tcMar>
            <w:vAlign w:val="center"/>
          </w:tcPr>
          <w:p>
            <w:pPr>
              <w:pStyle w:val="TableContents"/>
              <w:bidi w:val="0"/>
              <w:spacing w:before="0" w:after="283"/>
              <w:jc w:val="right"/>
              <w:rPr/>
            </w:pPr>
            <w:r>
              <w:rPr/>
              <w:t>15,000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left"/>
              <w:rPr/>
            </w:pPr>
            <w:r>
              <w:rPr/>
              <w:t>Miscellaneous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71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bottom w:val="double" w:sz="6" w:space="0" w:color="000000"/>
            </w:tcBorders>
            <w:shd w:fill="FFFFFF" w:val="clear"/>
            <w:vAlign w:val="center"/>
          </w:tcPr>
          <w:p>
            <w:pPr>
              <w:pStyle w:val="TableContents"/>
              <w:bidi w:val="0"/>
              <w:spacing w:before="0" w:after="283"/>
              <w:jc w:val="left"/>
              <w:rPr/>
            </w:pPr>
            <w:r>
              <w:rPr/>
              <w:t>$</w:t>
            </w:r>
          </w:p>
        </w:tc>
        <w:tc>
          <w:tcPr>
            <w:tcW w:w="7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SL_014"/>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reports on Form 20-F and other information with the SEC and furnish reports on Form 6-K to the SEC.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website that contains reports and other information regarding issuers that file electronically with the SEC. Our filings with the SEC are also available to the public through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www.genenta.com.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SL_015"/>
      <w:bookmarkEnd w:id="16"/>
      <w:r>
        <w:rPr>
          <w:rFonts w:ascii="Times New Roman;Times;Serif" w:hAnsi="Times New Roman;Times;Serif"/>
          <w:b/>
          <w:i w:val="false"/>
          <w:caps w:val="false"/>
          <w:smallCaps w:val="false"/>
          <w:sz w:val="20"/>
        </w:rPr>
        <w:t xml:space="preserve">INCORPORATION OF INFORMATION BY REFERENCE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5">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2023 filed with the SEC on March 29, 2024, as amended by Amendment No. 1 on </w:t>
            </w:r>
            <w:hyperlink r:id="rId6">
              <w:r>
                <w:rPr>
                  <w:rStyle w:val="InternetLink"/>
                  <w:rFonts w:ascii="Times New Roman;Times;Serif" w:hAnsi="Times New Roman;Times;Serif"/>
                  <w:b w:val="false"/>
                  <w:i w:val="false"/>
                  <w:caps w:val="false"/>
                  <w:smallCaps w:val="false"/>
                  <w:sz w:val="20"/>
                </w:rPr>
                <w:t>Form 20-F/A</w:t>
              </w:r>
            </w:hyperlink>
            <w:r>
              <w:rPr>
                <w:rFonts w:ascii="Times New Roman;Times;Serif" w:hAnsi="Times New Roman;Times;Serif"/>
                <w:b w:val="false"/>
                <w:i w:val="false"/>
                <w:caps w:val="false"/>
                <w:smallCaps w:val="false"/>
                <w:sz w:val="20"/>
              </w:rPr>
              <w:t xml:space="preserve"> filed with the SEC on April 1, 2024;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6-K furnished to the SEC on </w:t>
            </w:r>
            <w:hyperlink r:id="rId7">
              <w:r>
                <w:rPr>
                  <w:rStyle w:val="InternetLink"/>
                  <w:rFonts w:ascii="Times New Roman;Times;Serif" w:hAnsi="Times New Roman;Times;Serif"/>
                  <w:b w:val="false"/>
                  <w:i w:val="false"/>
                  <w:caps w:val="false"/>
                  <w:smallCaps w:val="false"/>
                  <w:sz w:val="20"/>
                </w:rPr>
                <w:t>April 2, 2024</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April 8, 2024</w:t>
              </w:r>
            </w:hyperlink>
            <w:r>
              <w:rPr>
                <w:rFonts w:ascii="Times New Roman;Times;Serif" w:hAnsi="Times New Roman;Times;Serif"/>
                <w:b w:val="false"/>
                <w:i w:val="false"/>
                <w:caps w:val="false"/>
                <w:smallCaps w:val="false"/>
                <w:sz w:val="20"/>
              </w:rPr>
              <w:t xml:space="preserve">;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descriptions of our ordinary shares and ADSs contained in </w:t>
            </w:r>
            <w:hyperlink r:id="rId9">
              <w:r>
                <w:rPr>
                  <w:rStyle w:val="InternetLink"/>
                  <w:rFonts w:ascii="Times New Roman;Times;Serif" w:hAnsi="Times New Roman;Times;Serif"/>
                  <w:b w:val="false"/>
                  <w:i w:val="false"/>
                  <w:caps w:val="false"/>
                  <w:smallCaps w:val="false"/>
                  <w:sz w:val="20"/>
                </w:rPr>
                <w:t>Exhibit 2.4</w:t>
              </w:r>
            </w:hyperlink>
            <w:r>
              <w:rPr>
                <w:rFonts w:ascii="Times New Roman;Times;Serif" w:hAnsi="Times New Roman;Times;Serif"/>
                <w:b w:val="false"/>
                <w:i w:val="false"/>
                <w:caps w:val="false"/>
                <w:smallCaps w:val="false"/>
                <w:sz w:val="20"/>
              </w:rPr>
              <w:t xml:space="preserve"> to our Annual Report on Form 20-F for the year ended December 31, 2022 filed by us with the SEC on April 21, 2023, including any amendment or report filed to update such description and any subsequent amendments or reports filed for the purpose of updating such description.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annual reports on Form 20-F and any amendment thereto and any report on Form 6-K (or portion thereof) that expressly indicates it is being incorporated by reference in this prospectus supplement, in each case, that we file with or furnish to the SEC prior to the termination or completion of the offering under this prospectus supplement (including all such reports or documents we may file with or furnish to the SEC on or after the date on which the registration statement of which this prospectus supplement is a part is first filed with the SEC and prior to the effectiveness of the registration statement), will also be incorporated by reference into this prospectus supplement and deemed to be part of this prospectus supplement from the date of the filing or furnishing of such reports and documents. Unless expressly incorporated by reference, nothing in this prospectus supplement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any document incorporated by reference herein shall be deemed to be modified or superseded for purposes of this prospectus supplement to the extent that a statement contained in this prospectus supplement modifies or supersedes such statement. Any statement so modified or superseded shall not be deemed, except as so modified or superseded, to constitute a part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documents that are incorporated by reference are available at the website maintained by the SEC at http://www.sec.gov. In addition,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to whom a copy of this prospectus supplement is delivered on the written or oral request of that person made to: Genenta Science S.p.A., Via Olgettina No. 58, 20132, Milan, Italy, Attention: Pierluigi Paracchi.</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$100,000,000</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Ordinary Shares Represented by American Depositary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6705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30670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this prospectus, we may offer and sell from time to time, in one or more offerings, together or separately, ordinary shares; ordinary shares represented by American depositary shares (“ADSs”), each ADS representing one of our ordinary shares; rights exercisable for ordinary shares and/or ordinary shares represented by ADSs (“rights”); or any combination thereof as described in this prospectus. The total amount of these securities will have an initial aggregate offering price of up to $100,000,000. You should carefully read this prospectus, any prospectus supplement and any free writing prospectus, as well as any documents incorporated in any of the foregoing by reference, before you invest in our securities. This prospectus may not be used to sell our securities unless accompanied by a prospectus supplement. A prospectus supplement or any related free writing prospectus may also add to, update, supplement or clarify information contained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Capital Market (“Nasdaq”) under the symbol “GNTA.” The last reported sale price of the ADSs on the Nasdaq on May 11, 2023 was $5.95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w:t>
      </w:r>
      <w:hyperlink w:anchor="toc1_003">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3 of this prospectus, as well as the section entitled “Item 3. Key Information—D. Risk Factors” beginning on page 3 of our Annual Report on Form 20-F for the year ended December 31, 2022, which report is incorporated by reference in this prospectus, before investing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May 24,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4550"/>
        <w:gridCol w:w="455"/>
      </w:tblGrid>
      <w:tr>
        <w:trPr/>
        <w:tc>
          <w:tcPr>
            <w:tcW w:w="45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550" w:type="dxa"/>
            <w:tcBorders/>
            <w:shd w:fill="CCEEFF" w:val="clear"/>
            <w:vAlign w:val="center"/>
          </w:tcPr>
          <w:p>
            <w:pPr>
              <w:pStyle w:val="TableContents"/>
              <w:bidi w:val="0"/>
              <w:spacing w:before="0" w:after="283"/>
              <w:jc w:val="left"/>
              <w:rPr/>
            </w:pPr>
            <w:hyperlink w:anchor="toc1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550" w:type="dxa"/>
            <w:tcBorders/>
            <w:shd w:fill="FFFFFF" w:val="clear"/>
            <w:vAlign w:val="center"/>
          </w:tcPr>
          <w:p>
            <w:pPr>
              <w:pStyle w:val="TableContents"/>
              <w:bidi w:val="0"/>
              <w:spacing w:before="0" w:after="283"/>
              <w:jc w:val="left"/>
              <w:rPr/>
            </w:pPr>
            <w:hyperlink w:anchor="toc1_002">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4550" w:type="dxa"/>
            <w:tcBorders/>
            <w:shd w:fill="CCEEFF" w:val="clear"/>
            <w:vAlign w:val="center"/>
          </w:tcPr>
          <w:p>
            <w:pPr>
              <w:pStyle w:val="TableContents"/>
              <w:bidi w:val="0"/>
              <w:spacing w:before="0" w:after="283"/>
              <w:jc w:val="left"/>
              <w:rPr/>
            </w:pPr>
            <w:hyperlink w:anchor="toc1_003">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550" w:type="dxa"/>
            <w:tcBorders/>
            <w:shd w:fill="FFFFFF" w:val="clear"/>
            <w:vAlign w:val="center"/>
          </w:tcPr>
          <w:p>
            <w:pPr>
              <w:pStyle w:val="TableContents"/>
              <w:bidi w:val="0"/>
              <w:spacing w:before="0" w:after="283"/>
              <w:jc w:val="left"/>
              <w:rPr/>
            </w:pPr>
            <w:hyperlink w:anchor="toc1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550" w:type="dxa"/>
            <w:tcBorders/>
            <w:shd w:fill="CCEEFF" w:val="clear"/>
            <w:vAlign w:val="center"/>
          </w:tcPr>
          <w:p>
            <w:pPr>
              <w:pStyle w:val="TableContents"/>
              <w:bidi w:val="0"/>
              <w:spacing w:before="0" w:after="283"/>
              <w:jc w:val="left"/>
              <w:rPr/>
            </w:pPr>
            <w:hyperlink w:anchor="toc1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550" w:type="dxa"/>
            <w:tcBorders/>
            <w:shd w:fill="FFFFFF" w:val="clear"/>
            <w:vAlign w:val="center"/>
          </w:tcPr>
          <w:p>
            <w:pPr>
              <w:pStyle w:val="TableContents"/>
              <w:bidi w:val="0"/>
              <w:spacing w:before="0" w:after="283"/>
              <w:jc w:val="left"/>
              <w:rPr/>
            </w:pPr>
            <w:hyperlink w:anchor="toc1_006">
              <w:r>
                <w:rPr>
                  <w:rStyle w:val="InternetLink"/>
                  <w:rFonts w:ascii="Times New Roman;Times;Serif" w:hAnsi="Times New Roman;Times;Serif"/>
                  <w:b w:val="false"/>
                  <w:i w:val="false"/>
                  <w:caps w:val="false"/>
                  <w:smallCaps w:val="false"/>
                  <w:sz w:val="20"/>
                </w:rPr>
                <w:t>Description of Share Capital and Governing Documents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550" w:type="dxa"/>
            <w:tcBorders/>
            <w:shd w:fill="CCEEFF" w:val="clear"/>
            <w:vAlign w:val="center"/>
          </w:tcPr>
          <w:p>
            <w:pPr>
              <w:pStyle w:val="TableContents"/>
              <w:bidi w:val="0"/>
              <w:spacing w:before="0" w:after="283"/>
              <w:jc w:val="left"/>
              <w:rPr/>
            </w:pPr>
            <w:hyperlink w:anchor="toc1_007">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550" w:type="dxa"/>
            <w:tcBorders/>
            <w:shd w:fill="FFFFFF" w:val="clear"/>
            <w:vAlign w:val="center"/>
          </w:tcPr>
          <w:p>
            <w:pPr>
              <w:pStyle w:val="TableContents"/>
              <w:bidi w:val="0"/>
              <w:spacing w:before="0" w:after="283"/>
              <w:jc w:val="left"/>
              <w:rPr/>
            </w:pPr>
            <w:hyperlink w:anchor="toc1_008">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4550" w:type="dxa"/>
            <w:tcBorders/>
            <w:shd w:fill="CCEEFF" w:val="clear"/>
            <w:vAlign w:val="center"/>
          </w:tcPr>
          <w:p>
            <w:pPr>
              <w:pStyle w:val="TableContents"/>
              <w:bidi w:val="0"/>
              <w:spacing w:before="0" w:after="283"/>
              <w:jc w:val="left"/>
              <w:rPr/>
            </w:pPr>
            <w:hyperlink w:anchor="toc1_009">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FFFFFF" w:val="clear"/>
            <w:vAlign w:val="center"/>
          </w:tcPr>
          <w:p>
            <w:pPr>
              <w:pStyle w:val="TableContents"/>
              <w:bidi w:val="0"/>
              <w:spacing w:before="0" w:after="283"/>
              <w:jc w:val="left"/>
              <w:rPr/>
            </w:pPr>
            <w:hyperlink w:anchor="toc1_010">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CCEEFF" w:val="clear"/>
            <w:vAlign w:val="center"/>
          </w:tcPr>
          <w:p>
            <w:pPr>
              <w:pStyle w:val="TableContents"/>
              <w:bidi w:val="0"/>
              <w:spacing w:before="0" w:after="283"/>
              <w:jc w:val="left"/>
              <w:rPr/>
            </w:pPr>
            <w:hyperlink w:anchor="toc1_011">
              <w:r>
                <w:rPr>
                  <w:rStyle w:val="InternetLink"/>
                  <w:rFonts w:ascii="Times New Roman;Times;Serif" w:hAnsi="Times New Roman;Times;Serif"/>
                  <w:b w:val="false"/>
                  <w:i w:val="false"/>
                  <w:caps w:val="false"/>
                  <w:smallCaps w:val="false"/>
                  <w:sz w:val="20"/>
                </w:rPr>
                <w:t>Expenses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FFFFFF" w:val="clear"/>
            <w:vAlign w:val="center"/>
          </w:tcPr>
          <w:p>
            <w:pPr>
              <w:pStyle w:val="TableContents"/>
              <w:bidi w:val="0"/>
              <w:spacing w:before="0" w:after="283"/>
              <w:jc w:val="left"/>
              <w:rPr/>
            </w:pPr>
            <w:hyperlink w:anchor="toc1_012">
              <w:r>
                <w:rPr>
                  <w:rStyle w:val="InternetLink"/>
                  <w:rFonts w:ascii="Times New Roman;Times;Serif" w:hAnsi="Times New Roman;Times;Serif"/>
                  <w:b w:val="false"/>
                  <w:i w:val="false"/>
                  <w:caps w:val="false"/>
                  <w:smallCaps w:val="false"/>
                  <w:sz w:val="20"/>
                </w:rPr>
                <w:t>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550" w:type="dxa"/>
            <w:tcBorders/>
            <w:shd w:fill="CCEEFF" w:val="clear"/>
            <w:vAlign w:val="center"/>
          </w:tcPr>
          <w:p>
            <w:pPr>
              <w:pStyle w:val="TableContents"/>
              <w:bidi w:val="0"/>
              <w:spacing w:before="0" w:after="283"/>
              <w:jc w:val="left"/>
              <w:rPr/>
            </w:pPr>
            <w:hyperlink w:anchor="toc1_01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550" w:type="dxa"/>
            <w:tcBorders/>
            <w:shd w:fill="FFFFFF" w:val="clear"/>
            <w:vAlign w:val="center"/>
          </w:tcPr>
          <w:p>
            <w:pPr>
              <w:pStyle w:val="TableContents"/>
              <w:bidi w:val="0"/>
              <w:spacing w:before="0" w:after="283"/>
              <w:jc w:val="left"/>
              <w:rPr/>
            </w:pPr>
            <w:hyperlink w:anchor="toc1_014">
              <w:r>
                <w:rPr>
                  <w:rStyle w:val="InternetLink"/>
                  <w:rFonts w:ascii="Times New Roman;Times;Serif" w:hAnsi="Times New Roman;Times;Serif"/>
                  <w:b w:val="false"/>
                  <w:i w:val="false"/>
                  <w:caps w:val="false"/>
                  <w:smallCaps w:val="false"/>
                  <w:sz w:val="20"/>
                </w:rPr>
                <w:t>Incorporation of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responsible for the information contained and incorporated by reference in this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toc1_001"/>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shelf registration statement that we have filed with the U.S.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shelf registration, we may offer our ordinary shares, ordinary shares represented by ADSs, rights or any combination thereof, from time to time in one or more offerings. The total amount of these securities will have an initial aggregate offering price of up to $100,000,000. This prospectus only provides you with a general description of the securities that we may offer. Each time we offer a type of securities under this prospectus, we will provide a prospectus supplement that will contain more specific information about the specific terms of the offering. If any such securities are to be listed or quoted on a securities exchange or quotation system, the applicable prospectus supplement will say so. We may also authorize one or more free writing prospectuses to be provided to you that may contain material information relating to these offerings. This prospectus may not be used to sell our securities unless accompanied by a prospectus supplement. Each such prospectus supplement and any free writing prospectus that we may authorize to be provided to you may also add, update or change information contained in this prospectus or in documents incorporated by reference into this prospectus. We urge you to carefully read this prospectus, any applicable prospectus supplement and any related free writing prospectus, together with the information incorporated herein by reference as described under the headings “Where You Can Find More Information” and “Incorporation of Information by Reference” before you invest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additional information or information different from that contained in or incorporated by reference in this prospectus, any applicable prospectus supplement and any related free writing prospectus filed with the SEC. We take no responsibility for, and can provide no assurances as to the reliability of, any information not contained in this prospectus, any applicable prospectus supplement or any related free writing prospectus that we may authorize to be provided to you. This prospectus is an offer to sell only the securities offered hereby, but only under circumstances and in jurisdictions where offers and sales of the securities are legally permitted. The information contained in this prospectus, any applicable prospectus supplement or any related free writing prospectus we file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that date. We will update this prospectus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 rather than establishing matters of fact. The information in the exhibits should not be read alone and instead should be read in conjunction with the information in this prospectus and other filings that we make with the SEC. Moreover, such representations, warranties or covenants were accurate only as of the date they were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“U.S. dollars” or “$” are to the legal currency of the United States and all references to “€” or “euro” are to the currency introduced at the start of the third stage of the European economic and monetary union pursuant to the treaty establishing the European Community,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included in this prospectus have been rounded for ease of presentation. Percentage figures included in this prospectus have not in all cases been calculated on the basis of such rounded figures but on the basis of such amounts prior to rounding. For this reason, percentage amounts in this prospectus may vary slightly from those obtained by performing the same calculations using the figures in our consolidated financial statements. Certain other amounts that appear in this prospectus may similarly not sum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throughout this prospectus, any applicable prospectus supplement and any related free writing prospectus, the words “Genenta,” “we,” “us,” “our,” “the Company,” “our company” or similar references refer to Genenta Science S.p.A. and its subsidiaries; and the term “securities” refers collectively to our ordinary shares, ordinary shares represented by ADSs, rights, or any combination of the foregoing securities.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7" w:color="000000"/>
        </w:rPr>
      </w:pPr>
      <w:bookmarkStart w:id="18" w:name="toc1_002"/>
      <w:bookmarkEnd w:id="18"/>
      <w:r>
        <w:rPr>
          <w:rFonts w:ascii="Times New Roman;Times;Serif" w:hAnsi="Times New Roman;Times;Serif"/>
          <w:b/>
          <w:i w:val="false"/>
          <w:caps w:val="false"/>
          <w:smallCaps w:val="false"/>
          <w:sz w:val="20"/>
          <w:bdr w:val="single" w:sz="12" w:space="7" w:color="000000"/>
        </w:rPr>
        <w:t>PROSPECTUS SUMMARY</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This summary highlights information contained in other parts of this prospectus or incorporated by reference in this prospectus from our Annual Report on Form 20-F for the year ended December 31, 2022, and our other filings with the SEC listed below under the heading “Incorporation of Information by Reference.” This summary may not contain all the information that you should consider before investing in our securities. You should read the entire prospectus, any applicable prospectus supplement and the information incorporated by reference in this prospectus and any applicable prospectus supplement carefully, including “Risk Factors” and the financial data and related notes and other information incorporated by reference, before making an investment decision. See “Special Note Regarding Forward-Looking Statements.”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Company Overview</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are a clinical-stage biotechnology company engaged in the development of hematopoietic stem cell gene therapies for the treatment of solid tumors. We have developed a novel biologic platform that involves the ex-vivo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Corporate Information</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Genenta was formed as an Italian limited liability company (</w:t>
      </w:r>
      <w:r>
        <w:rPr>
          <w:rFonts w:ascii="Times New Roman;Times;Serif" w:hAnsi="Times New Roman;Times;Serif"/>
          <w:b w:val="false"/>
          <w:i/>
          <w:caps w:val="false"/>
          <w:smallCaps w:val="false"/>
          <w:sz w:val="20"/>
          <w:bdr w:val="single" w:sz="12" w:space="7" w:color="000000"/>
        </w:rPr>
        <w:t>società a responsabilità limitata</w:t>
      </w:r>
      <w:r>
        <w:rPr>
          <w:rFonts w:ascii="Times New Roman;Times;Serif" w:hAnsi="Times New Roman;Times;Serif"/>
          <w:b w:val="false"/>
          <w:i w:val="false"/>
          <w:caps w:val="false"/>
          <w:smallCaps w:val="false"/>
          <w:sz w:val="20"/>
          <w:bdr w:val="single" w:sz="12" w:space="7" w:color="000000"/>
        </w:rPr>
        <w:t>) in 2014. In May 2021, we changed the legal form of our company under Italian law to a joint stock company (</w:t>
      </w:r>
      <w:r>
        <w:rPr>
          <w:rFonts w:ascii="Times New Roman;Times;Serif" w:hAnsi="Times New Roman;Times;Serif"/>
          <w:b w:val="false"/>
          <w:i/>
          <w:caps w:val="false"/>
          <w:smallCaps w:val="false"/>
          <w:sz w:val="20"/>
          <w:bdr w:val="single" w:sz="12" w:space="7" w:color="000000"/>
        </w:rPr>
        <w:t>società per azioni</w:t>
      </w:r>
      <w:r>
        <w:rPr>
          <w:rFonts w:ascii="Times New Roman;Times;Serif" w:hAnsi="Times New Roman;Times;Serif"/>
          <w:b w:val="false"/>
          <w:i w:val="false"/>
          <w:caps w:val="false"/>
          <w:smallCaps w:val="false"/>
          <w:sz w:val="20"/>
          <w:bdr w:val="single" w:sz="12" w:space="7" w:color="000000"/>
        </w:rPr>
        <w:t>).</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Our principal executive offices are located at Via Olgettina No. 58, 20132 Milan, Italy. Our telephone number in Italy is +39.02.2643.6639. Our website address is www.genenta.com. The information contained on, or that can be accessed through, our website is not part of, and is not incorporated by reference into, this prospectus. We have included our website address in this prospectus solely as an inactive textual reference. Investors should not rely on any such information in deciding whether to purchase our securities.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Nasdaq Listing</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ADSs, each representing one ordinary share of the Company, have been listed on the Nasdaq Capital Market under the symbol “GNTA” since December 2021.</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The Securities We May Offer</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With this prospectus, we may offer ordinary shares, ordinary shares represented by ADSs, rights or any combination thereof. The aggregate offering price of securities that we may offer with this prospectus will not exceed $100,000,000. Each time we offer securities with this prospectus, we will provide offerees with a prospectus supplement that will contain the specific terms of the securities being offered. The following is a summary of the securities we may offer with this prospectus.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Ordinary Shares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may offer ordinary shares with no par value.</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Ordinary Shares Represented by ADSs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may offer ADSs, each representing one ordinary share of the Company.</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Rights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 xml:space="preserve">We may offer rights exercisable for ordinary shares and/or ordinary shares represented by ADSs. We may issue rights independently or together with other securities, the rights may be attached to or separate from these securities and the rights may or may not be transferable by the shareholder receiving the rights in the rights offering. </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toc1_003"/>
      <w:bookmarkEnd w:id="19"/>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carefully consider the risks described in “Item 3. Key Information—D. Risk Factors” in our Annual Report on Form 20-F for the year ended December 31, 2022, which is incorporated herein by reference, and other documents we file with the SEC that are incorporated by reference in this prospectus and any applicable prospectus supplement, before making an investment decision. Each of the risks described could materially adversely affect our business, financial condition or results of operations, or the trading price of our securities. In such case, you could lose all or a portion of your original investment. See “Where You Can Find More Information.”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toc1_004"/>
      <w:bookmarkEnd w:id="20"/>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many statements that are “forward-looking” within the meaning of Section 27A of the Securities Act of 1933, as amended (the “Securities Act”), and Section 21E of the Securities Exchange Act of 1934, as amended (the “Exchange Act”),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prospectus, any or all of those assumptions could prove to be inaccurate. As a result, the forward-looking statements based on those assumptions could also be incorrect. The forward-looking statements in this prospectus include, without limitation, statements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revenues, profits, earnings and other estimated financial information;</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strong relationships with our customers and suppliers;</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planned use of proceeds;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governmental policies regarding our industry; and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 factors as set forth under the “Risk Factors” section of this prospectus and under “Item 3. Key Information—D. Risk Factors.” in our Annual Report on Form 20-F for the year ended December 31, 2022, which report is incorporated by reference in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SEC after the date of this prospectus.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also read carefully the factors described in the “Risk Factors” section of this prospectus, in “Item 3. Key Information—D. Risk Factors” in our Annual Report on Form 20-F for the year ended December 31, 2022 and in the other documents that we file with the SEC after the date of this prospectus that are incorporated by reference into this prospectus to better understand the risks and uncertainties inherent in our business and underlying any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toc1_005"/>
      <w:bookmarkEnd w:id="21"/>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prospectus supplement or in any related free writing prospectus that we may authorize to be provided to you, the net proceeds received by us from our sale of the securities described in this prospectus will be used for our general corporate purposes, w</w:t>
      </w:r>
      <w:r>
        <w:rPr>
          <w:rFonts w:ascii="Times New Roman;Times;Serif" w:hAnsi="Times New Roman;Times;Serif"/>
          <w:b w:val="false"/>
          <w:i w:val="false"/>
          <w:caps w:val="false"/>
          <w:smallCaps w:val="false"/>
          <w:sz w:val="20"/>
          <w:shd w:fill="FFFFFF" w:val="clear"/>
        </w:rPr>
        <w:t>hich may include funding research and development, increasing our working capital, reducing indebtedness, acquisitions or investments in businesses, products or technologies that are complementary to our own and capital expenditures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toc1_006"/>
      <w:bookmarkEnd w:id="22"/>
      <w:r>
        <w:rPr>
          <w:rFonts w:ascii="Times New Roman;Times;Serif" w:hAnsi="Times New Roman;Times;Serif"/>
          <w:b/>
          <w:i w:val="false"/>
          <w:caps w:val="false"/>
          <w:smallCaps w:val="false"/>
          <w:sz w:val="20"/>
        </w:rPr>
        <w:t>DESCRIPTION OF SHARE CAPITAL AND GOVERNING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capital is composed of ordinary shares with no par value. As of December 31, 2022, our issued share capital consisted of 18,216,858 ordinary shares. All issued shares are fully paid, non-assessable and in registered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preference shares are designated,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information concerning our ordinary shares and bylaws (</w:t>
      </w:r>
      <w:r>
        <w:rPr>
          <w:rFonts w:ascii="Times New Roman;Times;Serif" w:hAnsi="Times New Roman;Times;Serif"/>
          <w:b w:val="false"/>
          <w:i/>
          <w:caps w:val="false"/>
          <w:smallCaps w:val="false"/>
          <w:sz w:val="20"/>
        </w:rPr>
        <w:t>Statuto</w:t>
      </w:r>
      <w:r>
        <w:rPr>
          <w:rFonts w:ascii="Times New Roman;Times;Serif" w:hAnsi="Times New Roman;Times;Serif"/>
          <w:b w:val="false"/>
          <w:i w:val="false"/>
          <w:caps w:val="false"/>
          <w:smallCaps w:val="false"/>
          <w:sz w:val="20"/>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most of the procedures regulating our Company, including certain rights of shareholders, are contained in our bylaws. Amendments to our bylaws must be approved at an extraordinary meeting of shareholders,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and 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not represented by share certificates (</w:t>
      </w:r>
      <w:r>
        <w:rPr>
          <w:rFonts w:ascii="Times New Roman;Times;Serif" w:hAnsi="Times New Roman;Times;Serif"/>
          <w:b w:val="false"/>
          <w:i/>
          <w:caps w:val="false"/>
          <w:smallCaps w:val="false"/>
          <w:sz w:val="20"/>
        </w:rPr>
        <w:t xml:space="preserve">certificati azionari) </w:t>
      </w:r>
      <w:r>
        <w:rPr>
          <w:rFonts w:ascii="Times New Roman;Times;Serif" w:hAnsi="Times New Roman;Times;Serif"/>
          <w:b w:val="false"/>
          <w:i w:val="false"/>
          <w:caps w:val="false"/>
          <w:smallCaps w:val="false"/>
          <w:sz w:val="20"/>
        </w:rPr>
        <w:t xml:space="preserve">as they are dematerialised </w:t>
      </w:r>
      <w:r>
        <w:rPr>
          <w:rFonts w:ascii="Times New Roman;Times;Serif" w:hAnsi="Times New Roman;Times;Serif"/>
          <w:b w:val="false"/>
          <w:i/>
          <w:caps w:val="false"/>
          <w:smallCaps w:val="false"/>
          <w:sz w:val="20"/>
        </w:rPr>
        <w:t>(azioni dematerializzate</w:t>
      </w:r>
      <w:r>
        <w:rPr>
          <w:rFonts w:ascii="Times New Roman;Times;Serif" w:hAnsi="Times New Roman;Times;Serif"/>
          <w:b w:val="false"/>
          <w:i w:val="false"/>
          <w:caps w:val="false"/>
          <w:smallCaps w:val="false"/>
          <w:sz w:val="20"/>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the right to own or vote our ordinary shares, which applies to non-Italian residents and foreign residents except for “Golden Power” regulations and Italian Antitrust laws (see “Notification of acquisition of shares” below).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where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by the Company of any annual dividend is proposed by the board of directors and is subject to the approval of the shareholders at the annual shareholders’ meeting. Before dividends may be paid out of the Company’s unconsolidated net income in any year, an amount at least equal to 5% of such net income must be allocated to the Company’s legal reserve until such reserve is at least equal to one-fifth of the Company’s issued share capital. If the Company’s share capital is reduced as a result of accumulated losses, no dividends may be paid until the capital is reconstituted or reduced by the amount of such losses. The Company may pay dividends out of available retained earnings from prior years, provided that, after such payment, the Company will have a legal reserve at least equal to the legally required minimum. No interim dividends may be approved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in the manner and on the date specified in the shareholders’ resolution approving their payment. Dividends that are not collected within five years of the date on which they become payable are forfeited to the benefit of the Company. Holders of ADSs will be entitled to receive payments in respect of dividends on the underlying shares through The Bank of New York Mellon, as Depositary, in accordance with the Deposit Agreement.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the Company’s ordinary shares are entitled to one vote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registered shareholder of the ordinary shares underlying the ADSs, the Depositary (or its nominee) will be entitled to vote the ordinary shares underlying the ADSs with respect to voting instructions received from ADS holders in accordance with the terms and conditions of the Deposit Agreement. Neither Italian law nor the Company’s bylaws limit the right of non-resident or foreign owners of the Company’s ordinary shares to hold or vote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 Those who exercise their preemptive rights, provided they make such request simultaneously, have a preemptive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shareholders’ equity, taking into account, in the case of shares listed on regulated markets, also the trend in prices over the last six months. The foregoing procedure shall apply also in case of capital increase delegated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Preference shares;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Debt-equity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Times New Roman;Times;Serif" w:hAnsi="Times New Roman;Times;Serif"/>
          <w:b w:val="false"/>
          <w:i/>
          <w:caps w:val="false"/>
          <w:smallCaps w:val="false"/>
          <w:sz w:val="20"/>
        </w:rPr>
        <w:t>valore nominale</w:t>
      </w:r>
      <w:r>
        <w:rPr>
          <w:rFonts w:ascii="Times New Roman;Times;Serif" w:hAnsi="Times New Roman;Times;Serif"/>
          <w:b w:val="false"/>
          <w:i w:val="false"/>
          <w:caps w:val="false"/>
          <w:smallCaps w:val="false"/>
          <w:sz w:val="20"/>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Reduction of equity by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present intention to enter into any such transaction and no such transaction is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of shares by us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if we do not have such available profits or reserves,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limitations do not apply in case we purchase our shares: (i) by giving execution to a shareholders’ meeting resolution authorizing capital reduction through repurchase or cancellation; (ii) for free, to the extent they are fully paid-in; (iii) as a consequence of universal succession, merger or demerger; or (iv) on occasion of foreclosures authorized to satisfy a creditor of our company, to the extent they are fully paid-in.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 of the acquisition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we fall under the scope of the Law Decree No. 21 of March 15, 2012 (the so-called Italian “Golden Power” regulations), as subsequently amended and supplemented, (i) certain resolutions of the Company and, if specific thresholds requirements are met, and (ii) certain third-party investors’ purchases of our shares may be subject to </w:t>
      </w:r>
      <w:r>
        <w:rPr>
          <w:rFonts w:ascii="Times New Roman;Times;Serif" w:hAnsi="Times New Roman;Times;Serif"/>
          <w:b w:val="false"/>
          <w:i/>
          <w:caps w:val="false"/>
          <w:smallCaps w:val="false"/>
          <w:sz w:val="20"/>
        </w:rPr>
        <w:t xml:space="preserve">ad hoc </w:t>
      </w:r>
      <w:r>
        <w:rPr>
          <w:rFonts w:ascii="Times New Roman;Times;Serif" w:hAnsi="Times New Roman;Times;Serif"/>
          <w:b w:val="false"/>
          <w:i w:val="false"/>
          <w:caps w:val="false"/>
          <w:smallCaps w:val="false"/>
          <w:sz w:val="20"/>
        </w:rPr>
        <w:t>notifications to the Italian Government which may object to the transaction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in such cases the Government would have,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to veto or to impose specific conditions with respect to the acquisition of certain shareholdings by any foreign entity outside the European Union with respect to companies having assets and business in sectors of strategic importance;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to veto or impose specific conditions with regard to the adoption of specific corporate resolutions, acts or transactions by the same companies.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Minority shareholders’ rights; withdrawal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may bring to the attention of the board of statutory auditors facts or acts which such shareholder deems wrongful. If such shareholders represent at least 5% of our share capital, or in case we are considered an Open Company (as described below)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governed by the corporate laws of Italy, and is legally considered and treated, according to the Italian Civil Code, as a private company because our shares are not listed on a regulated market in Italy or within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under Italian corporate law, while joint-stock companies are all the same type of legal entity, there is a distinction between those companies that do not have access to the capital markets (</w:t>
      </w:r>
      <w:r>
        <w:rPr>
          <w:rFonts w:ascii="Times New Roman;Times;Serif" w:hAnsi="Times New Roman;Times;Serif"/>
          <w:b w:val="false"/>
          <w:i/>
          <w:caps w:val="false"/>
          <w:smallCaps w:val="false"/>
          <w:sz w:val="20"/>
        </w:rPr>
        <w:t>Private Companies</w:t>
      </w:r>
      <w:r>
        <w:rPr>
          <w:rFonts w:ascii="Times New Roman;Times;Serif" w:hAnsi="Times New Roman;Times;Serif"/>
          <w:b w:val="false"/>
          <w:i w:val="false"/>
          <w:caps w:val="false"/>
          <w:smallCaps w:val="false"/>
          <w:sz w:val="20"/>
        </w:rPr>
        <w:t>) and companies that have such access. This latter category comprises both companies listed on European regulated markets (</w:t>
      </w:r>
      <w:r>
        <w:rPr>
          <w:rFonts w:ascii="Times New Roman;Times;Serif" w:hAnsi="Times New Roman;Times;Serif"/>
          <w:b w:val="false"/>
          <w:i/>
          <w:caps w:val="false"/>
          <w:smallCaps w:val="false"/>
          <w:sz w:val="20"/>
        </w:rPr>
        <w:t>Public Companies</w:t>
      </w:r>
      <w:r>
        <w:rPr>
          <w:rFonts w:ascii="Times New Roman;Times;Serif" w:hAnsi="Times New Roman;Times;Serif"/>
          <w:b w:val="false"/>
          <w:i w:val="false"/>
          <w:caps w:val="false"/>
          <w:smallCaps w:val="false"/>
          <w:sz w:val="20"/>
        </w:rPr>
        <w:t>) and companies whose securities are not listed on such markets, insofar as they have completed a significant distribution of their securities among the public (so-called “</w:t>
      </w:r>
      <w:r>
        <w:rPr>
          <w:rFonts w:ascii="Times New Roman;Times;Serif" w:hAnsi="Times New Roman;Times;Serif"/>
          <w:b w:val="false"/>
          <w:i/>
          <w:caps w:val="false"/>
          <w:smallCaps w:val="false"/>
          <w:sz w:val="20"/>
        </w:rPr>
        <w:t>emittenti aventi strumenti finanziari diffusi tra il pubblico in maniera rilevante</w:t>
      </w:r>
      <w:r>
        <w:rPr>
          <w:rFonts w:ascii="Times New Roman;Times;Serif" w:hAnsi="Times New Roman;Times;Serif"/>
          <w:b w:val="false"/>
          <w:i w:val="false"/>
          <w:caps w:val="false"/>
          <w:smallCaps w:val="false"/>
          <w:sz w:val="20"/>
        </w:rPr>
        <w:t>”), according to the relevant provisions set forth in Italian Financials’ Consolidated Act and its implementing provisions (</w:t>
      </w:r>
      <w:r>
        <w:rPr>
          <w:rFonts w:ascii="Times New Roman;Times;Serif" w:hAnsi="Times New Roman;Times;Serif"/>
          <w:b w:val="false"/>
          <w:i/>
          <w:caps w:val="false"/>
          <w:smallCaps w:val="false"/>
          <w:sz w:val="20"/>
        </w:rPr>
        <w:t>Open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2-bis of the Issuer’s Regulation implemented by Consob (</w:t>
      </w:r>
      <w:r>
        <w:rPr>
          <w:rFonts w:ascii="Times New Roman;Times;Serif" w:hAnsi="Times New Roman;Times;Serif"/>
          <w:b w:val="false"/>
          <w:i/>
          <w:caps w:val="false"/>
          <w:smallCaps w:val="false"/>
          <w:sz w:val="20"/>
        </w:rPr>
        <w:t>Regolamento emittenti</w:t>
      </w:r>
      <w:r>
        <w:rPr>
          <w:rFonts w:ascii="Times New Roman;Times;Serif" w:hAnsi="Times New Roman;Times;Serif"/>
          <w:b w:val="false"/>
          <w:i w:val="false"/>
          <w:caps w:val="false"/>
          <w:smallCaps w:val="false"/>
          <w:sz w:val="20"/>
        </w:rPr>
        <w:t>), Open Companies must meet the following requirements: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at least 500 shareholders in addition to the majority shareholders who hold at least 5% of the outstanding share capital;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exceeding at least two out of the following three thresholds:</w:t>
            </w:r>
          </w:p>
        </w:tc>
      </w:tr>
    </w:tbl>
    <w:p>
      <w:pPr>
        <w:pStyle w:val="TextBody"/>
        <w:bidi w:val="0"/>
        <w:spacing w:before="0" w:after="283"/>
        <w:jc w:val="left"/>
        <w:rPr/>
      </w:pPr>
      <w:r>
        <w:rPr/>
        <w:t> </w:t>
      </w:r>
    </w:p>
    <w:tbl>
      <w:tblPr>
        <w:tblW w:w="3760" w:type="dxa"/>
        <w:jc w:val="left"/>
        <w:tblInd w:w="0" w:type="dxa"/>
        <w:tblLayout w:type="fixed"/>
        <w:tblCellMar>
          <w:top w:w="0" w:type="dxa"/>
          <w:left w:w="0" w:type="dxa"/>
          <w:bottom w:w="0" w:type="dxa"/>
          <w:right w:w="0" w:type="dxa"/>
        </w:tblCellMar>
      </w:tblPr>
      <w:tblGrid>
        <w:gridCol w:w="75"/>
        <w:gridCol w:w="80"/>
        <w:gridCol w:w="3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side of €4.4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of €8.8 million;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average of 50 employees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financial instruments widely distributed among the public, the regulation relating to Open Companies could apply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represented by ADSs under the symbol “GNTA.” Neither the Company’s ordinary shares nor its ADSs are listed on a securities exchange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register is currently kept by Spafid S.p.A., which acts as registrar. The share register reflects only record owners of our ordinary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toc1_007"/>
      <w:bookmarkEnd w:id="23"/>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ordinary shares, ordinary shares represented by ADSs, rights or any combination thereof from time to time in one or more offerings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and/or free writing prospectus that will describe the specific amounts, prices and other important terms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ordinary shares, please refer to the Description of Securities, filed as Exhibit 2.4 to our Annual Report on Form 20-F for the year ended December 31, 2022, which is incorporated herein by reference. Because that description is a summary, it may not contain all of the information important to you. Accordingly, that description is qualified entirely by reference to our bylaws (</w:t>
      </w:r>
      <w:r>
        <w:rPr>
          <w:rFonts w:ascii="Times New Roman;Times;Serif" w:hAnsi="Times New Roman;Times;Serif"/>
          <w:b w:val="false"/>
          <w:i/>
          <w:caps w:val="false"/>
          <w:smallCaps w:val="false"/>
          <w:sz w:val="20"/>
        </w:rPr>
        <w:t>statuto</w:t>
      </w:r>
      <w:r>
        <w:rPr>
          <w:rFonts w:ascii="Times New Roman;Times;Serif" w:hAnsi="Times New Roman;Times;Serif"/>
          <w:b w:val="false"/>
          <w:i w:val="false"/>
          <w:caps w:val="false"/>
          <w:smallCaps w:val="false"/>
          <w:sz w:val="20"/>
        </w:rPr>
        <w:t>), a copy of which has been filed as an exhibit to the registration statement of which this prospectus forms a part.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 Representing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ADSs, please refer to the Description of Securities, filed as Exhibit 2.4 to our Annual Report on Form 20-F for the year ended December 31, 2022, which is incorporated herein by reference. Because that description is a summary, it may not contain all of the information important to you. Accordingly, that description is qualified entirely by reference to the Deposit Agreement and the form of American Depositary Receipt, which are filed as exhibits to the registration statement of which this prospectus forms a part.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for the purchase of our ordinary shares and/or ordinary shares represented by ADSs. We may issue rights independently or together with other securities, the rights may be attached to or separate from these securities and the rights may or may not be transferable by the shareholder receiving the rights in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evidence rights by rights certificates that we will issue. Rights may be issued under an applicable rights agreement that we enter into with a rights agent. We will indicate the name and address of the rights agent, if applicable, in the prospectus supplement relating to the rights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applicable prospectus supplement and any free writing prospectus that we may authorize to be provided to you related to the rights being offered, as well as the complete rights agreements and/or rights certificates that contain the terms of the rights. Forms of the rights agreements and/or forms of rights certificates containing the terms of the rights being offered will be filed as exhibits to the registration statement of which this prospectus is a part or will be incorporated by reference from reports that we file with the SEC.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toc1_008"/>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from time to time in one or more transactions. We may sell our securities to or through agents, underwriters, dealers, remarketing firms or other third parties or directly to one or more purchasers or through a combination of any of these methods. In some cases, we or dealers acting with us or on our behalf may also purchase our securities and reoffer them to the public. We may also offer and sell, or agree to deliver, securities pursuant to, or in connection with, any option agreement or other contractual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whom we designate may solicit offers to purchase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name any agent involved in offering or selling our securities, and disclose any commissions that we will pay to the agent, in the applicable prospectus supplement.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we indicate otherwise in the applicable prospectus supplement, agents will act on a best efforts basis for the period of their appointment.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Agents may be deemed to be underwriters under the Securities Act of any of our securities that they offer or sell.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an underwriter or underwriters in the offer or sale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use an underwriter or underwriters, we will execute an underwriting agreement with the underwriter or underwriters at the time that we reach an agreement for the sale of our securities.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include the names of the specific managing underwriter or underwriters, as well as the names of any other underwriters, and the terms of the transactions, including the compensation the underwriters and dealers will receive, in the applicable prospectus supplement.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underwriters will use the applicable prospectus supplement, together with the prospectus, to sell our securities.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our ordinary shares (including those represented by ADSs) in a subscription rights offering to our existing shareholders,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a dealer to sell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use a dealer, we will sell our securities to the dealer, as principal.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dealer will then sell our securities to the public at varying prices that the dealer will determine at the time it sells our securities.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include the name of the dealer and the terms of the transactions with the dealer in the applicable prospectus supplement.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solicit directly offers to purchase our securities, and we may directly sell our securities to institutional or other investors. We will describe the terms of direct sales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at-the-market offerings into an existing trading market in accordance with Rule 415(a)(4)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indemnify agents, underwriters and dealers against certain liabilities, including liabilities under the Securities Act. Agents, underwriters and dealers, or their affiliates, may be customers of, engage in transactions with or perform services for us or our respective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and underwriters to solicit offers by certain institutions to purchase our securities at the public offering price under delayed delivery contracts.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use delayed delivery contracts, we will disclose that we are using them in the applicable prospectus supplement and will tell you when we will demand payment and when delivery of our securities will be made under the delayed delivery contracts.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delayed delivery contracts will be subject only to the conditions that we describe in the applicable prospectus supplement.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describe in the applicable prospectus supplement the commission that underwriters and agents soliciting purchases of our securities under delayed delivery contracts will be entitled to receive.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connection with a particular underwritten offering of our securities, the underwriters will not be obligated to purchase offered securities unless specified conditions are satisfied, and if the underwriters do purchase any offered securities, they will purchase all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(“FINRA”).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prices relating to such prevailing market prices or at negotiated or fixed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the lock-up provisions, if any, with respect to any given offering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any offering of our securities will be detailed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identify the specific plan of distribution, including any agents, underwriters, dealers, remarketing firms or other third parties and their compensation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toc1_009"/>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will be passed upon for us by Giovannelli e Associati, Studio Legale, Italy. Any underwriters, dealers or agents will be advised by their own legal counsel concerning issues relating to any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toc1_010"/>
      <w:bookmarkEnd w:id="26"/>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Genenta as of December 31, 2022 and for its fiscal year ended December 31, 2022, included in the Company’s Annual Report on Form 20-F for the year ended December 31, 2022, incorporated by reference herein has been audited by Dannible and McKee, LLP, independent registered public accounting firm, as set forth in their report thereon. Such financial statements are incorporated by reference in this prospectus in reliance upon such report given on the authority of such firm as experts in accounting and auditing. The address of Dannible &amp; McKee, LLP is 221 S. Warren Street #500, Syracuse, New York,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Genenta as of December 31, 2021, and for each of its fiscal years in the two-year period ended December 31, 2021, included in the Company’s Annual Report on Form 20-F for the year ended December 31, 2022, incorporated by reference herein has been audited by Mayer Hoffman McCann P.C., independent registered public accounting firm, as set forth in their report thereon. Such financial statements are incorporated by reference in this prospectus in reliance upon such report given on the authority of such firm as experts in accounting and auditing. The address of Mayer Hoffman McCann P.C. is 13500 Evening Creek Drive North #450, San Diego, California,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oc1_011"/>
      <w:bookmarkEnd w:id="27"/>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SEC registration fee and the FINRA filing fee, the following are the estimated expenses related to the filing of the registration statement of which this prospectus forms a part, all of which will be paid by us. In addition, we anticipate incurring additional expenses in the future in connection with the offering of our securities pursuant to this prospectus. Any such additional expenses will be disclosed in a prospectus supplement.</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28" w:type="dxa"/>
          <w:right w:w="0" w:type="dxa"/>
        </w:tblCellMar>
      </w:tblPr>
      <w:tblGrid>
        <w:gridCol w:w="3110"/>
        <w:gridCol w:w="60"/>
        <w:gridCol w:w="146"/>
        <w:gridCol w:w="714"/>
        <w:gridCol w:w="110"/>
      </w:tblGrid>
      <w:tr>
        <w:trPr/>
        <w:tc>
          <w:tcPr>
            <w:tcW w:w="3110" w:type="dxa"/>
            <w:tcBorders>
              <w:bottom w:val="single" w:sz="12" w:space="0" w:color="000000"/>
            </w:tcBorders>
            <w:vAlign w:val="center"/>
          </w:tcPr>
          <w:p>
            <w:pPr>
              <w:pStyle w:val="TableContents"/>
              <w:bidi w:val="0"/>
              <w:spacing w:before="0" w:after="283"/>
              <w:jc w:val="center"/>
              <w:rPr>
                <w:b/>
              </w:rPr>
            </w:pPr>
            <w:r>
              <w:rPr>
                <w:b/>
              </w:rPr>
              <w:t>Expenses</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283"/>
              <w:jc w:val="left"/>
              <w:rPr/>
            </w:pPr>
            <w:r>
              <w:rPr/>
              <w:t>SEC registration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11,020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FINRA filing fee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283"/>
              <w:jc w:val="left"/>
              <w:rPr/>
            </w:pPr>
            <w:r>
              <w:rPr/>
              <w:t>Printing and engraving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110" w:type="dxa"/>
            <w:tcBorders/>
            <w:shd w:fill="FFFFFF" w:val="clear"/>
            <w:tcMar>
              <w:bottom w:w="0" w:type="dxa"/>
            </w:tcMar>
            <w:vAlign w:val="center"/>
          </w:tcPr>
          <w:p>
            <w:pPr>
              <w:pStyle w:val="TableContents"/>
              <w:bidi w:val="0"/>
              <w:spacing w:before="0" w:after="283"/>
              <w:jc w:val="left"/>
              <w:rPr/>
            </w:pPr>
            <w:r>
              <w:rPr/>
              <w:t>Legal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110" w:type="dxa"/>
            <w:tcBorders/>
            <w:shd w:fill="CCEEFF" w:val="clear"/>
            <w:tcMar>
              <w:bottom w:w="0" w:type="dxa"/>
            </w:tcMar>
            <w:vAlign w:val="center"/>
          </w:tcPr>
          <w:p>
            <w:pPr>
              <w:pStyle w:val="TableContents"/>
              <w:bidi w:val="0"/>
              <w:spacing w:before="0" w:after="283"/>
              <w:jc w:val="left"/>
              <w:rPr/>
            </w:pPr>
            <w:r>
              <w:rPr/>
              <w:t>Accounting fees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110" w:type="dxa"/>
            <w:tcBorders/>
            <w:shd w:fill="FFFFFF" w:val="clear"/>
            <w:tcMar>
              <w:bottom w:w="0" w:type="dxa"/>
            </w:tcMar>
            <w:vAlign w:val="center"/>
          </w:tcPr>
          <w:p>
            <w:pPr>
              <w:pStyle w:val="TableContents"/>
              <w:bidi w:val="0"/>
              <w:spacing w:before="0" w:after="283"/>
              <w:jc w:val="left"/>
              <w:rPr/>
            </w:pPr>
            <w:r>
              <w:rPr/>
              <w:t>Miscellaneous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714" w:type="dxa"/>
            <w:tcBorders>
              <w:bottom w:val="single" w:sz="12" w:space="0" w:color="000000"/>
            </w:tcBorders>
            <w:shd w:fill="FFFFFF" w:val="clear"/>
            <w:vAlign w:val="center"/>
          </w:tcPr>
          <w:p>
            <w:pPr>
              <w:pStyle w:val="TableContents"/>
              <w:bidi w:val="0"/>
              <w:spacing w:before="0" w:after="283"/>
              <w:jc w:val="right"/>
              <w:rPr/>
            </w:pPr>
            <w:r>
              <w:rPr/>
              <w:t>(1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11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vAlign w:val="center"/>
          </w:tcPr>
          <w:p>
            <w:pPr>
              <w:pStyle w:val="TableContents"/>
              <w:bidi w:val="0"/>
              <w:spacing w:before="0" w:after="283"/>
              <w:jc w:val="left"/>
              <w:rPr/>
            </w:pPr>
            <w:r>
              <w:rPr/>
              <w:t>$</w:t>
            </w:r>
          </w:p>
        </w:tc>
        <w:tc>
          <w:tcPr>
            <w:tcW w:w="714" w:type="dxa"/>
            <w:tcBorders>
              <w:bottom w:val="double" w:sz="6" w:space="0" w:color="000000"/>
            </w:tcBorders>
            <w:shd w:fill="CCEEFF" w:val="cle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fees and expenses depend on the securities offered and the number of issuances, and accordingly cannot be estimated at this time and will be reflected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toc1_012"/>
      <w:bookmarkEnd w:id="28"/>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Times New Roman;Times;Serif" w:hAnsi="Times New Roman;Times;Serif"/>
          <w:b w:val="false"/>
          <w:i/>
          <w:caps w:val="false"/>
          <w:smallCaps w:val="false"/>
          <w:sz w:val="20"/>
        </w:rPr>
        <w:t>without prejudice to the application of the international conventions binding on Italy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of the International Private Law Act provides that a judgment issued in a foreign country is recognized in Italy, without any proceedings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without a rehearing on the merits) being necessary, if all of the following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judge who issued the judgment had the power to decide the case pursuant to the principles on jurisdiction provided by Italian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writ of summons (or equivalent pleading) was duly served upon the defendant in compliance with the applicable provisions of the </w:t>
      </w:r>
      <w:r>
        <w:rPr>
          <w:rFonts w:ascii="Times New Roman;Times;Serif" w:hAnsi="Times New Roman;Times;Serif"/>
          <w:b w:val="false"/>
          <w:i/>
          <w:caps w:val="false"/>
          <w:smallCaps w:val="false"/>
          <w:sz w:val="20"/>
        </w:rPr>
        <w:t xml:space="preserve">lex fori </w:t>
      </w:r>
      <w:r>
        <w:rPr>
          <w:rFonts w:ascii="Times New Roman;Times;Serif" w:hAnsi="Times New Roman;Times;Serif"/>
          <w:b w:val="false"/>
          <w:i w:val="false"/>
          <w:caps w:val="false"/>
          <w:smallCaps w:val="false"/>
          <w:sz w:val="20"/>
        </w:rPr>
        <w:t>(i.e., the application of the rules of the legal system to which the judge belongs);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entered an appearance, or their default was duly declared in compliance with the applicable provisions of the </w:t>
      </w:r>
      <w:r>
        <w:rPr>
          <w:rFonts w:ascii="Times New Roman;Times;Serif" w:hAnsi="Times New Roman;Times;Serif"/>
          <w:b w:val="false"/>
          <w:i/>
          <w:caps w:val="false"/>
          <w:smallCaps w:val="false"/>
          <w:sz w:val="20"/>
        </w:rPr>
        <w:t>lex fori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judgment to be recognized is a final judgment subject to no further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judgment to be recognized does not contrast with a final judgment issued by an Italian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pending proceedings between the same parties and in relation to the same matter, which proceedings were commenced prior to the commencement of the foreign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judgment to be recognized does not conflict with Italian public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investors may be able to enforce in Italy judgments in civil and commercial matters that have been obtained from U.S. federal or state courts. Nevertheless, we cannot assure you that those judgments will be recognized or enforceable in Italy.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toc1_013"/>
      <w:bookmarkEnd w:id="29"/>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reports on Form 20-F and other information with the SEC and furnish reports on Form 6-K to the SEC.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website that contains reports and other information regarding issuers that file electronically with the SEC. Our filings with the SEC are also available to the public through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toc1_014"/>
      <w:bookmarkEnd w:id="30"/>
      <w:r>
        <w:rPr>
          <w:rFonts w:ascii="Times New Roman;Times;Serif" w:hAnsi="Times New Roman;Times;Serif"/>
          <w:b/>
          <w:i w:val="false"/>
          <w:caps w:val="false"/>
          <w:smallCaps w:val="false"/>
          <w:sz w:val="20"/>
        </w:rPr>
        <w:t>INCORPORATION OF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Reports on Form 6-K filed with the SEC on </w:t>
            </w:r>
            <w:hyperlink r:id="rId11">
              <w:r>
                <w:rPr>
                  <w:rStyle w:val="InternetLink"/>
                  <w:rFonts w:ascii="Times New Roman;Times;Serif" w:hAnsi="Times New Roman;Times;Serif"/>
                  <w:b w:val="false"/>
                  <w:i w:val="false"/>
                  <w:caps w:val="false"/>
                  <w:smallCaps w:val="false"/>
                  <w:sz w:val="20"/>
                </w:rPr>
                <w:t>February 1, 2023</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May 10, 2023</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1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2022 filed with the SEC on April 21, 2023;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descriptions of our ordinary shares and ADSs contained in </w:t>
            </w:r>
            <w:hyperlink r:id="rId15">
              <w:r>
                <w:rPr>
                  <w:rStyle w:val="InternetLink"/>
                  <w:rFonts w:ascii="Times New Roman;Times;Serif" w:hAnsi="Times New Roman;Times;Serif"/>
                  <w:b w:val="false"/>
                  <w:i w:val="false"/>
                  <w:caps w:val="false"/>
                  <w:smallCaps w:val="false"/>
                  <w:sz w:val="20"/>
                </w:rPr>
                <w:t>Exhibit 2.4</w:t>
              </w:r>
            </w:hyperlink>
            <w:r>
              <w:rPr>
                <w:rFonts w:ascii="Times New Roman;Times;Serif" w:hAnsi="Times New Roman;Times;Serif"/>
                <w:b w:val="false"/>
                <w:i w:val="false"/>
                <w:caps w:val="false"/>
                <w:smallCaps w:val="false"/>
                <w:sz w:val="20"/>
              </w:rPr>
              <w:t xml:space="preserve"> to our Annual Report on Form 20-F for the year ended December 31, 2022 filed by us with the SEC on April 21, 2023, including any amendment or report filed to update such description and any subsequent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annual reports on Form 20-F and any amendment thereto and any report on Form 6-K (or portion thereof) that expressly indicates it is being incorporated by reference in this prospectus, in each case, that we file with or furnish to the SEC prior to the termination or completion of the offering under this prospectus (including all such reports or documents we may file with or furnish to the SEC on or after the date on which the registration statement of which this prospectus is a part is first filed with the SEC and prior to the effectiveness of the registration statement), will also be incorporated by reference into this prospectus and deemed to be part of this prospectus from the date of the filing or furnishing of such reports and documents. Unless expressly incorporated by reference, nothing in this prospectus shall be deemed to incorporate by reference information furnished to, but not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documents that are incorporated by reference are available at the website maintained by the SEC at http://www.sec.gov. In addition, copies of all documents incorporated by reference in this prospectus, other than exhibits to those documents unless such exhibits are specifically incorporated by reference in this prospectus, will be provided at no cost to each person, including any beneficial owner, to whom a copy of this prospectus is delivered on the written or oral request of that person made to: Genenta Science S.p.A., Via Olgettina No. 58, 20132, Milan, Italy, Attention: Pierluigi Paracchi.</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67050" cy="695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3067050" cy="695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Up to $16,362,816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American Depositary Shares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Representing Ordinary Shares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PROSPECTUS SUPPLEMENT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3015"/>
        <w:gridCol w:w="3015"/>
      </w:tblGrid>
      <w:tr>
        <w:trPr/>
        <w:tc>
          <w:tcPr>
            <w:tcW w:w="301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905000"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905000" cy="600075"/>
                          </a:xfrm>
                          <a:prstGeom prst="rect">
                            <a:avLst/>
                          </a:prstGeom>
                        </pic:spPr>
                      </pic:pic>
                    </a:graphicData>
                  </a:graphic>
                </wp:inline>
              </w:drawing>
            </w:r>
          </w:p>
        </w:tc>
        <w:tc>
          <w:tcPr>
            <w:tcW w:w="301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905000" cy="600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8"/>
                          <a:stretch>
                            <a:fillRect/>
                          </a:stretch>
                        </pic:blipFill>
                        <pic:spPr bwMode="auto">
                          <a:xfrm>
                            <a:off x="0" y="0"/>
                            <a:ext cx="1905000" cy="60007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26, 2024</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38716/000149315224011999/form20-f.htm" TargetMode="External"/><Relationship Id="rId6" Type="http://schemas.openxmlformats.org/officeDocument/2006/relationships/hyperlink" Target="https://www.sec.gov/Archives/edgar/data/1838716/000149315224012534/form20-fa.htm" TargetMode="External"/><Relationship Id="rId7" Type="http://schemas.openxmlformats.org/officeDocument/2006/relationships/hyperlink" Target="https://www.sec.gov/Archives/edgar/data/1838716/000149315224012851/form6-k.htm" TargetMode="External"/><Relationship Id="rId8" Type="http://schemas.openxmlformats.org/officeDocument/2006/relationships/hyperlink" Target="https://www.sec.gov/Archives/edgar/data/1838716/000149315224013871/form6-k.htm" TargetMode="External"/><Relationship Id="rId9" Type="http://schemas.openxmlformats.org/officeDocument/2006/relationships/hyperlink" Target="https://www.sec.gov/Archives/edgar/data/1838716/000149315222011671/ex2-4.htm" TargetMode="External"/><Relationship Id="rId10" Type="http://schemas.openxmlformats.org/officeDocument/2006/relationships/image" Target="media/image1.jpeg"/><Relationship Id="rId11" Type="http://schemas.openxmlformats.org/officeDocument/2006/relationships/hyperlink" Target="https://www.sec.gov/Archives/edgar/data/1838716/000149315223003331/form6-k.htm" TargetMode="External"/><Relationship Id="rId12" Type="http://schemas.openxmlformats.org/officeDocument/2006/relationships/hyperlink" Target="https://www.sec.gov/Archives/edgar/data/1838716/000149315223014964/form6-k.htm" TargetMode="External"/><Relationship Id="rId13" Type="http://schemas.openxmlformats.org/officeDocument/2006/relationships/hyperlink" Target="https://www.sec.gov/Archives/edgar/data/1838716/000149315223016155/form6-k.htm" TargetMode="External"/><Relationship Id="rId14" Type="http://schemas.openxmlformats.org/officeDocument/2006/relationships/hyperlink" Target="https://www.sec.gov/ix?doc=/Archives/edgar/data/0001838716/000149315223013272/form20-f.htm" TargetMode="External"/><Relationship Id="rId15" Type="http://schemas.openxmlformats.org/officeDocument/2006/relationships/hyperlink" Target="https://www.sec.gov/Archives/edgar/data/1838716/000149315222011671/ex2-4.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20256</Words>
  <Characters>107232</Characters>
  <CharactersWithSpaces>127569</CharactersWithSpaces>
  <Paragraphs>1294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