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left="340" w:right="60"/>
        <w:spacing w:after="0" w:line="312" w:lineRule="auto"/>
        <w:rPr>
          <w:sz w:val="20"/>
          <w:szCs w:val="20"/>
          <w:color w:val="auto"/>
        </w:rPr>
      </w:pPr>
      <w:r>
        <w:rPr>
          <w:rFonts w:ascii="Arial" w:cs="Arial" w:eastAsia="Arial" w:hAnsi="Arial"/>
          <w:sz w:val="17"/>
          <w:szCs w:val="17"/>
          <w:b w:val="1"/>
          <w:bCs w:val="1"/>
          <w:color w:val="auto"/>
        </w:rPr>
        <w:t>Confidentially submitted to the Securities and Exchange Commission on October 29, 2021. This revised draft registration statement has not been publicly filed with the Securities and Exchange Commission and all information herein remains strictly confidential.</w:t>
      </w:r>
    </w:p>
    <w:p>
      <w:pPr>
        <w:spacing w:after="0" w:line="167" w:lineRule="exact"/>
        <w:rPr>
          <w:sz w:val="24"/>
          <w:szCs w:val="24"/>
          <w:color w:val="auto"/>
        </w:rPr>
      </w:pPr>
    </w:p>
    <w:p>
      <w:pPr>
        <w:ind w:left="89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Republic of Italy</w:t>
            </w:r>
          </w:p>
        </w:tc>
        <w:tc>
          <w:tcPr>
            <w:tcW w:w="24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9"/>
              </w:rPr>
              <w:t>2836</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 incorporation or</w:t>
            </w:r>
          </w:p>
        </w:tc>
        <w:tc>
          <w:tcPr>
            <w:tcW w:w="22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i w:val="1"/>
                <w:iCs w:val="1"/>
                <w:color w:val="auto"/>
                <w:w w:val="93"/>
              </w:rPr>
              <w:t>(Primary Standard Industrial Classification Code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organization)</w:t>
            </w: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0"/>
              </w:rPr>
              <w:t>Number</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1"/>
              </w:rPr>
              <w:t>Pierluigi Paracchi</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Chief Executive Officer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Cogency Global Inc.</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2"/>
              </w:rPr>
              <w:t>Via Olgettina No. 58</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122 East 42nd Street, 18th Floor</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5"/>
              </w:rPr>
              <w:t>20132 Milan, Italy</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New York, New York 10168</w:t>
            </w:r>
          </w:p>
        </w:tc>
      </w:tr>
      <w:tr>
        <w:trPr>
          <w:trHeight w:val="241"/>
        </w:trPr>
        <w:tc>
          <w:tcPr>
            <w:tcW w:w="3840" w:type="dxa"/>
            <w:vAlign w:val="bottom"/>
            <w:tcBorders>
              <w:bottom w:val="single" w:sz="8" w:color="auto"/>
            </w:tcBorders>
            <w:gridSpan w:val="2"/>
          </w:tcPr>
          <w:p>
            <w:pPr>
              <w:jc w:val="center"/>
              <w:ind w:left="1610"/>
              <w:spacing w:after="0"/>
              <w:rPr>
                <w:sz w:val="20"/>
                <w:szCs w:val="20"/>
                <w:color w:val="auto"/>
              </w:rPr>
            </w:pPr>
            <w:r>
              <w:rPr>
                <w:rFonts w:ascii="Arial" w:cs="Arial" w:eastAsia="Arial" w:hAnsi="Arial"/>
                <w:sz w:val="18"/>
                <w:szCs w:val="18"/>
                <w:b w:val="1"/>
                <w:bCs w:val="1"/>
                <w:color w:val="auto"/>
                <w:w w:val="91"/>
              </w:rPr>
              <w:t>Tel: +39-02-2643-4681</w:t>
            </w: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0"/>
              </w:rPr>
              <w:t>Tel: +1.800.221.0102</w:t>
            </w:r>
          </w:p>
        </w:tc>
      </w:tr>
      <w:tr>
        <w:trPr>
          <w:trHeight w:val="202"/>
        </w:trPr>
        <w:tc>
          <w:tcPr>
            <w:tcW w:w="5520" w:type="dxa"/>
            <w:vAlign w:val="bottom"/>
            <w:gridSpan w:val="3"/>
          </w:tcPr>
          <w:p>
            <w:pPr>
              <w:jc w:val="center"/>
              <w:spacing w:after="0" w:line="201" w:lineRule="exact"/>
              <w:rPr>
                <w:sz w:val="20"/>
                <w:szCs w:val="20"/>
                <w:color w:val="auto"/>
              </w:rPr>
            </w:pPr>
            <w:r>
              <w:rPr>
                <w:rFonts w:ascii="Arial" w:cs="Arial" w:eastAsia="Arial" w:hAnsi="Arial"/>
                <w:sz w:val="18"/>
                <w:szCs w:val="18"/>
                <w:i w:val="1"/>
                <w:iCs w:val="1"/>
                <w:color w:val="auto"/>
                <w:w w:val="90"/>
              </w:rPr>
              <w:t>(Address, including zip code, and telephone number, including area code,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gridSpan w:val="3"/>
          </w:tcPr>
          <w:p>
            <w:pPr>
              <w:jc w:val="center"/>
              <w:ind w:right="530"/>
              <w:spacing w:after="0" w:line="201" w:lineRule="exact"/>
              <w:rPr>
                <w:sz w:val="20"/>
                <w:szCs w:val="20"/>
                <w:color w:val="auto"/>
              </w:rPr>
            </w:pPr>
            <w:r>
              <w:rPr>
                <w:rFonts w:ascii="Arial" w:cs="Arial" w:eastAsia="Arial" w:hAnsi="Arial"/>
                <w:sz w:val="18"/>
                <w:szCs w:val="18"/>
                <w:i w:val="1"/>
                <w:iCs w:val="1"/>
                <w:color w:val="auto"/>
                <w:w w:val="89"/>
              </w:rPr>
              <w:t>(Name, address, including zip code, and telephone</w:t>
            </w:r>
          </w:p>
        </w:tc>
      </w:tr>
      <w:tr>
        <w:trPr>
          <w:trHeight w:val="230"/>
        </w:trPr>
        <w:tc>
          <w:tcPr>
            <w:tcW w:w="6320" w:type="dxa"/>
            <w:vAlign w:val="bottom"/>
            <w:gridSpan w:val="5"/>
          </w:tcPr>
          <w:p>
            <w:pPr>
              <w:jc w:val="center"/>
              <w:ind w:right="800"/>
              <w:spacing w:after="0"/>
              <w:rPr>
                <w:sz w:val="20"/>
                <w:szCs w:val="20"/>
                <w:color w:val="auto"/>
              </w:rPr>
            </w:pPr>
            <w:r>
              <w:rPr>
                <w:rFonts w:ascii="Arial" w:cs="Arial" w:eastAsia="Arial" w:hAnsi="Arial"/>
                <w:sz w:val="18"/>
                <w:szCs w:val="18"/>
                <w:i w:val="1"/>
                <w:iCs w:val="1"/>
                <w:color w:val="auto"/>
                <w:w w:val="92"/>
              </w:rPr>
              <w:t>registrant’s principal executive offices)</w:t>
            </w: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45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1"/>
              </w:rPr>
              <w:t>Copies to:</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41"/>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89"/>
              </w:rPr>
              <w:t>Mitchell S. Nussbaum, Esq.</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89"/>
              </w:rPr>
              <w:t>Thomas S. Levato, Esq.</w:t>
            </w:r>
          </w:p>
        </w:tc>
      </w:tr>
      <w:tr>
        <w:trPr>
          <w:trHeight w:val="216"/>
        </w:trPr>
        <w:tc>
          <w:tcPr>
            <w:tcW w:w="6320" w:type="dxa"/>
            <w:vAlign w:val="bottom"/>
            <w:gridSpan w:val="5"/>
          </w:tcPr>
          <w:p>
            <w:pPr>
              <w:ind w:left="1740"/>
              <w:spacing w:after="0"/>
              <w:rPr>
                <w:sz w:val="20"/>
                <w:szCs w:val="20"/>
                <w:color w:val="auto"/>
              </w:rPr>
            </w:pPr>
            <w:r>
              <w:rPr>
                <w:rFonts w:ascii="Arial" w:cs="Arial" w:eastAsia="Arial" w:hAnsi="Arial"/>
                <w:sz w:val="18"/>
                <w:szCs w:val="18"/>
                <w:b w:val="1"/>
                <w:bCs w:val="1"/>
                <w:color w:val="auto"/>
              </w:rPr>
              <w:t>Norwood P. Beveridge, Esq.</w:t>
            </w: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0"/>
              </w:rPr>
              <w:t>Ettore A. Santucci, Esq.</w:t>
            </w:r>
          </w:p>
        </w:tc>
      </w:tr>
      <w:tr>
        <w:trPr>
          <w:trHeight w:val="216"/>
        </w:trPr>
        <w:tc>
          <w:tcPr>
            <w:tcW w:w="3840" w:type="dxa"/>
            <w:vAlign w:val="bottom"/>
            <w:gridSpan w:val="2"/>
          </w:tcPr>
          <w:p>
            <w:pPr>
              <w:ind w:left="2020"/>
              <w:spacing w:after="0"/>
              <w:rPr>
                <w:sz w:val="20"/>
                <w:szCs w:val="20"/>
                <w:color w:val="auto"/>
              </w:rPr>
            </w:pPr>
            <w:r>
              <w:rPr>
                <w:rFonts w:ascii="Arial" w:cs="Arial" w:eastAsia="Arial" w:hAnsi="Arial"/>
                <w:sz w:val="18"/>
                <w:szCs w:val="18"/>
                <w:b w:val="1"/>
                <w:bCs w:val="1"/>
                <w:color w:val="auto"/>
              </w:rPr>
              <w:t>Loeb &amp; Loeb LLP</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710"/>
              <w:spacing w:after="0"/>
              <w:rPr>
                <w:sz w:val="20"/>
                <w:szCs w:val="20"/>
                <w:color w:val="auto"/>
              </w:rPr>
            </w:pPr>
            <w:r>
              <w:rPr>
                <w:rFonts w:ascii="Arial" w:cs="Arial" w:eastAsia="Arial" w:hAnsi="Arial"/>
                <w:sz w:val="18"/>
                <w:szCs w:val="18"/>
                <w:b w:val="1"/>
                <w:bCs w:val="1"/>
                <w:color w:val="auto"/>
                <w:w w:val="93"/>
              </w:rPr>
              <w:t>Goodwin Procter LLP</w:t>
            </w:r>
          </w:p>
        </w:tc>
      </w:tr>
      <w:tr>
        <w:trPr>
          <w:trHeight w:val="216"/>
        </w:trPr>
        <w:tc>
          <w:tcPr>
            <w:tcW w:w="3840" w:type="dxa"/>
            <w:vAlign w:val="bottom"/>
            <w:gridSpan w:val="2"/>
          </w:tcPr>
          <w:p>
            <w:pPr>
              <w:ind w:left="2080"/>
              <w:spacing w:after="0"/>
              <w:rPr>
                <w:sz w:val="20"/>
                <w:szCs w:val="20"/>
                <w:color w:val="auto"/>
              </w:rPr>
            </w:pPr>
            <w:r>
              <w:rPr>
                <w:rFonts w:ascii="Arial" w:cs="Arial" w:eastAsia="Arial" w:hAnsi="Arial"/>
                <w:sz w:val="18"/>
                <w:szCs w:val="18"/>
                <w:b w:val="1"/>
                <w:bCs w:val="1"/>
                <w:color w:val="auto"/>
              </w:rPr>
              <w:t>345 Park Avenue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620 Eighth Avenue</w:t>
            </w:r>
          </w:p>
        </w:tc>
      </w:tr>
      <w:tr>
        <w:trPr>
          <w:trHeight w:val="216"/>
        </w:trPr>
        <w:tc>
          <w:tcPr>
            <w:tcW w:w="3840" w:type="dxa"/>
            <w:vAlign w:val="bottom"/>
            <w:gridSpan w:val="2"/>
          </w:tcPr>
          <w:p>
            <w:pPr>
              <w:ind w:left="2060"/>
              <w:spacing w:after="0"/>
              <w:rPr>
                <w:sz w:val="20"/>
                <w:szCs w:val="20"/>
                <w:color w:val="auto"/>
              </w:rPr>
            </w:pPr>
            <w:r>
              <w:rPr>
                <w:rFonts w:ascii="Arial" w:cs="Arial" w:eastAsia="Arial" w:hAnsi="Arial"/>
                <w:sz w:val="18"/>
                <w:szCs w:val="18"/>
                <w:b w:val="1"/>
                <w:bCs w:val="1"/>
                <w:color w:val="auto"/>
              </w:rPr>
              <w:t>New York, NY 10154</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92"/>
              </w:rPr>
              <w:t>New York, New York 10018</w:t>
            </w:r>
          </w:p>
        </w:tc>
      </w:tr>
      <w:tr>
        <w:trPr>
          <w:trHeight w:val="234"/>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0"/>
              </w:rPr>
              <w:t>Tel: +1.212.407.4000</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910"/>
              <w:spacing w:after="0"/>
              <w:rPr>
                <w:sz w:val="20"/>
                <w:szCs w:val="20"/>
                <w:color w:val="auto"/>
              </w:rPr>
            </w:pPr>
            <w:r>
              <w:rPr>
                <w:rFonts w:ascii="Arial" w:cs="Arial" w:eastAsia="Arial" w:hAnsi="Arial"/>
                <w:sz w:val="18"/>
                <w:szCs w:val="18"/>
                <w:b w:val="1"/>
                <w:bCs w:val="1"/>
                <w:color w:val="auto"/>
                <w:w w:val="90"/>
              </w:rPr>
              <w:t>Tel: +1.212.813.8800</w:t>
            </w:r>
          </w:p>
        </w:tc>
      </w:tr>
    </w:tbl>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Approximate date of commencement of proposed sale to the public: As soon as practicable after the effective date hereof.</w:t>
      </w:r>
    </w:p>
    <w:p>
      <w:pPr>
        <w:spacing w:after="0" w:line="252"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check the following box. [X]</w:t>
      </w:r>
    </w:p>
    <w:p>
      <w:pPr>
        <w:spacing w:after="0" w:line="197" w:lineRule="exact"/>
        <w:rPr>
          <w:sz w:val="24"/>
          <w:szCs w:val="24"/>
          <w:color w:val="auto"/>
        </w:rPr>
      </w:pPr>
    </w:p>
    <w:p>
      <w:pPr>
        <w:ind w:right="200" w:firstLine="648"/>
        <w:spacing w:after="0" w:line="308"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Emerging growth company [X]</w:t>
      </w:r>
    </w:p>
    <w:p>
      <w:pPr>
        <w:spacing w:after="0" w:line="238" w:lineRule="exact"/>
        <w:rPr>
          <w:sz w:val="24"/>
          <w:szCs w:val="24"/>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rPr>
          <w:sz w:val="20"/>
          <w:szCs w:val="20"/>
          <w:color w:val="auto"/>
        </w:rPr>
      </w:pPr>
      <w:r>
        <w:rPr>
          <w:rFonts w:ascii="Arial" w:cs="Arial" w:eastAsia="Arial" w:hAnsi="Arial"/>
          <w:sz w:val="18"/>
          <w:szCs w:val="18"/>
          <w:color w:val="auto"/>
        </w:rPr>
        <w:t>(2)(B) of the Securities Act. [ ]</w:t>
      </w:r>
    </w:p>
    <w:p>
      <w:pPr>
        <w:spacing w:after="0" w:line="238" w:lineRule="exact"/>
        <w:rPr>
          <w:sz w:val="24"/>
          <w:szCs w:val="24"/>
          <w:color w:val="auto"/>
        </w:rPr>
      </w:pPr>
    </w:p>
    <w:p>
      <w:pPr>
        <w:ind w:right="720" w:firstLine="648"/>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Proposed</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maximum</w:t>
            </w: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aggregate</w:t>
            </w: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92"/>
              </w:rPr>
              <w:t>offering</w:t>
            </w:r>
          </w:p>
        </w:tc>
        <w:tc>
          <w:tcPr>
            <w:tcW w:w="17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3"/>
              </w:rPr>
              <w:t>registration</w:t>
            </w:r>
          </w:p>
        </w:tc>
        <w:tc>
          <w:tcPr>
            <w:tcW w:w="0" w:type="dxa"/>
            <w:vAlign w:val="bottom"/>
          </w:tcPr>
          <w:p>
            <w:pPr>
              <w:spacing w:after="0"/>
              <w:rPr>
                <w:sz w:val="1"/>
                <w:szCs w:val="1"/>
                <w:color w:val="auto"/>
              </w:rPr>
            </w:pPr>
          </w:p>
        </w:tc>
      </w:tr>
      <w:tr>
        <w:trPr>
          <w:trHeight w:val="209"/>
        </w:trPr>
        <w:tc>
          <w:tcPr>
            <w:tcW w:w="7440" w:type="dxa"/>
            <w:vAlign w:val="bottom"/>
            <w:gridSpan w:val="2"/>
          </w:tcPr>
          <w:p>
            <w:pPr>
              <w:ind w:left="22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020" w:type="dxa"/>
            <w:vAlign w:val="bottom"/>
            <w:gridSpan w:val="2"/>
          </w:tcPr>
          <w:p>
            <w:pPr>
              <w:jc w:val="center"/>
              <w:ind w:right="340"/>
              <w:spacing w:after="0" w:line="202" w:lineRule="exact"/>
              <w:rPr>
                <w:sz w:val="20"/>
                <w:szCs w:val="20"/>
                <w:color w:val="auto"/>
              </w:rPr>
            </w:pPr>
            <w:r>
              <w:rPr>
                <w:rFonts w:ascii="Arial" w:cs="Arial" w:eastAsia="Arial" w:hAnsi="Arial"/>
                <w:sz w:val="23"/>
                <w:szCs w:val="23"/>
                <w:b w:val="1"/>
                <w:bCs w:val="1"/>
                <w:color w:val="auto"/>
                <w:w w:val="94"/>
                <w:vertAlign w:val="subscript"/>
              </w:rPr>
              <w:t>price</w:t>
            </w:r>
            <w:r>
              <w:rPr>
                <w:rFonts w:ascii="Arial" w:cs="Arial" w:eastAsia="Arial" w:hAnsi="Arial"/>
                <w:sz w:val="11"/>
                <w:szCs w:val="11"/>
                <w:b w:val="1"/>
                <w:bCs w:val="1"/>
                <w:color w:val="auto"/>
                <w:w w:val="94"/>
              </w:rPr>
              <w:t xml:space="preserve"> (1)(2)(3)</w:t>
            </w:r>
          </w:p>
        </w:tc>
        <w:tc>
          <w:tcPr>
            <w:tcW w:w="1780" w:type="dxa"/>
            <w:vAlign w:val="bottom"/>
            <w:gridSpan w:val="2"/>
          </w:tcPr>
          <w:p>
            <w:pPr>
              <w:jc w:val="center"/>
              <w:ind w:right="100"/>
              <w:spacing w:after="0" w:line="202" w:lineRule="exact"/>
              <w:rPr>
                <w:sz w:val="20"/>
                <w:szCs w:val="20"/>
                <w:color w:val="auto"/>
              </w:rPr>
            </w:pPr>
            <w:r>
              <w:rPr>
                <w:rFonts w:ascii="Arial" w:cs="Arial" w:eastAsia="Arial" w:hAnsi="Arial"/>
                <w:sz w:val="23"/>
                <w:szCs w:val="23"/>
                <w:b w:val="1"/>
                <w:bCs w:val="1"/>
                <w:color w:val="auto"/>
                <w:w w:val="92"/>
                <w:vertAlign w:val="subscript"/>
              </w:rPr>
              <w:t>fee</w:t>
            </w:r>
            <w:r>
              <w:rPr>
                <w:rFonts w:ascii="Arial" w:cs="Arial" w:eastAsia="Arial" w:hAnsi="Arial"/>
                <w:sz w:val="11"/>
                <w:szCs w:val="11"/>
                <w:b w:val="1"/>
                <w:bCs w:val="1"/>
                <w:color w:val="auto"/>
                <w:w w:val="92"/>
              </w:rPr>
              <w:t xml:space="preserve"> (3)</w:t>
            </w:r>
          </w:p>
        </w:tc>
        <w:tc>
          <w:tcPr>
            <w:tcW w:w="0" w:type="dxa"/>
            <w:vAlign w:val="bottom"/>
          </w:tcPr>
          <w:p>
            <w:pPr>
              <w:spacing w:after="0"/>
              <w:rPr>
                <w:sz w:val="1"/>
                <w:szCs w:val="1"/>
                <w:color w:val="auto"/>
              </w:rPr>
            </w:pPr>
          </w:p>
        </w:tc>
      </w:tr>
      <w:tr>
        <w:trPr>
          <w:trHeight w:val="243"/>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with no par value, as represented by American Depositary Shares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55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ind w:right="153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472" w:right="339" w:bottom="0" w:gutter="0" w:footer="0" w:header="0"/>
        </w:sectPr>
      </w:pPr>
    </w:p>
    <w:bookmarkStart w:id="1" w:name="page2"/>
    <w:bookmarkEnd w:id="1"/>
    <w:p>
      <w:pPr>
        <w:spacing w:after="0"/>
        <w:tabs>
          <w:tab w:leader="none" w:pos="9000" w:val="left"/>
          <w:tab w:leader="none" w:pos="11000" w:val="left"/>
        </w:tabs>
        <w:rPr>
          <w:sz w:val="20"/>
          <w:szCs w:val="20"/>
          <w:color w:val="auto"/>
        </w:rPr>
      </w:pPr>
      <w:r>
        <w:rPr>
          <w:rFonts w:ascii="Arial" w:cs="Arial" w:eastAsia="Arial" w:hAnsi="Arial"/>
          <w:sz w:val="18"/>
          <w:szCs w:val="18"/>
          <w:color w:val="auto"/>
        </w:rPr>
        <w:t>Representatives’ warrants to purchase ordinary shares as represented by American Depositary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-121920</wp:posOffset>
            </wp:positionV>
            <wp:extent cx="234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2" w:lineRule="auto"/>
        <w:rPr>
          <w:sz w:val="20"/>
          <w:szCs w:val="20"/>
          <w:color w:val="auto"/>
        </w:rPr>
      </w:pPr>
      <w:r>
        <w:rPr>
          <w:rFonts w:ascii="Arial" w:cs="Arial" w:eastAsia="Arial" w:hAnsi="Arial"/>
          <w:sz w:val="18"/>
          <w:szCs w:val="18"/>
          <w:color w:val="auto"/>
        </w:rPr>
        <w:t>Shares</w:t>
      </w:r>
      <w:r>
        <w:rPr>
          <w:rFonts w:ascii="Arial" w:cs="Arial" w:eastAsia="Arial" w:hAnsi="Arial"/>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30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Ordinary shares as represented by American Depositary Shares underlying Representatives’</w:t>
      </w:r>
    </w:p>
    <w:p>
      <w:pPr>
        <w:spacing w:after="0" w:line="191" w:lineRule="auto"/>
        <w:rPr>
          <w:sz w:val="20"/>
          <w:szCs w:val="20"/>
          <w:color w:val="auto"/>
        </w:rPr>
      </w:pPr>
      <w:r>
        <w:rPr>
          <w:rFonts w:ascii="Arial" w:cs="Arial" w:eastAsia="Arial" w:hAnsi="Arial"/>
          <w:sz w:val="18"/>
          <w:szCs w:val="18"/>
          <w:color w:val="auto"/>
        </w:rPr>
        <w:t>warrants</w:t>
      </w:r>
      <w:r>
        <w:rPr>
          <w:rFonts w:ascii="Arial" w:cs="Arial" w:eastAsia="Arial" w:hAnsi="Arial"/>
          <w:sz w:val="29"/>
          <w:szCs w:val="29"/>
          <w:color w:val="auto"/>
          <w:vertAlign w:val="superscript"/>
        </w:rPr>
        <w:t>(5)</w:t>
      </w: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21590</wp:posOffset>
            </wp:positionV>
            <wp:extent cx="23488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20" w:lineRule="exact"/>
        <w:rPr>
          <w:sz w:val="20"/>
          <w:szCs w:val="20"/>
          <w:color w:val="auto"/>
        </w:rPr>
      </w:pPr>
    </w:p>
    <w:p>
      <w:pPr>
        <w:ind w:left="460" w:hanging="412"/>
        <w:spacing w:after="0"/>
        <w:tabs>
          <w:tab w:leader="none" w:pos="460" w:val="left"/>
        </w:tabs>
        <w:numPr>
          <w:ilvl w:val="0"/>
          <w:numId w:val="1"/>
        </w:numPr>
        <w:rPr>
          <w:rFonts w:ascii="Arial" w:cs="Arial" w:eastAsia="Arial" w:hAnsi="Arial"/>
          <w:sz w:val="11"/>
          <w:szCs w:val="11"/>
          <w:color w:val="auto"/>
        </w:rPr>
      </w:pPr>
      <w:r>
        <w:rPr>
          <w:rFonts w:ascii="Arial" w:cs="Arial" w:eastAsia="Arial" w:hAnsi="Arial"/>
          <w:sz w:val="13"/>
          <w:szCs w:val="13"/>
          <w:color w:val="auto"/>
        </w:rPr>
        <w:t>The ordinary shares may be represented by American Depositary Shares, or ADSs, each of which represents one ordinary share. A separate Registration Statement on Form F-6</w:t>
      </w:r>
    </w:p>
    <w:p>
      <w:pPr>
        <w:ind w:left="460"/>
        <w:spacing w:after="0"/>
        <w:tabs>
          <w:tab w:leader="none" w:pos="2280" w:val="left"/>
        </w:tabs>
        <w:rPr>
          <w:sz w:val="20"/>
          <w:szCs w:val="20"/>
          <w:color w:val="auto"/>
        </w:rPr>
      </w:pPr>
      <w:r>
        <w:rPr>
          <w:rFonts w:ascii="Arial" w:cs="Arial" w:eastAsia="Arial" w:hAnsi="Arial"/>
          <w:sz w:val="14"/>
          <w:szCs w:val="14"/>
          <w:color w:val="auto"/>
        </w:rPr>
        <w:t>(Registration No. 333-</w:t>
      </w:r>
      <w:r>
        <w:rPr>
          <w:sz w:val="20"/>
          <w:szCs w:val="20"/>
          <w:color w:val="auto"/>
        </w:rPr>
        <w:tab/>
      </w:r>
      <w:r>
        <w:rPr>
          <w:rFonts w:ascii="Arial" w:cs="Arial" w:eastAsia="Arial" w:hAnsi="Arial"/>
          <w:sz w:val="13"/>
          <w:szCs w:val="13"/>
          <w:color w:val="auto"/>
        </w:rPr>
        <w:t>) has been filed for the registration of ADSs issuable upon deposit of the ordinary shares.</w:t>
      </w:r>
    </w:p>
    <w:p>
      <w:pPr>
        <w:ind w:left="460" w:right="520" w:hanging="412"/>
        <w:spacing w:after="0" w:line="238" w:lineRule="auto"/>
        <w:tabs>
          <w:tab w:leader="none" w:pos="460" w:val="left"/>
        </w:tabs>
        <w:numPr>
          <w:ilvl w:val="0"/>
          <w:numId w:val="2"/>
        </w:numPr>
        <w:rPr>
          <w:rFonts w:ascii="Arial" w:cs="Arial" w:eastAsia="Arial" w:hAnsi="Arial"/>
          <w:sz w:val="11"/>
          <w:szCs w:val="11"/>
          <w:color w:val="auto"/>
        </w:rPr>
      </w:pPr>
      <w:r>
        <w:rPr>
          <w:rFonts w:ascii="Arial" w:cs="Arial" w:eastAsia="Arial" w:hAnsi="Arial"/>
          <w:sz w:val="13"/>
          <w:szCs w:val="13"/>
          <w:color w:val="auto"/>
        </w:rPr>
        <w:t>Pursuant to Rule 416 under the Securities Act of 1933, as amended, or the Securities Act, the ordinary shares registered hereby also include an indeterminate number of additional ordinary shares as may from time to time become issuable by reason of stock splits, stock dividends, recapitalizations or other similar transactions.</w:t>
      </w:r>
    </w:p>
    <w:p>
      <w:pPr>
        <w:ind w:left="460" w:right="360" w:hanging="412"/>
        <w:spacing w:after="0" w:line="221" w:lineRule="auto"/>
        <w:tabs>
          <w:tab w:leader="none" w:pos="460" w:val="left"/>
        </w:tabs>
        <w:numPr>
          <w:ilvl w:val="0"/>
          <w:numId w:val="2"/>
        </w:numPr>
        <w:rPr>
          <w:rFonts w:ascii="Arial" w:cs="Arial" w:eastAsia="Arial" w:hAnsi="Arial"/>
          <w:sz w:val="12"/>
          <w:szCs w:val="12"/>
          <w:color w:val="auto"/>
        </w:rPr>
      </w:pPr>
      <w:r>
        <w:rPr>
          <w:rFonts w:ascii="Arial" w:cs="Arial" w:eastAsia="Arial" w:hAnsi="Arial"/>
          <w:sz w:val="14"/>
          <w:szCs w:val="14"/>
          <w:color w:val="auto"/>
        </w:rPr>
        <w:t>Estimated solely for purposes of calculating the amount of the registration fee pursuant to Rule 457(o) under the Securities Act. Includes the offering price of ordinary shares that the underwriters have the option to purchase to cover over-allotments, if any.</w:t>
      </w:r>
    </w:p>
    <w:p>
      <w:pPr>
        <w:ind w:left="460" w:right="100" w:hanging="412"/>
        <w:spacing w:after="0" w:line="221" w:lineRule="auto"/>
        <w:tabs>
          <w:tab w:leader="none" w:pos="460" w:val="left"/>
        </w:tabs>
        <w:numPr>
          <w:ilvl w:val="0"/>
          <w:numId w:val="2"/>
        </w:numPr>
        <w:rPr>
          <w:rFonts w:ascii="Arial" w:cs="Arial" w:eastAsia="Arial" w:hAnsi="Arial"/>
          <w:sz w:val="12"/>
          <w:szCs w:val="12"/>
          <w:color w:val="auto"/>
        </w:rPr>
      </w:pPr>
      <w:r>
        <w:rPr>
          <w:rFonts w:ascii="Arial" w:cs="Arial" w:eastAsia="Arial" w:hAnsi="Arial"/>
          <w:sz w:val="14"/>
          <w:szCs w:val="14"/>
          <w:color w:val="auto"/>
        </w:rPr>
        <w:t>In accordance with Rule 457(g) under the Securities Act, because the registrant’s ordinary shares as represented by American Depositary Shares underlying the Representative’s warrants are being registered hereby, no separate registration fee is required with respect to the warrants registered hereby.</w:t>
      </w:r>
    </w:p>
    <w:p>
      <w:pPr>
        <w:ind w:left="460" w:hanging="412"/>
        <w:spacing w:after="0"/>
        <w:tabs>
          <w:tab w:leader="none" w:pos="460" w:val="left"/>
        </w:tabs>
        <w:numPr>
          <w:ilvl w:val="0"/>
          <w:numId w:val="2"/>
        </w:numPr>
        <w:rPr>
          <w:rFonts w:ascii="Arial" w:cs="Arial" w:eastAsia="Arial" w:hAnsi="Arial"/>
          <w:sz w:val="11"/>
          <w:szCs w:val="11"/>
          <w:color w:val="auto"/>
        </w:rPr>
      </w:pPr>
      <w:r>
        <w:rPr>
          <w:rFonts w:ascii="Arial" w:cs="Arial" w:eastAsia="Arial" w:hAnsi="Arial"/>
          <w:sz w:val="13"/>
          <w:szCs w:val="13"/>
          <w:color w:val="auto"/>
        </w:rPr>
        <w:t>As estimated solely for the purpose of calculating the registration fee pursuant to Rule 457(g) under the Securities Act, the warrants are exercisable at a per share exercise price equal to</w:t>
      </w:r>
    </w:p>
    <w:p>
      <w:pPr>
        <w:ind w:left="460"/>
        <w:spacing w:after="0"/>
        <w:tabs>
          <w:tab w:leader="none" w:pos="7660" w:val="left"/>
        </w:tabs>
        <w:rPr>
          <w:sz w:val="20"/>
          <w:szCs w:val="20"/>
          <w:color w:val="auto"/>
        </w:rPr>
      </w:pPr>
      <w:r>
        <w:rPr>
          <w:rFonts w:ascii="Arial" w:cs="Arial" w:eastAsia="Arial" w:hAnsi="Arial"/>
          <w:sz w:val="13"/>
          <w:szCs w:val="13"/>
          <w:color w:val="auto"/>
        </w:rPr>
        <w:t>125% of the public offering price, and the proposed maximum aggregate offering price of the representative’s warrants is $</w:t>
      </w:r>
      <w:r>
        <w:rPr>
          <w:sz w:val="20"/>
          <w:szCs w:val="20"/>
          <w:color w:val="auto"/>
        </w:rPr>
        <w:tab/>
      </w:r>
      <w:r>
        <w:rPr>
          <w:rFonts w:ascii="Arial" w:cs="Arial" w:eastAsia="Arial" w:hAnsi="Arial"/>
          <w:sz w:val="14"/>
          <w:szCs w:val="14"/>
          <w:color w:val="auto"/>
        </w:rPr>
        <w:t>.</w:t>
      </w:r>
    </w:p>
    <w:p>
      <w:pPr>
        <w:spacing w:after="0" w:line="2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ind w:right="80"/>
        <w:spacing w:after="0" w:line="266" w:lineRule="auto"/>
        <w:rPr>
          <w:sz w:val="20"/>
          <w:szCs w:val="20"/>
          <w:color w:val="auto"/>
        </w:rPr>
      </w:pPr>
      <w:r>
        <w:rPr>
          <w:rFonts w:ascii="Arial" w:cs="Arial" w:eastAsia="Arial" w:hAnsi="Arial"/>
          <w:sz w:val="16"/>
          <w:szCs w:val="16"/>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OCTOBER 29,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PRELIMINARY PROSPECTUS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174625</wp:posOffset>
            </wp:positionV>
            <wp:extent cx="4286250" cy="969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spacing w:after="0"/>
        <w:tabs>
          <w:tab w:leader="none" w:pos="3280" w:val="left"/>
        </w:tabs>
        <w:rPr>
          <w:sz w:val="20"/>
          <w:szCs w:val="20"/>
          <w:color w:val="auto"/>
        </w:rPr>
      </w:pPr>
      <w:r>
        <w:rPr>
          <w:rFonts w:ascii="Arial" w:cs="Arial" w:eastAsia="Arial" w:hAnsi="Arial"/>
          <w:sz w:val="25"/>
          <w:szCs w:val="25"/>
          <w:b w:val="1"/>
          <w:bCs w:val="1"/>
          <w:color w:val="auto"/>
        </w:rPr>
        <w:t>(Including</w:t>
      </w:r>
      <w:r>
        <w:rPr>
          <w:sz w:val="20"/>
          <w:szCs w:val="20"/>
          <w:color w:val="auto"/>
        </w:rPr>
        <w:tab/>
      </w:r>
      <w:r>
        <w:rPr>
          <w:rFonts w:ascii="Arial" w:cs="Arial" w:eastAsia="Arial" w:hAnsi="Arial"/>
          <w:sz w:val="25"/>
          <w:szCs w:val="25"/>
          <w:b w:val="1"/>
          <w:bCs w:val="1"/>
          <w:color w:val="auto"/>
        </w:rPr>
        <w:t>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174625</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is a public offering of _____ ordinary shares with no par value, or ordinary shares, of Genenta S.p.A., which consists of (i) an initial public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offering of ________ ordinary shares in the form of American Depositary Shares, or ADSs, each representing one of our ordinary shares, which we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“ADS offering,” and (ii) a concurrent offering of __________ ordinary shares exclusively offered to existing shareholders in Italy, as a mitigant for</w:t>
      </w:r>
    </w:p>
    <w:p>
      <w:pPr>
        <w:spacing w:after="0" w:line="3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exclusion of pre-emptive rights as resolved by the general shareholders meeting of the company in accordance with Italian corporate law and our by-laws, which we refer to as the “Reserved Offering”. We refer in this prospectus to the ADS offering and the Reserved Offering collectively as the “offering.” Ordinary shares may be offered directly or in the form of ADSs, which likewise may be evidenced by American Depositary Receipts, or ADRs.</w:t>
      </w:r>
    </w:p>
    <w:p>
      <w:pPr>
        <w:sectPr>
          <w:pgSz w:w="11900" w:h="16838" w:orient="portrait"/>
          <w:cols w:equalWidth="0" w:num="1">
            <w:col w:w="11240"/>
          </w:cols>
          <w:pgMar w:left="320" w:top="688" w:right="339" w:bottom="0"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500" w:firstLine="63"/>
        <w:spacing w:after="0" w:line="308" w:lineRule="auto"/>
        <w:rPr>
          <w:sz w:val="20"/>
          <w:szCs w:val="20"/>
          <w:color w:val="auto"/>
        </w:rPr>
      </w:pPr>
      <w:r>
        <w:rPr>
          <w:rFonts w:ascii="Arial" w:cs="Arial" w:eastAsia="Arial" w:hAnsi="Arial"/>
          <w:sz w:val="17"/>
          <w:szCs w:val="17"/>
          <w:color w:val="auto"/>
        </w:rPr>
        <w:t>No public market currently exists for the ADSs or ordinary shares. We estimate the initial public offering price of the ADSs will be between and $ per ADS. We refer to the ADSs, and the underlying ordinary shares being offered hereby, collectively, as the securities.</w:t>
      </w:r>
    </w:p>
    <w:p>
      <w:pPr>
        <w:spacing w:after="0" w:line="173" w:lineRule="exact"/>
        <w:rPr>
          <w:sz w:val="20"/>
          <w:szCs w:val="20"/>
          <w:color w:val="auto"/>
        </w:rPr>
      </w:pPr>
    </w:p>
    <w:p>
      <w:pPr>
        <w:sectPr>
          <w:pgSz w:w="11900" w:h="16838" w:orient="portrait"/>
          <w:cols w:equalWidth="0" w:num="2">
            <w:col w:w="100" w:space="500"/>
            <w:col w:w="10640"/>
          </w:cols>
          <w:pgMar w:left="320" w:top="688" w:right="339" w:bottom="0" w:gutter="0" w:footer="0" w:header="0"/>
          <w:type w:val="continuous"/>
        </w:sectPr>
      </w:pPr>
    </w:p>
    <w:p>
      <w:pPr>
        <w:ind w:right="40" w:firstLine="648"/>
        <w:spacing w:after="0" w:line="277" w:lineRule="auto"/>
        <w:rPr>
          <w:sz w:val="20"/>
          <w:szCs w:val="20"/>
          <w:color w:val="auto"/>
        </w:rPr>
      </w:pPr>
      <w:r>
        <w:rPr>
          <w:rFonts w:ascii="Arial" w:cs="Arial" w:eastAsia="Arial" w:hAnsi="Arial"/>
          <w:sz w:val="18"/>
          <w:szCs w:val="18"/>
          <w:color w:val="auto"/>
        </w:rPr>
        <w:t>We have applied to list the ADSs on the Nasdaq Capital Market, or Nasdaq, under the symbol “GNTA.” There can be no assurance that we will be successful in listing the ADSs on Nasdaq.</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are an “emerging growth company” and a “foreign private issuer” under applicable U.S. federal securities laws and are eligible for reduced public company reporting requirements. See “Prospectus Summary—Implications of Being an Emerging Growth Company” and “Prospectus Summary— Implications of Being a Foreign Private Issuer”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142875</wp:posOffset>
            </wp:positionV>
            <wp:extent cx="123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Investing in our securities involves a high degree of risk, including the risk of losing your entire investment. See “Risk Factors” beginning on page 12 of this prospectus for a discussion of information that should be considered in connection with an investment in our securities.</w:t>
      </w:r>
    </w:p>
    <w:p>
      <w:pPr>
        <w:spacing w:after="0" w:line="143" w:lineRule="exact"/>
        <w:rPr>
          <w:sz w:val="20"/>
          <w:szCs w:val="20"/>
          <w:color w:val="auto"/>
        </w:rPr>
      </w:pPr>
    </w:p>
    <w:p>
      <w:pPr>
        <w:ind w:right="340" w:firstLine="648"/>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102235</wp:posOffset>
            </wp:positionV>
            <wp:extent cx="123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40" w:type="dxa"/>
            <w:vAlign w:val="bottom"/>
          </w:tcPr>
          <w:p>
            <w:pPr>
              <w:jc w:val="right"/>
              <w:ind w:right="327"/>
              <w:spacing w:after="0"/>
              <w:rPr>
                <w:sz w:val="20"/>
                <w:szCs w:val="20"/>
                <w:color w:val="auto"/>
              </w:rPr>
            </w:pPr>
            <w:r>
              <w:rPr>
                <w:rFonts w:ascii="Arial" w:cs="Arial" w:eastAsia="Arial" w:hAnsi="Arial"/>
                <w:sz w:val="14"/>
                <w:szCs w:val="14"/>
                <w:b w:val="1"/>
                <w:bCs w:val="1"/>
                <w:color w:val="auto"/>
              </w:rPr>
              <w:t>Per ADS</w:t>
            </w:r>
          </w:p>
        </w:tc>
        <w:tc>
          <w:tcPr>
            <w:tcW w:w="120" w:type="dxa"/>
            <w:vAlign w:val="bottom"/>
          </w:tcPr>
          <w:p>
            <w:pPr>
              <w:spacing w:after="0"/>
              <w:rPr>
                <w:sz w:val="15"/>
                <w:szCs w:val="15"/>
                <w:color w:val="auto"/>
              </w:rPr>
            </w:pP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216"/>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5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5780" w:type="dxa"/>
            <w:vAlign w:val="bottom"/>
          </w:tcPr>
          <w:p>
            <w:pPr>
              <w:spacing w:after="0" w:line="256"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29"/>
                <w:szCs w:val="29"/>
                <w:color w:val="auto"/>
                <w:vertAlign w:val="superscript"/>
              </w:rPr>
              <w:t>(1)</w:t>
            </w:r>
          </w:p>
        </w:tc>
        <w:tc>
          <w:tcPr>
            <w:tcW w:w="390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90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18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31" w:lineRule="exact"/>
        <w:rPr>
          <w:sz w:val="20"/>
          <w:szCs w:val="20"/>
          <w:color w:val="auto"/>
        </w:rPr>
      </w:pPr>
    </w:p>
    <w:p>
      <w:pPr>
        <w:ind w:left="340" w:right="120" w:hanging="332"/>
        <w:spacing w:after="0" w:line="23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We have agreed to reimburse the underwriters for certain expenses. Certain of our existing shareholders in Italy are expected to purchase ordinary shares directly from us concurrently with the closing of this offering for which we will not incur any underwriting discount or commission but will owe an advisory fee to the representatives of the underwriters. The amounts reflected as total underwriting discounts and commissions and proceeds to us (before expenses) are reflective of these arrangements. See “Underwriting” beginning on page 191 of this prospectus for additional disclosure regarding underwriter compensation and offering expenses.</w:t>
      </w:r>
    </w:p>
    <w:p>
      <w:pPr>
        <w:spacing w:after="0" w:line="216" w:lineRule="exact"/>
        <w:rPr>
          <w:sz w:val="20"/>
          <w:szCs w:val="20"/>
          <w:color w:val="auto"/>
        </w:rPr>
      </w:pPr>
    </w:p>
    <w:p>
      <w:pPr>
        <w:ind w:left="1100" w:right="1180" w:hanging="443"/>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up to an additional ADSs to cover over-allotments, if any.</w:t>
      </w:r>
    </w:p>
    <w:p>
      <w:pPr>
        <w:spacing w:after="0" w:line="197" w:lineRule="exact"/>
        <w:rPr>
          <w:sz w:val="20"/>
          <w:szCs w:val="20"/>
          <w:color w:val="auto"/>
        </w:rPr>
      </w:pPr>
    </w:p>
    <w:p>
      <w:pPr>
        <w:ind w:left="660"/>
        <w:spacing w:after="0"/>
        <w:tabs>
          <w:tab w:leader="none" w:pos="4900" w:val="left"/>
        </w:tabs>
        <w:rPr>
          <w:sz w:val="20"/>
          <w:szCs w:val="20"/>
          <w:color w:val="auto"/>
        </w:rPr>
      </w:pPr>
      <w:r>
        <w:rPr>
          <w:rFonts w:ascii="Arial" w:cs="Arial" w:eastAsia="Arial" w:hAnsi="Arial"/>
          <w:sz w:val="18"/>
          <w:szCs w:val="18"/>
          <w:color w:val="auto"/>
        </w:rPr>
        <w:t>Delivery of the ADSs will be made on or about</w:t>
      </w:r>
      <w:r>
        <w:rPr>
          <w:sz w:val="20"/>
          <w:szCs w:val="20"/>
          <w:color w:val="auto"/>
        </w:rPr>
        <w:tab/>
      </w:r>
      <w:r>
        <w:rPr>
          <w:rFonts w:ascii="Arial" w:cs="Arial" w:eastAsia="Arial" w:hAnsi="Arial"/>
          <w:sz w:val="16"/>
          <w:szCs w:val="16"/>
          <w:color w:val="auto"/>
        </w:rPr>
        <w:t>, 2021, subject to customary closing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Roth Capital Partners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Lead Manager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Maxim Group LLC</w:t>
      </w:r>
    </w:p>
    <w:p>
      <w:pPr>
        <w:sectPr>
          <w:pgSz w:w="11900" w:h="16838" w:orient="portrait"/>
          <w:cols w:equalWidth="0" w:num="1">
            <w:col w:w="11240"/>
          </w:cols>
          <w:pgMar w:left="320" w:top="688"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460" w:type="dxa"/>
            <w:vAlign w:val="bottom"/>
          </w:tcPr>
          <w:p>
            <w:pPr>
              <w:ind w:left="4020"/>
              <w:spacing w:after="0"/>
              <w:rPr>
                <w:sz w:val="20"/>
                <w:szCs w:val="20"/>
                <w:color w:val="auto"/>
              </w:rPr>
            </w:pPr>
            <w:r>
              <w:rPr>
                <w:rFonts w:ascii="Arial" w:cs="Arial" w:eastAsia="Arial" w:hAnsi="Arial"/>
                <w:sz w:val="18"/>
                <w:szCs w:val="18"/>
                <w:color w:val="auto"/>
              </w:rPr>
              <w:t>The date of this prospectus is</w:t>
            </w:r>
          </w:p>
        </w:tc>
        <w:tc>
          <w:tcPr>
            <w:tcW w:w="4780" w:type="dxa"/>
            <w:vAlign w:val="bottom"/>
          </w:tcPr>
          <w:p>
            <w:pPr>
              <w:jc w:val="right"/>
              <w:ind w:right="3910"/>
              <w:spacing w:after="0"/>
              <w:rPr>
                <w:sz w:val="20"/>
                <w:szCs w:val="20"/>
                <w:color w:val="auto"/>
              </w:rPr>
            </w:pPr>
            <w:r>
              <w:rPr>
                <w:rFonts w:ascii="Arial" w:cs="Arial" w:eastAsia="Arial" w:hAnsi="Arial"/>
                <w:sz w:val="18"/>
                <w:szCs w:val="18"/>
                <w:color w:val="auto"/>
              </w:rPr>
              <w:t>, 2021</w:t>
            </w:r>
          </w:p>
        </w:tc>
      </w:tr>
      <w:tr>
        <w:trPr>
          <w:trHeight w:val="466"/>
        </w:trPr>
        <w:tc>
          <w:tcPr>
            <w:tcW w:w="64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40" w:type="dxa"/>
            <w:vAlign w:val="bottom"/>
            <w:gridSpan w:val="3"/>
          </w:tcPr>
          <w:p>
            <w:pPr>
              <w:ind w:left="5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66"/>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540" w:type="dxa"/>
            <w:vAlign w:val="bottom"/>
            <w:tcBorders>
              <w:bottom w:val="single" w:sz="8" w:color="0000EE"/>
            </w:tcBorders>
            <w:gridSpan w:val="10"/>
            <w:shd w:val="clear" w:color="auto" w:fill="CCEEFF"/>
          </w:tcPr>
          <w:p>
            <w:pPr>
              <w:spacing w:after="0" w:line="142" w:lineRule="exact"/>
              <w:rPr>
                <w:rFonts w:ascii="Arial" w:cs="Arial" w:eastAsia="Arial" w:hAnsi="Arial"/>
                <w:sz w:val="16"/>
                <w:szCs w:val="16"/>
                <w:color w:val="0000EE"/>
                <w:w w:val="99"/>
              </w:rPr>
            </w:pPr>
            <w:hyperlink w:anchor="page7">
              <w:r>
                <w:rPr>
                  <w:rFonts w:ascii="Arial" w:cs="Arial" w:eastAsia="Arial" w:hAnsi="Arial"/>
                  <w:sz w:val="16"/>
                  <w:szCs w:val="16"/>
                  <w:color w:val="0000EE"/>
                  <w:w w:val="99"/>
                </w:rPr>
                <w:t>Prospectus Summary</w:t>
              </w:r>
            </w:hyperlink>
          </w:p>
        </w:tc>
        <w:tc>
          <w:tcPr>
            <w:tcW w:w="90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1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Cautionary Note Regarding Forward-Looking Statements</w:t>
              </w:r>
            </w:hyperlink>
          </w:p>
        </w:tc>
        <w:tc>
          <w:tcPr>
            <w:tcW w:w="64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Use of Proceeds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Dividend Policy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73</w:t>
            </w:r>
          </w:p>
        </w:tc>
      </w:tr>
      <w:tr>
        <w:trPr>
          <w:trHeight w:val="176"/>
        </w:trPr>
        <w:tc>
          <w:tcPr>
            <w:tcW w:w="11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Capitalization</w:t>
              </w:r>
            </w:hyperlink>
          </w:p>
        </w:tc>
        <w:tc>
          <w:tcPr>
            <w:tcW w:w="9420" w:type="dxa"/>
            <w:vAlign w:val="bottom"/>
            <w:tcBorders>
              <w:top w:val="single" w:sz="8" w:color="CCEEFF"/>
            </w:tcBorders>
            <w:gridSpan w:val="1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Dilution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Business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Management</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137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57">
              <w:r>
                <w:rPr>
                  <w:rFonts w:ascii="Arial" w:cs="Arial" w:eastAsia="Arial" w:hAnsi="Arial"/>
                  <w:sz w:val="18"/>
                  <w:szCs w:val="18"/>
                  <w:color w:val="0000EE"/>
                </w:rPr>
                <w:t>Beneficial Ownership of Principal Shareholders and Management</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146</w:t>
            </w:r>
          </w:p>
        </w:tc>
      </w:tr>
      <w:tr>
        <w:trPr>
          <w:trHeight w:val="176"/>
        </w:trPr>
        <w:tc>
          <w:tcPr>
            <w:tcW w:w="474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Related Party Transactions</w:t>
              </w:r>
            </w:hyperlink>
          </w:p>
        </w:tc>
        <w:tc>
          <w:tcPr>
            <w:tcW w:w="58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147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Description of Share Capital and Governing Documents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150</w:t>
            </w:r>
          </w:p>
        </w:tc>
      </w:tr>
      <w:tr>
        <w:trPr>
          <w:trHeight w:val="176"/>
        </w:trPr>
        <w:tc>
          <w:tcPr>
            <w:tcW w:w="404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73">
              <w:r>
                <w:rPr>
                  <w:rFonts w:ascii="Arial" w:cs="Arial" w:eastAsia="Arial" w:hAnsi="Arial"/>
                  <w:sz w:val="18"/>
                  <w:szCs w:val="18"/>
                  <w:color w:val="0000EE"/>
                </w:rPr>
                <w:t>Description of American Depositary Shares</w:t>
              </w:r>
            </w:hyperlink>
          </w:p>
        </w:tc>
        <w:tc>
          <w:tcPr>
            <w:tcW w:w="656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161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Comparison of Italian Law and Delaware Law</w:t>
              </w:r>
            </w:hyperlink>
          </w:p>
        </w:tc>
        <w:tc>
          <w:tcPr>
            <w:tcW w:w="72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169</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196">
              <w:r>
                <w:rPr>
                  <w:rFonts w:ascii="Arial" w:cs="Arial" w:eastAsia="Arial" w:hAnsi="Arial"/>
                  <w:sz w:val="18"/>
                  <w:szCs w:val="18"/>
                  <w:color w:val="0000EE"/>
                </w:rPr>
                <w:t>Taxation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184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4"/>
              </w:rPr>
            </w:pPr>
            <w:hyperlink w:anchor="page203">
              <w:r>
                <w:rPr>
                  <w:rFonts w:ascii="Arial" w:cs="Arial" w:eastAsia="Arial" w:hAnsi="Arial"/>
                  <w:sz w:val="18"/>
                  <w:szCs w:val="18"/>
                  <w:color w:val="0000EE"/>
                  <w:w w:val="94"/>
                </w:rPr>
                <w:t>Underwriting</w:t>
              </w:r>
            </w:hyperlink>
          </w:p>
        </w:tc>
        <w:tc>
          <w:tcPr>
            <w:tcW w:w="96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191</w:t>
            </w:r>
          </w:p>
        </w:tc>
      </w:tr>
      <w:tr>
        <w:trPr>
          <w:trHeight w:val="176"/>
        </w:trPr>
        <w:tc>
          <w:tcPr>
            <w:tcW w:w="10600" w:type="dxa"/>
            <w:vAlign w:val="bottom"/>
            <w:gridSpan w:val="21"/>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Expenses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rPr>
            </w:pPr>
            <w:hyperlink w:anchor="page210">
              <w:r>
                <w:rPr>
                  <w:rFonts w:ascii="Arial" w:cs="Arial" w:eastAsia="Arial" w:hAnsi="Arial"/>
                  <w:sz w:val="18"/>
                  <w:szCs w:val="18"/>
                  <w:color w:val="0000EE"/>
                  <w:w w:val="91"/>
                </w:rPr>
                <w:t>Legal Matters</w:t>
              </w:r>
            </w:hyperlink>
          </w:p>
        </w:tc>
        <w:tc>
          <w:tcPr>
            <w:tcW w:w="95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210">
              <w:r>
                <w:rPr>
                  <w:rFonts w:ascii="Arial" w:cs="Arial" w:eastAsia="Arial" w:hAnsi="Arial"/>
                  <w:sz w:val="18"/>
                  <w:szCs w:val="18"/>
                  <w:color w:val="0000EE"/>
                  <w:w w:val="97"/>
                </w:rPr>
                <w:t>Enforceability of Civil Liabilities</w:t>
              </w:r>
            </w:hyperlink>
          </w:p>
        </w:tc>
        <w:tc>
          <w:tcPr>
            <w:tcW w:w="818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197</w:t>
            </w:r>
          </w:p>
        </w:tc>
      </w:tr>
      <w:tr>
        <w:trPr>
          <w:trHeight w:val="175"/>
        </w:trPr>
        <w:tc>
          <w:tcPr>
            <w:tcW w:w="10600" w:type="dxa"/>
            <w:vAlign w:val="bottom"/>
            <w:gridSpan w:val="21"/>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Where You Can Find Additional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93"/>
              </w:rPr>
              <w:t>198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1"/>
            <w:shd w:val="clear" w:color="auto" w:fill="CCEEFF"/>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Index of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466"/>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41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ind w:right="60" w:firstLine="648"/>
        <w:spacing w:after="0" w:line="303"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securities, and seeking offers to buy our securities, only in jurisdictions where offers and sales are permitted. The information in this prospectus is accurate only as of the date of this prospectus, regardless of the time of delivery of this prospectus or any sale of our securities.</w:t>
      </w:r>
    </w:p>
    <w:p>
      <w:pPr>
        <w:spacing w:after="0" w:line="18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are organized under the laws of Italy and our registered office and domicile is located in Milan, Italy.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Moreover, the chairman of the Board, the CEO and most of our directors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Italian counsel that there is doubt as to the enforceability in Italy of original actions, or in actions for enforcement of judgments of U.S. courts, of civil liabilities to the extent solely predicated upon the federal and state securities laws of the United States. See “Enforceability of Civil Liabilities” in this prospectus for additional information.</w:t>
      </w:r>
    </w:p>
    <w:p>
      <w:pPr>
        <w:spacing w:after="0" w:line="21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May 2021, we changed the legal form of our company under Italian law (the “Corporate Conversion”) from a limited liability company (società a responsabilità limitata, or S.r.l.) to a joint stock company (società per azioni, or S.p.A.). Unless otherwise indicated or the context otherwise requires, all references in this prospectus to the terms “we,” “us,” “our,” the “Company” and “Genenta” refer to Genenta Science S.p.A. after the transformation of Genenta Science S.r.l. to an Italian joint stock company.</w:t>
      </w:r>
    </w:p>
    <w:p>
      <w:pPr>
        <w:spacing w:after="0" w:line="21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All trademarks or trade names referred to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the use or display of other companies’ trademarks and trade names to imply a relationship with, or endorsement or sponsorship of us by, any other companies.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reporting currency and functional currency is the Euro. Unless otherwise expressly stated or the context otherwise requires, references in this prospectus to “dollars,” “USD” or “$” mean U.S. dollars, and references to “euros,” “EUR” or “€” are to the European Union euros. U.S. dollar translations of EUR amounts presented in this prospectus were done on different dates in accordance with the date as of such entry in our books and are derived from our audited financial statements included elsewhere in this prospectus. U.S. dollar translations of EUR amounts presented in this prospectus that are not derived from our audited financial statements included elsewhere in this prospectus are translated using the rate of € 1.00 to $ , based on the euro foreign exchange reference rate provided by the European Central Bank on , 2021.</w:t>
      </w:r>
    </w:p>
    <w:p>
      <w:pPr>
        <w:spacing w:after="0" w:line="20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This prospectus includes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Although we believe that these sources are reliable, we have not independently verified the information contained in such publications.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9508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7950835"/>
                    </a:xfrm>
                    <a:prstGeom prst="rect">
                      <a:avLst/>
                    </a:prstGeom>
                    <a:noFill/>
                  </pic:spPr>
                </pic:pic>
              </a:graphicData>
            </a:graphic>
          </wp:anchor>
        </w:drawing>
        <w:t>PROSPECTUS SUMMARY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securities. Before you decide to invest in our securities, you should read the entire prospectus carefully, including the “Risk Factors” section and the financial statements and related notes appearing at the end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proprietary platform. Our proprietary platform consists of (i) the Tie-2 promoter, that drives transgene sequence transcription specifically in TEMs, and</w:t>
      </w:r>
    </w:p>
    <w:p>
      <w:pPr>
        <w:spacing w:after="0" w:line="32" w:lineRule="exact"/>
        <w:rPr>
          <w:sz w:val="20"/>
          <w:szCs w:val="20"/>
          <w:color w:val="auto"/>
        </w:rPr>
      </w:pPr>
    </w:p>
    <w:p>
      <w:pPr>
        <w:ind w:right="360" w:firstLine="5"/>
        <w:spacing w:after="0" w:line="260"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miRNA-126 target sequences to downregulate transgene expression post-transcription in those cells where the Tie-2 promoter is active and the miRNA-126 is present. We believe there are many advantages to our approach:</w:t>
      </w:r>
    </w:p>
    <w:p>
      <w:pPr>
        <w:spacing w:after="0" w:line="212" w:lineRule="exact"/>
        <w:rPr>
          <w:rFonts w:ascii="Arial" w:cs="Arial" w:eastAsia="Arial" w:hAnsi="Arial"/>
          <w:sz w:val="18"/>
          <w:szCs w:val="18"/>
          <w:color w:val="auto"/>
        </w:rPr>
      </w:pPr>
    </w:p>
    <w:p>
      <w:pPr>
        <w:ind w:left="660" w:right="40" w:hanging="331"/>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60" w:hanging="331"/>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80" w:hanging="331"/>
        <w:spacing w:after="0" w:line="342"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candidate is designed to be a “</w:t>
      </w:r>
      <w:r>
        <w:rPr>
          <w:rFonts w:ascii="Arial" w:cs="Arial" w:eastAsia="Arial" w:hAnsi="Arial"/>
          <w:sz w:val="16"/>
          <w:szCs w:val="16"/>
          <w:i w:val="1"/>
          <w:iCs w:val="1"/>
          <w:color w:val="auto"/>
        </w:rPr>
        <w:t>living therapy</w:t>
      </w:r>
      <w:r>
        <w:rPr>
          <w:rFonts w:ascii="Arial" w:cs="Arial" w:eastAsia="Arial" w:hAnsi="Arial"/>
          <w:sz w:val="16"/>
          <w:szCs w:val="16"/>
          <w:color w:val="auto"/>
        </w:rPr>
        <w:t>” that has the</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to 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right="60" w:hanging="331"/>
        <w:spacing w:after="0" w:line="263"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chimeric antigen receptor T cells (CAR-T), our platform is not restricted to a pre-selected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antigen, nor any one tumor type. As such, it may be applied to a broad number of solid tumors and cancer subtypes, thereby overcoming one of the central unresolved challenges of immune-oncology cancer therapies.</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lead product candidate, Temferon, was developed using our platform and carries an interferon-alpha (IFN-α) payload. IFN-α is a well-known therapeutic that was previously administered intravenously for treatment of various cancers but is currently rarely used due to its systemic toxicity. The Temferon-modified TEMs express the transgene payload, IFN-α, in the tumor microenvironment resulting in the breakdown of tumor induced immune-tolerance. As a result, the immune system can recognize the tumor, respond, and inhibit tumor growth. Because Temferon delivers the IFN-α payload directly to the tumor, we believe it will demonstrate clinical activity without the side effect profile of systemic delivery of IFN-α. In preclinical cancer mouse models treated with Temferon, both direct (anti-angiogenic, pro-apoptotic) and indirect (immune response) effects were observed.</w:t>
      </w:r>
    </w:p>
    <w:p>
      <w:pPr>
        <w:spacing w:after="0" w:line="222" w:lineRule="exact"/>
        <w:rPr>
          <w:sz w:val="20"/>
          <w:szCs w:val="20"/>
          <w:color w:val="auto"/>
        </w:rPr>
      </w:pPr>
    </w:p>
    <w:p>
      <w:pPr>
        <w:ind w:firstLine="648"/>
        <w:spacing w:after="0" w:line="273"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with GBM who have an unmethylated MGMT gene promoter (uMGMT-GBM). GBM is the most common malignant primary brain tumor accounting for more than half of all central nervous system (CNS) cancers, and unmethylated MGMT promoter status is identified in approximately 60% of GBM patients.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years after diagnosis. With no curative treatments available and such poor prognosis for patients, there remains a large, unmet medical need. We chose GBM among our first targets for clinical development after considering the medical need, the active role that TEMs have in GBM pathology, and the high number of newly diagnosed uMGMT-GBM patients potentially interested in participating in our study. As a result, we believe GBM offers a good profile for our initial proof of concept trial in humans. We are currently conducting a Phase 1/2a dose-escalation clinical trial with Temferon in newly diagnosed uMGMT-GBM patients in Italy. We anticipate completing patient enrollment and treatment by the second quarter of 2022. We intend to use the preliminary results of our Phase 1/2a clinical trial to support a Clinical Trial Application to conduct in Europe a multicenter Phase 2 trial in uMGMT-GBM, which we currently intend to conduct primarily in Italy. As of October 15</w:t>
      </w:r>
      <w:r>
        <w:rPr>
          <w:rFonts w:ascii="Arial" w:cs="Arial" w:eastAsia="Arial" w:hAnsi="Arial"/>
          <w:sz w:val="26"/>
          <w:szCs w:val="26"/>
          <w:color w:val="auto"/>
          <w:vertAlign w:val="superscript"/>
        </w:rPr>
        <w:t>th</w:t>
      </w:r>
      <w:r>
        <w:rPr>
          <w:rFonts w:ascii="Arial" w:cs="Arial" w:eastAsia="Arial" w:hAnsi="Arial"/>
          <w:sz w:val="16"/>
          <w:szCs w:val="16"/>
          <w:color w:val="auto"/>
        </w:rPr>
        <w:t>, 2021, we have administered Temferon to a total of 15 patients in clinical trials.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results to date show that Temferon was generally well tolerated with no dose limiting toxicities identified so far.</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58" w:right="519" w:bottom="1440" w:gutter="0" w:footer="0" w:header="0"/>
        </w:sectPr>
      </w:pPr>
    </w:p>
    <w:bookmarkStart w:id="7" w:name="page8"/>
    <w:bookmarkEnd w:id="7"/>
    <w:p>
      <w:pPr>
        <w:ind w:firstLine="64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411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4110355"/>
                    </a:xfrm>
                    <a:prstGeom prst="rect">
                      <a:avLst/>
                    </a:prstGeom>
                    <a:noFill/>
                  </pic:spPr>
                </pic:pic>
              </a:graphicData>
            </a:graphic>
          </wp:anchor>
        </w:drawing>
        <w:t>We also intend to develop Temferon for the treatment of other solid tumor indications, and locally advanced hepatocellular carcinoma (HCC) and intra-hepatic cholangiocarcinoma (ICC) are two indications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which have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 If HCC and ICC will be selected, we intend to submit a Clinical Trial Application (CTA) for conducting a Phase 1/2a study of Temferon to the Italian Medicines Agency (Agenzia Italiana del Farmaco, or AIFA), the public institution responsible for the regulatory activity of pharmaceuticals in Italy.</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to our Temferon programs being developed in uMGMT-GBM patients,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Our portfolio of clinical and preclinical </w:t>
      </w:r>
      <w:r>
        <w:rPr>
          <w:rFonts w:ascii="Arial" w:cs="Arial" w:eastAsia="Arial" w:hAnsi="Arial"/>
          <w:sz w:val="17"/>
          <w:szCs w:val="17"/>
          <w:i w:val="1"/>
          <w:iCs w:val="1"/>
          <w:color w:val="auto"/>
        </w:rPr>
        <w:t>ex-vivo</w:t>
      </w:r>
      <w:r>
        <w:rPr>
          <w:rFonts w:ascii="Arial" w:cs="Arial" w:eastAsia="Arial" w:hAnsi="Arial"/>
          <w:sz w:val="17"/>
          <w:szCs w:val="17"/>
          <w:color w:val="auto"/>
        </w:rPr>
        <w:t xml:space="preserve"> autologous gene cancer therapies is based on our technology platform, which was originally developed in our founders’ laboratories at Ospedale San Raffaele, or OSR. Through our collaboration with OSR, we have worldwide commercial rights to Temferon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immune checkpoint inhibitors (ICI), CAR-T cell therapies and T cell receptor (TCR) therapies.</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480" w:top="989" w:right="55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8387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8387715"/>
                    </a:xfrm>
                    <a:prstGeom prst="rect">
                      <a:avLst/>
                    </a:prstGeom>
                    <a:noFill/>
                  </pic:spPr>
                </pic:pic>
              </a:graphicData>
            </a:graphic>
          </wp:anchor>
        </w:drawing>
        <w:t>Our current pipeline, with clinical and preclinical stage programs,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GBM patients and patients suffering from another solid cancer indication such as HCC and ICC.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are currently conducting a Phase 1/2a dose-escalation study to primarily evaluate the safety and tolerability of Temferon in up to 21 uMGMT-GBM patients, following radiotherapy treatment. In the third quarter of 2022, we plan to initiate in Europe a multicenter Phase 2 trial in uMGMT-GBM, which we currently intend to conduct primarily in Italy, to evaluate the safety and efficacy of Temferon in up to 27 uMGMT-GBM patients (both newly diagnosed and with progressive disease) who have an unmethylated MGMT promoter where we intend to measure progression free survival (PFS) and overall survival (OS) as endpoints. In advance of our CTA submission and although it is not required for our European trial, we submitted a pre-IND meeting request to the FDA and received written responses from the Agency regarding future possible Phase 2 clinical studies and drug product manufacturing as part of our development of long-term strategies following our European trial. There cannot be any assurance that such meetings will lead to clinical and manufacturing strategies in the US in the future, which is dependent on feedback from the FDA and advice from key opinion leaders and US partnering clinical centers, as well as the availability of financial and other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extend our product pipeline by:</w:t>
      </w:r>
    </w:p>
    <w:p>
      <w:pPr>
        <w:spacing w:after="0" w:line="252" w:lineRule="exact"/>
        <w:rPr>
          <w:sz w:val="20"/>
          <w:szCs w:val="20"/>
          <w:color w:val="auto"/>
        </w:rPr>
      </w:pPr>
    </w:p>
    <w:p>
      <w:pPr>
        <w:ind w:left="660" w:right="80" w:hanging="331"/>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another solid tumor indication and locally advanced HCC and ICC are under consideration. The Istituto Superiore di Sanità (ISS), an independent committee with oversight from the Italian Ministry of Health, must issue a positive opinion regarding our CTA before AIFA will approve it. In addition to these indications,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40" w:hanging="331"/>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Using our platform with different transgene payloads. </w:t>
      </w:r>
      <w:r>
        <w:rPr>
          <w:rFonts w:ascii="Arial" w:cs="Arial" w:eastAsia="Arial" w:hAnsi="Arial"/>
          <w:sz w:val="18"/>
          <w:szCs w:val="18"/>
          <w:color w:val="auto"/>
        </w:rPr>
        <w:t>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80" w:hanging="331"/>
        <w:spacing w:after="0" w:line="31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sectPr>
      </w:pPr>
    </w:p>
    <w:bookmarkStart w:id="9" w:name="page10"/>
    <w:bookmarkEnd w:id="9"/>
    <w:p>
      <w:pPr>
        <w:ind w:left="660" w:right="80" w:hanging="331"/>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467995</wp:posOffset>
            </wp:positionV>
            <wp:extent cx="7127875" cy="6501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6501765"/>
                    </a:xfrm>
                    <a:prstGeom prst="rect">
                      <a:avLst/>
                    </a:prstGeom>
                    <a:noFill/>
                  </pic:spPr>
                </pic:pic>
              </a:graphicData>
            </a:graphic>
          </wp:anchor>
        </w:drawing>
        <w:t>Exploring combination therapies. We will seek to enter into collaborations with other companies to explore combination studies of our therapeutics with other cancer therapies, such as ICI, CAR-T cell therapies and TCR therapies. We believe our product candidate, as a result of its MoA, has the potential to enhance the durability and efficacy of the existing therapies, thus abolishing the immune tolerance to the tumor.</w:t>
      </w:r>
    </w:p>
    <w:p>
      <w:pPr>
        <w:spacing w:after="0" w:line="146" w:lineRule="exact"/>
        <w:rPr>
          <w:rFonts w:ascii="Arial" w:cs="Arial" w:eastAsia="Arial" w:hAnsi="Arial"/>
          <w:sz w:val="18"/>
          <w:szCs w:val="18"/>
          <w:color w:val="auto"/>
        </w:rPr>
      </w:pPr>
    </w:p>
    <w:p>
      <w:pPr>
        <w:ind w:left="660" w:hanging="331"/>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Exploiting in-licensing opportunities with OSR</w:t>
      </w:r>
      <w:r>
        <w:rPr>
          <w:rFonts w:ascii="Arial" w:cs="Arial" w:eastAsia="Arial" w:hAnsi="Arial"/>
          <w:sz w:val="17"/>
          <w:szCs w:val="17"/>
          <w:color w:val="auto"/>
        </w:rPr>
        <w:t>. We intend to exploit in-licensing opportunities with OSR, a co-founding shareholder.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Currently, for Temferon manufacturing we rely on AGC Biologics, a contract development and manufacturing organization (CDMO), at their cell and gene therapy facility located in Milan (Italy). After the completion of our planned multicenter Phase 2 uMGMT- GBM study most likely to be conducted in Italy, to meet our drug product supply needs for conducting larger trials we intend to enter into a supply agreement with a US-based CMO for the manufacturing of our products. In July 2021 AGC Biologics purchased a 60,000 square meters cells and gene therapy manufacturing facility located in Longmont, Colorado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choose to partner with larger pharmaceutical companies whose core competencies and oncology strategies are in line with ours.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We believe that our growing body of early clinical data supporting the potential of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214" w:lineRule="exact"/>
        <w:rPr>
          <w:sz w:val="20"/>
          <w:szCs w:val="20"/>
          <w:color w:val="auto"/>
        </w:rPr>
      </w:pPr>
    </w:p>
    <w:p>
      <w:pPr>
        <w:ind w:left="660" w:right="80" w:hanging="331"/>
        <w:spacing w:after="0" w:line="28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that are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0" w:name="page11"/>
    <w:bookmarkEnd w:id="10"/>
    <w:p>
      <w:pPr>
        <w:ind w:left="340" w:right="180" w:hanging="331"/>
        <w:spacing w:after="0" w:line="282"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593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5593080"/>
                    </a:xfrm>
                    <a:prstGeom prst="rect">
                      <a:avLst/>
                    </a:prstGeom>
                    <a:noFill/>
                  </pic:spPr>
                </pic:pic>
              </a:graphicData>
            </a:graphic>
          </wp:anchor>
        </w:drawing>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 additional programs, give us the ability to grow our pipeline by targeting a broad set of cancer diseases.</w:t>
      </w:r>
    </w:p>
    <w:p>
      <w:pPr>
        <w:spacing w:after="0" w:line="121" w:lineRule="exact"/>
        <w:rPr>
          <w:rFonts w:ascii="Arial" w:cs="Arial" w:eastAsia="Arial" w:hAnsi="Arial"/>
          <w:sz w:val="18"/>
          <w:szCs w:val="18"/>
          <w:color w:val="auto"/>
        </w:rPr>
      </w:pPr>
    </w:p>
    <w:p>
      <w:pPr>
        <w:ind w:left="340" w:right="880" w:hanging="331"/>
        <w:spacing w:after="0" w:line="312"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Durable therapeutic potential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Preliminary interim clinical data collected from fifteen uMGMT- GBM patients following a single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administration of Temferon displayed modified cells at 18 months, the last measured timepoint to date.</w:t>
      </w:r>
    </w:p>
    <w:p>
      <w:pPr>
        <w:spacing w:after="0" w:line="99" w:lineRule="exact"/>
        <w:rPr>
          <w:rFonts w:ascii="Arial" w:cs="Arial" w:eastAsia="Arial" w:hAnsi="Arial"/>
          <w:sz w:val="17"/>
          <w:szCs w:val="17"/>
          <w:color w:val="auto"/>
        </w:rPr>
      </w:pPr>
    </w:p>
    <w:p>
      <w:pPr>
        <w:ind w:left="340" w:right="80" w:hanging="331"/>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 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color w:val="auto"/>
        </w:rPr>
      </w:pPr>
    </w:p>
    <w:p>
      <w:pPr>
        <w:ind w:left="340" w:right="40" w:hanging="331"/>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color w:val="auto"/>
        </w:rPr>
      </w:pPr>
    </w:p>
    <w:p>
      <w:pPr>
        <w:ind w:left="340" w:right="200" w:hanging="331"/>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novel 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color w:val="auto"/>
        </w:rPr>
      </w:pPr>
    </w:p>
    <w:p>
      <w:pPr>
        <w:ind w:left="340" w:hanging="331"/>
        <w:spacing w:after="0" w:line="340" w:lineRule="auto"/>
        <w:tabs>
          <w:tab w:leader="none" w:pos="34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Active and sustained tumor surveillance. </w:t>
      </w:r>
      <w:r>
        <w:rPr>
          <w:rFonts w:ascii="Arial" w:cs="Arial" w:eastAsia="Arial" w:hAnsi="Arial"/>
          <w:sz w:val="15"/>
          <w:szCs w:val="15"/>
          <w:color w:val="auto"/>
        </w:rPr>
        <w:t>Our immune-gene therapy is designed to trigger the patient’s own immune response that establishes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90" w:lineRule="exact"/>
        <w:rPr>
          <w:rFonts w:ascii="Arial" w:cs="Arial" w:eastAsia="Arial" w:hAnsi="Arial"/>
          <w:sz w:val="15"/>
          <w:szCs w:val="15"/>
          <w:color w:val="auto"/>
        </w:rPr>
      </w:pPr>
    </w:p>
    <w:p>
      <w:pPr>
        <w:ind w:left="340" w:hanging="331"/>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Fine dose tuning. </w:t>
      </w:r>
      <w:r>
        <w:rPr>
          <w:rFonts w:ascii="Arial" w:cs="Arial" w:eastAsia="Arial" w:hAnsi="Arial"/>
          <w:sz w:val="17"/>
          <w:szCs w:val="17"/>
          <w:color w:val="auto"/>
        </w:rPr>
        <w:t>Our platform holds promise to fine tune the dose to be administered based on individual patient characteristics.</w:t>
      </w:r>
    </w:p>
    <w:p>
      <w:pPr>
        <w:spacing w:after="0" w:line="196" w:lineRule="exact"/>
        <w:rPr>
          <w:rFonts w:ascii="Arial" w:cs="Arial" w:eastAsia="Arial" w:hAnsi="Arial"/>
          <w:sz w:val="17"/>
          <w:szCs w:val="17"/>
          <w:color w:val="auto"/>
        </w:rPr>
      </w:pPr>
    </w:p>
    <w:p>
      <w:pPr>
        <w:ind w:left="340" w:right="260" w:hanging="331"/>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patients 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340" w:right="200" w:hanging="331"/>
        <w:spacing w:after="0" w:line="272"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340" w:right="120" w:hanging="331"/>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00" w:lineRule="exact"/>
        <w:rPr>
          <w:sz w:val="20"/>
          <w:szCs w:val="20"/>
          <w:color w:val="auto"/>
        </w:rPr>
      </w:pPr>
    </w:p>
    <w:p>
      <w:pPr>
        <w:spacing w:after="0" w:line="28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800" w:top="985"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110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7110730"/>
                    </a:xfrm>
                    <a:prstGeom prst="rect">
                      <a:avLst/>
                    </a:prstGeom>
                    <a:noFill/>
                  </pic:spPr>
                </pic:pic>
              </a:graphicData>
            </a:graphic>
          </wp:anchor>
        </w:drawing>
        <w:t>Company History and Management Team</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(OSR) in Milan, a globally recognized premier research hospital for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with Pierluigi Paracchi (our CEO), Luigi Naldini (Chairman of our Executive Scientific Board) and Bernhard Gentner (a member of our Executive Scientific Board), to develop potential ground-breaking cell and gene cancer therapies. We leverage the vast experience in LVV technology of the San Raffaele Telethon Institute for Gene Therapy (SR-Tiget). SR-Tiget, a joint venture between OSR and Fondazione Telethon (Telethon), is a world leading cell and gene therapy research institution at the forefront of developing therapies for rare diseases.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Its research has resulted in a number of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option rights, to certain intellectual property (IP) originating there.</w:t>
      </w:r>
    </w:p>
    <w:p>
      <w:pPr>
        <w:spacing w:after="0" w:line="21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 (June 2018).</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business, and investing in our securities, are subject to numerous risks and uncertainties, as more fully described in the section “Risk Factors” included elsewhere in this prospectus. You should read these risks before making a decision to invest in our securities. If any of these risks actually occur, our business, financial condition or results of operations would likely be materially adversely affected. In each case, the trading price of our securities would likely decline, and you may lose all or part of your investment. The following is a summary of some of the principal risks we face:</w:t>
      </w:r>
    </w:p>
    <w:p>
      <w:pPr>
        <w:spacing w:after="0" w:line="184" w:lineRule="exact"/>
        <w:rPr>
          <w:sz w:val="20"/>
          <w:szCs w:val="20"/>
          <w:color w:val="auto"/>
        </w:rPr>
      </w:pPr>
    </w:p>
    <w:p>
      <w:pPr>
        <w:ind w:left="660" w:right="500" w:hanging="331"/>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p>
      <w:pPr>
        <w:spacing w:after="0" w:line="143" w:lineRule="exact"/>
        <w:rPr>
          <w:rFonts w:ascii="Arial" w:cs="Arial" w:eastAsia="Arial" w:hAnsi="Arial"/>
          <w:sz w:val="18"/>
          <w:szCs w:val="18"/>
          <w:color w:val="auto"/>
        </w:rPr>
      </w:pPr>
    </w:p>
    <w:p>
      <w:pPr>
        <w:ind w:left="660" w:right="20" w:hanging="331"/>
        <w:spacing w:after="0" w:line="27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OSR and any failure to comply with the terms of such license agreement could have a material adverse effect on our intellectual property position and our ability to seek approval for and ultimately commercialize such product candidates.</w:t>
      </w:r>
    </w:p>
    <w:p>
      <w:pPr>
        <w:spacing w:after="0" w:line="135" w:lineRule="exact"/>
        <w:rPr>
          <w:rFonts w:ascii="Arial" w:cs="Arial" w:eastAsia="Arial" w:hAnsi="Arial"/>
          <w:sz w:val="17"/>
          <w:szCs w:val="17"/>
          <w:color w:val="auto"/>
        </w:rPr>
      </w:pPr>
    </w:p>
    <w:p>
      <w:pPr>
        <w:ind w:left="660" w:right="40" w:hanging="331"/>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2" w:name="page13"/>
    <w:bookmarkEnd w:id="12"/>
    <w:p>
      <w:pPr>
        <w:ind w:left="660" w:hanging="331"/>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5764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5764530"/>
                    </a:xfrm>
                    <a:prstGeom prst="rect">
                      <a:avLst/>
                    </a:prstGeom>
                    <a:noFill/>
                  </pic:spPr>
                </pic:pic>
              </a:graphicData>
            </a:graphic>
          </wp:anchor>
        </w:drawing>
        <w:t>We currently have very few employees and rely almost entirely on the efforts of third parties over which we have limited control and in certain cases are reliant on a sole supplier for our materials. Our contract research organizations, or CROs, may fail to observe the standards to which our studies must be conducted and our product candidates may not be approved as a result. Likewise, our contract manufacturing organizations, or CMOs, may not continue producing the needed materials for preclinical and clinical testing, whether as a result of their commitments to other customers or otherwise. Any failure of these third parties to meet our expectations would have a materially adverse effect on our product development efforts.</w:t>
      </w:r>
    </w:p>
    <w:p>
      <w:pPr>
        <w:spacing w:after="0" w:line="151" w:lineRule="exact"/>
        <w:rPr>
          <w:rFonts w:ascii="Arial" w:cs="Arial" w:eastAsia="Arial" w:hAnsi="Arial"/>
          <w:sz w:val="18"/>
          <w:szCs w:val="18"/>
          <w:color w:val="auto"/>
        </w:rPr>
      </w:pPr>
    </w:p>
    <w:p>
      <w:pPr>
        <w:ind w:left="660" w:right="140" w:hanging="331"/>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p>
      <w:pPr>
        <w:spacing w:after="0" w:line="151" w:lineRule="exact"/>
        <w:rPr>
          <w:rFonts w:ascii="Arial" w:cs="Arial" w:eastAsia="Arial" w:hAnsi="Arial"/>
          <w:sz w:val="18"/>
          <w:szCs w:val="18"/>
          <w:color w:val="auto"/>
        </w:rPr>
      </w:pPr>
    </w:p>
    <w:p>
      <w:pPr>
        <w:ind w:left="660" w:right="40" w:hanging="331"/>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ongoing and planned clinical trials, operations and financial condition, and our overall generation of revenues may not succeed on the time frames we expect or at all.</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Chief Executive Officer, directors and shareholders who own more than 5% of our outstanding ordinary shares before this offering</w:t>
      </w:r>
    </w:p>
    <w:p>
      <w:pPr>
        <w:spacing w:after="0" w:line="35" w:lineRule="exact"/>
        <w:rPr>
          <w:sz w:val="20"/>
          <w:szCs w:val="20"/>
          <w:color w:val="auto"/>
        </w:rPr>
      </w:pPr>
    </w:p>
    <w:p>
      <w:pPr>
        <w:ind w:left="660" w:right="200"/>
        <w:spacing w:after="0" w:line="323" w:lineRule="auto"/>
        <w:rPr>
          <w:sz w:val="20"/>
          <w:szCs w:val="20"/>
          <w:color w:val="auto"/>
        </w:rPr>
      </w:pPr>
      <w:r>
        <w:rPr>
          <w:rFonts w:ascii="Arial" w:cs="Arial" w:eastAsia="Arial" w:hAnsi="Arial"/>
          <w:sz w:val="16"/>
          <w:szCs w:val="16"/>
          <w:color w:val="auto"/>
        </w:rPr>
        <w:t>currently own approximately [70.0]% of our outstanding ordinary shares and will own approximately % of our ordinary shares upon the completion of this offering and will therefore be able to exert significant control over matters submitted to our shareholders for approval.</w:t>
      </w:r>
    </w:p>
    <w:p>
      <w:pPr>
        <w:spacing w:after="0" w:line="98" w:lineRule="exact"/>
        <w:rPr>
          <w:sz w:val="20"/>
          <w:szCs w:val="20"/>
          <w:color w:val="auto"/>
        </w:rPr>
      </w:pPr>
    </w:p>
    <w:p>
      <w:pPr>
        <w:ind w:left="660" w:right="980" w:hanging="331"/>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 public company following the conclusion of this offering, we will need to comply with extensive additional U.S. and Italian governmental and Nasdaq regulations, which will be expensive, and which will require significant management attention.</w:t>
      </w:r>
    </w:p>
    <w:p>
      <w:pPr>
        <w:spacing w:after="0" w:line="83" w:lineRule="exact"/>
        <w:rPr>
          <w:rFonts w:ascii="Arial" w:cs="Arial" w:eastAsia="Arial" w:hAnsi="Arial"/>
          <w:sz w:val="16"/>
          <w:szCs w:val="16"/>
          <w:color w:val="auto"/>
        </w:rPr>
      </w:pPr>
    </w:p>
    <w:p>
      <w:pPr>
        <w:jc w:val="both"/>
        <w:ind w:left="660" w:right="100" w:hanging="331"/>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company organized under the laws of Italy and whose shares are represented by ADSs, the rights of investors in the company following this offering will differ in several material respects from the rights of holders of shares of common stock of a US domestic company and may not afford investors the same protections.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Genenta was formed as an Italian limited liability company (società a responsabilità limitata, or S.r.l.) in 2014. In May 2021, we changed the legal form of our company under Italian law to a joint stock company (società per azioni, or S.p.A.).</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principal executive offices are located at Via Olgettina No. 58, 20132 Milan, Italy. Our telephone number in Italy is +39.02.2643.6639. Our website address is www.genenta.com. The information contained on, or that can be accessed through, our website is not part of this prospectus. We have included our website address in this prospectus solely as an inactive textual reference.</w:t>
      </w:r>
    </w:p>
    <w:p>
      <w:pPr>
        <w:spacing w:after="0" w:line="211"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The Securities and Exchange Commission, or the SEC, also maintains an Internet website that contains reports, proxy and information statements and other information regarding issuers that file electronically with the SEC. Our filings with the U.S. Securities and Exchange Commission, or the SEC, will also be available to the public through the SEC’s website at http://www.sec.gov.</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9" w:right="4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6518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6518910"/>
                    </a:xfrm>
                    <a:prstGeom prst="rect">
                      <a:avLst/>
                    </a:prstGeom>
                    <a:noFill/>
                  </pic:spPr>
                </pic:pic>
              </a:graphicData>
            </a:graphic>
          </wp:anchor>
        </w:drawing>
        <w:t>Implications of Being an “Emerging Growth Company”</w:t>
      </w:r>
    </w:p>
    <w:p>
      <w:pPr>
        <w:spacing w:after="0" w:line="25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qualify as an “emerging growth company,” as defined in Section 2(a) of the Securities Act of 1933, as amended, or the Securities Act, as modified by the Jumpstart Our Business Startups Act of 2012, or the JOBS Act. As such, we are eligible to, and intend to, take advantage of certain exemptions from various reporting requirements applicable to other public companies that are otherwise applicable generally to public companies. These provisions include:</w:t>
      </w:r>
    </w:p>
    <w:p>
      <w:pPr>
        <w:spacing w:after="0" w:line="214" w:lineRule="exact"/>
        <w:rPr>
          <w:sz w:val="20"/>
          <w:szCs w:val="20"/>
          <w:color w:val="auto"/>
        </w:rPr>
      </w:pPr>
    </w:p>
    <w:p>
      <w:pPr>
        <w:ind w:left="660" w:right="20" w:hanging="331"/>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129" w:lineRule="exact"/>
        <w:rPr>
          <w:rFonts w:ascii="Arial" w:cs="Arial" w:eastAsia="Arial" w:hAnsi="Arial"/>
          <w:sz w:val="18"/>
          <w:szCs w:val="18"/>
          <w:color w:val="auto"/>
        </w:rPr>
      </w:pPr>
    </w:p>
    <w:p>
      <w:pPr>
        <w:ind w:left="660" w:hanging="33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84" w:lineRule="exact"/>
        <w:rPr>
          <w:rFonts w:ascii="Arial" w:cs="Arial" w:eastAsia="Arial" w:hAnsi="Arial"/>
          <w:sz w:val="18"/>
          <w:szCs w:val="18"/>
          <w:color w:val="auto"/>
        </w:rPr>
      </w:pPr>
    </w:p>
    <w:p>
      <w:pPr>
        <w:ind w:left="660" w:hanging="33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84" w:lineRule="exact"/>
        <w:rPr>
          <w:rFonts w:ascii="Arial" w:cs="Arial" w:eastAsia="Arial" w:hAnsi="Arial"/>
          <w:sz w:val="18"/>
          <w:szCs w:val="18"/>
          <w:color w:val="auto"/>
        </w:rPr>
      </w:pPr>
    </w:p>
    <w:p>
      <w:pPr>
        <w:ind w:left="660" w:right="100" w:hanging="331"/>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7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 exceeds $1.07 billion, (b) the date that we become a “large accelerated filer” as defined in Rule 12b-2 under the Securities Exchange Act of 1934, as amended, or the Exchange Act, which would occur if the market value of our securities that is held by non-affiliates exceeds $700 million as of the last business day of our most recently completed second fiscal quarter, or (c) the date on which we have issued more than $1 billion in nonconvertible debt during the preceding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consummation of this offering, we will be subject to the information reporting requirements of the Exchange Act that are applicable to “foreign private issuers,” and under those requirements we will file reports with the SEC. As a foreign private issuer, we will not be subject to the same requirements that are imposed upon U.S. domestic issuers by the SEC. Under the Exchange Act, we will be subject to reporting obligations that, in certain respects, are less detailed and less frequent than those of U.S. domestic reporting companies. For example, we will not be required to issue quarterly reports, proxy statements that comply with the requirements applicable to U.S. domestic reporting companies, or individual executive compensation information that is as detailed as that required of U.S. domestic reporting companies. We also will have four months after the end of each fiscal year to file our annual report with the SEC and will not be required to file current reports as frequently or promptly as U.S. domestic reporting companies. Our officers, directors and principal shareholders will be exempt from the requirements to report transactions in our equity securities and from the short-swing profit liability provisions contained in Section 16 of the Exchange Act. As a foreign private issuer, we will not be subject to the requirements of Regulation FD (Fair Disclosure) promulgated under the Exchange Act. In addition, as a foreign private issuer, we will be permitted to follow certain home country corporate governance practices instead of those otherwise required under the Nasdaq Stock Market rules for domestic U.S. issuers and will not be required to be compliant with all Nasdaq Stock Market rules as of the date of our initial listing on Nasdaq as would domestic U.S. issuers (see “Risk Factors—Risks Related to this Offering and Ownership of Our Securities”). These exemptions and leniencies will reduce the frequency and scope of information and protections available to you in comparison to those applicable to a U.S. domestic reporting company. We intend to take advantage of the exemptions available to us as a foreign private issuer during and after the period we qualify as a “foreign private issuer.”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10093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7875" cy="10093960"/>
                    </a:xfrm>
                    <a:prstGeom prst="rect">
                      <a:avLst/>
                    </a:prstGeom>
                    <a:noFill/>
                  </pic:spPr>
                </pic:pic>
              </a:graphicData>
            </a:graphic>
          </wp:anchor>
        </w:drawing>
        <w:t>THE OFFERING</w:t>
      </w:r>
    </w:p>
    <w:p>
      <w:pPr>
        <w:spacing w:after="0" w:line="256" w:lineRule="exact"/>
        <w:rPr>
          <w:sz w:val="20"/>
          <w:szCs w:val="20"/>
          <w:color w:val="auto"/>
        </w:rPr>
      </w:pPr>
    </w:p>
    <w:p>
      <w:pPr>
        <w:spacing w:after="0"/>
        <w:tabs>
          <w:tab w:leader="none" w:pos="4960" w:val="left"/>
          <w:tab w:leader="none" w:pos="6900" w:val="left"/>
        </w:tabs>
        <w:rPr>
          <w:sz w:val="20"/>
          <w:szCs w:val="20"/>
          <w:color w:val="auto"/>
        </w:rPr>
      </w:pPr>
      <w:r>
        <w:rPr>
          <w:rFonts w:ascii="Arial" w:cs="Arial" w:eastAsia="Arial" w:hAnsi="Arial"/>
          <w:sz w:val="18"/>
          <w:szCs w:val="18"/>
          <w:color w:val="auto"/>
        </w:rPr>
        <w:t>ADSs offered by us</w:t>
      </w:r>
      <w:r>
        <w:rPr>
          <w:sz w:val="20"/>
          <w:szCs w:val="20"/>
          <w:color w:val="auto"/>
        </w:rPr>
        <w:tab/>
      </w:r>
      <w:r>
        <w:rPr>
          <w:rFonts w:ascii="Arial" w:cs="Arial" w:eastAsia="Arial" w:hAnsi="Arial"/>
          <w:sz w:val="18"/>
          <w:szCs w:val="18"/>
          <w:color w:val="auto"/>
        </w:rPr>
        <w:t>ADSs, representing</w:t>
      </w:r>
      <w:r>
        <w:rPr>
          <w:sz w:val="20"/>
          <w:szCs w:val="20"/>
          <w:color w:val="auto"/>
        </w:rPr>
        <w:tab/>
      </w:r>
      <w:r>
        <w:rPr>
          <w:rFonts w:ascii="Arial" w:cs="Arial" w:eastAsia="Arial" w:hAnsi="Arial"/>
          <w:sz w:val="15"/>
          <w:szCs w:val="15"/>
          <w:color w:val="auto"/>
        </w:rPr>
        <w:t>ordinary shares</w:t>
      </w:r>
    </w:p>
    <w:p>
      <w:pPr>
        <w:spacing w:after="0" w:line="225"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Ordinary shares issued and outstanding prior to this offering</w:t>
      </w:r>
      <w:r>
        <w:rPr>
          <w:sz w:val="20"/>
          <w:szCs w:val="20"/>
          <w:color w:val="auto"/>
        </w:rPr>
        <w:tab/>
      </w:r>
      <w:r>
        <w:rPr>
          <w:rFonts w:ascii="Arial" w:cs="Arial" w:eastAsia="Arial" w:hAnsi="Arial"/>
          <w:sz w:val="16"/>
          <w:szCs w:val="16"/>
          <w:color w:val="auto"/>
        </w:rPr>
        <w:t>15,000,000 ordinary shares</w:t>
      </w:r>
    </w:p>
    <w:p>
      <w:pPr>
        <w:sectPr>
          <w:pgSz w:w="11900" w:h="16838" w:orient="portrait"/>
          <w:cols w:equalWidth="0" w:num="1">
            <w:col w:w="10920"/>
          </w:cols>
          <w:pgMar w:left="480" w:top="985" w:right="499" w:bottom="0" w:gutter="0" w:footer="0" w:header="0"/>
        </w:sect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Ordinary shares to be issued and outstanding after this offering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Reserved Offering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firstLine="495"/>
        <w:spacing w:after="0" w:line="263" w:lineRule="auto"/>
        <w:rPr>
          <w:sz w:val="20"/>
          <w:szCs w:val="20"/>
          <w:color w:val="auto"/>
        </w:rPr>
      </w:pPr>
      <w:r>
        <w:rPr>
          <w:rFonts w:ascii="Arial" w:cs="Arial" w:eastAsia="Arial" w:hAnsi="Arial"/>
          <w:sz w:val="18"/>
          <w:szCs w:val="18"/>
          <w:color w:val="auto"/>
        </w:rPr>
        <w:t>ordinary shares (or ordinary shares if the underwriters exercise their option to purchase additional ADSs within 30 days of the date of this prospectus from us in full) (includes ordinary shares represented by the ADSs)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At our request, ________ ordinary shares covered by the registration statement of which</w:t>
      </w:r>
    </w:p>
    <w:p>
      <w:pPr>
        <w:spacing w:after="0" w:line="4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this prospectus is part have been reserved for sale, at the initial public offering price, by the Company, directly or through agents, in the Reserved Offering to existing shareholders of the Company, as a mitigant for the exclusion of pre-emptive rights as resolved by the general shareholders meeting of the Company in accordance with Italian corporate law and our by-laws. The Reserved Offering will be effected in compliance with the laws of Italy, at the same price to investors as the offering of ADSs. We will receive the full proceeds from the Reserved Offering and will not pay any underwriting discounts or commissions with respect to ordinary shares that we sell in the Reserved Offering but have agreed to pay an advisory fee to the representatives with respect to such sales. The offer and sale of ordinary shares in the Reserved Offering (i) is contingent upon the completion of the offering of ADSs, (ii) has been registered for purposes of the securities laws of the United States under the registration statement of which this prospectus is part, and (iii) is conducted in Italy under applicable exemptions from Italian and European regulations concerning prospectus.</w:t>
      </w:r>
    </w:p>
    <w:p>
      <w:pPr>
        <w:spacing w:after="0" w:line="178" w:lineRule="exact"/>
        <w:rPr>
          <w:sz w:val="20"/>
          <w:szCs w:val="20"/>
          <w:color w:val="auto"/>
        </w:rPr>
      </w:pPr>
    </w:p>
    <w:p>
      <w:pPr>
        <w:sectPr>
          <w:pgSz w:w="11900" w:h="16838" w:orient="portrait"/>
          <w:cols w:equalWidth="0" w:num="2">
            <w:col w:w="3920" w:space="560"/>
            <w:col w:w="6440"/>
          </w:cols>
          <w:pgMar w:left="480" w:top="985" w:right="49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The ADSs</w:t>
            </w: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2"/>
              </w:rPr>
              <w:t>Each ADS represents one of our ordinary shares, with no par value. The ADSs may be</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9"/>
              </w:rPr>
              <w:t>evidenced by American Depositary Receipts, or ADRs. The depositary will hold in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1"/>
              </w:rPr>
              <w:t>custody the ordinary shares underlying the ADSs and you will have the rights of an ADS</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2"/>
              </w:rPr>
              <w:t>holder as provided in the deposit agreement among us, the depositary and owners and</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rPr>
              <w:t>holders of ADSs from time to time.</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45"/>
        </w:trPr>
        <w:tc>
          <w:tcPr>
            <w:tcW w:w="3040" w:type="dxa"/>
            <w:vAlign w:val="bottom"/>
          </w:tcPr>
          <w:p>
            <w:pPr>
              <w:spacing w:after="0"/>
              <w:rPr>
                <w:sz w:val="24"/>
                <w:szCs w:val="24"/>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To better understand the terms of the ADSs, you should carefully read the “Description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1"/>
              </w:rPr>
              <w:t>of the Offered Securities” section of this prospectus. We also encourage you to read the</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deposit agreement, which is incorporated by reference as an exhibit to the registration</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0"/>
              </w:rPr>
              <w:t>statement that includes this prospectus.</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Over-allotment option</w:t>
            </w: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2"/>
              </w:rPr>
              <w:t>We have granted to the underwriters an option exercisable for a period of 30 days after</w:t>
            </w:r>
          </w:p>
        </w:tc>
      </w:tr>
      <w:tr>
        <w:trPr>
          <w:trHeight w:val="216"/>
        </w:trPr>
        <w:tc>
          <w:tcPr>
            <w:tcW w:w="3040" w:type="dxa"/>
            <w:vAlign w:val="bottom"/>
          </w:tcPr>
          <w:p>
            <w:pPr>
              <w:spacing w:after="0"/>
              <w:rPr>
                <w:sz w:val="18"/>
                <w:szCs w:val="18"/>
                <w:color w:val="auto"/>
              </w:rPr>
            </w:pPr>
          </w:p>
        </w:tc>
        <w:tc>
          <w:tcPr>
            <w:tcW w:w="4640" w:type="dxa"/>
            <w:vAlign w:val="bottom"/>
            <w:gridSpan w:val="2"/>
          </w:tcPr>
          <w:p>
            <w:pPr>
              <w:ind w:left="1440"/>
              <w:spacing w:after="0"/>
              <w:rPr>
                <w:sz w:val="20"/>
                <w:szCs w:val="20"/>
                <w:color w:val="auto"/>
              </w:rPr>
            </w:pPr>
            <w:r>
              <w:rPr>
                <w:rFonts w:ascii="Arial" w:cs="Arial" w:eastAsia="Arial" w:hAnsi="Arial"/>
                <w:sz w:val="18"/>
                <w:szCs w:val="18"/>
                <w:color w:val="auto"/>
                <w:w w:val="89"/>
              </w:rPr>
              <w:t>the date of this prospectus to purchase up to</w:t>
            </w:r>
          </w:p>
        </w:tc>
        <w:tc>
          <w:tcPr>
            <w:tcW w:w="3240" w:type="dxa"/>
            <w:vAlign w:val="bottom"/>
            <w:gridSpan w:val="2"/>
          </w:tcPr>
          <w:p>
            <w:pPr>
              <w:ind w:left="500"/>
              <w:spacing w:after="0"/>
              <w:rPr>
                <w:sz w:val="20"/>
                <w:szCs w:val="20"/>
                <w:color w:val="auto"/>
              </w:rPr>
            </w:pPr>
            <w:r>
              <w:rPr>
                <w:rFonts w:ascii="Arial" w:cs="Arial" w:eastAsia="Arial" w:hAnsi="Arial"/>
                <w:sz w:val="18"/>
                <w:szCs w:val="18"/>
                <w:color w:val="auto"/>
              </w:rPr>
              <w:t>additional ADSs from us solely to</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cover over-allotments, if any. If the underwriters exercise all or part of this option, it will</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3"/>
              </w:rPr>
              <w:t>purchase securities covered by the option at the public offering price per ADS, less the</w:t>
            </w:r>
          </w:p>
        </w:tc>
      </w:tr>
      <w:tr>
        <w:trPr>
          <w:trHeight w:val="230"/>
        </w:trPr>
        <w:tc>
          <w:tcPr>
            <w:tcW w:w="3040" w:type="dxa"/>
            <w:vAlign w:val="bottom"/>
          </w:tcPr>
          <w:p>
            <w:pPr>
              <w:spacing w:after="0"/>
              <w:rPr>
                <w:sz w:val="20"/>
                <w:szCs w:val="20"/>
                <w:color w:val="auto"/>
              </w:rPr>
            </w:pPr>
          </w:p>
        </w:tc>
        <w:tc>
          <w:tcPr>
            <w:tcW w:w="6260" w:type="dxa"/>
            <w:vAlign w:val="bottom"/>
            <w:gridSpan w:val="3"/>
          </w:tcPr>
          <w:p>
            <w:pPr>
              <w:ind w:left="1440"/>
              <w:spacing w:after="0"/>
              <w:rPr>
                <w:sz w:val="20"/>
                <w:szCs w:val="20"/>
                <w:color w:val="auto"/>
              </w:rPr>
            </w:pPr>
            <w:r>
              <w:rPr>
                <w:rFonts w:ascii="Arial" w:cs="Arial" w:eastAsia="Arial" w:hAnsi="Arial"/>
                <w:sz w:val="18"/>
                <w:szCs w:val="18"/>
                <w:color w:val="auto"/>
                <w:w w:val="98"/>
              </w:rPr>
              <w:t>underwriting discounts and commissions. See “Underwriting.”</w:t>
            </w:r>
          </w:p>
        </w:tc>
        <w:tc>
          <w:tcPr>
            <w:tcW w:w="1620" w:type="dxa"/>
            <w:vAlign w:val="bottom"/>
          </w:tcPr>
          <w:p>
            <w:pPr>
              <w:spacing w:after="0"/>
              <w:rPr>
                <w:sz w:val="20"/>
                <w:szCs w:val="20"/>
                <w:color w:val="auto"/>
              </w:rPr>
            </w:pP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Use of proceeds</w:t>
            </w:r>
          </w:p>
        </w:tc>
        <w:tc>
          <w:tcPr>
            <w:tcW w:w="6260" w:type="dxa"/>
            <w:vAlign w:val="bottom"/>
            <w:gridSpan w:val="3"/>
          </w:tcPr>
          <w:p>
            <w:pPr>
              <w:ind w:left="1440"/>
              <w:spacing w:after="0"/>
              <w:rPr>
                <w:sz w:val="20"/>
                <w:szCs w:val="20"/>
                <w:color w:val="auto"/>
              </w:rPr>
            </w:pPr>
            <w:r>
              <w:rPr>
                <w:rFonts w:ascii="Arial" w:cs="Arial" w:eastAsia="Arial" w:hAnsi="Arial"/>
                <w:sz w:val="18"/>
                <w:szCs w:val="18"/>
                <w:color w:val="auto"/>
                <w:w w:val="93"/>
              </w:rPr>
              <w:t>We estimate that the net proceeds from our issuance and sale of</w:t>
            </w:r>
          </w:p>
        </w:tc>
        <w:tc>
          <w:tcPr>
            <w:tcW w:w="1620" w:type="dxa"/>
            <w:vAlign w:val="bottom"/>
          </w:tcPr>
          <w:p>
            <w:pPr>
              <w:ind w:left="240"/>
              <w:spacing w:after="0"/>
              <w:rPr>
                <w:sz w:val="20"/>
                <w:szCs w:val="20"/>
                <w:color w:val="auto"/>
              </w:rPr>
            </w:pPr>
            <w:r>
              <w:rPr>
                <w:rFonts w:ascii="Arial" w:cs="Arial" w:eastAsia="Arial" w:hAnsi="Arial"/>
                <w:sz w:val="18"/>
                <w:szCs w:val="18"/>
                <w:color w:val="auto"/>
              </w:rPr>
              <w:t>ADSs in this</w:t>
            </w:r>
          </w:p>
        </w:tc>
      </w:tr>
      <w:tr>
        <w:trPr>
          <w:trHeight w:val="216"/>
        </w:trPr>
        <w:tc>
          <w:tcPr>
            <w:tcW w:w="3040" w:type="dxa"/>
            <w:vAlign w:val="bottom"/>
          </w:tcPr>
          <w:p>
            <w:pPr>
              <w:spacing w:after="0"/>
              <w:rPr>
                <w:sz w:val="18"/>
                <w:szCs w:val="18"/>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rPr>
              <w:t>offering will be approximately $</w:t>
            </w:r>
          </w:p>
        </w:tc>
        <w:tc>
          <w:tcPr>
            <w:tcW w:w="3560" w:type="dxa"/>
            <w:vAlign w:val="bottom"/>
            <w:gridSpan w:val="3"/>
          </w:tcPr>
          <w:p>
            <w:pPr>
              <w:spacing w:after="0"/>
              <w:rPr>
                <w:sz w:val="20"/>
                <w:szCs w:val="20"/>
                <w:color w:val="auto"/>
              </w:rPr>
            </w:pPr>
            <w:r>
              <w:rPr>
                <w:rFonts w:ascii="Arial" w:cs="Arial" w:eastAsia="Arial" w:hAnsi="Arial"/>
                <w:sz w:val="18"/>
                <w:szCs w:val="18"/>
                <w:color w:val="auto"/>
              </w:rPr>
              <w:t>million, assuming an offering price of $</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980"/>
              <w:spacing w:after="0"/>
              <w:rPr>
                <w:sz w:val="20"/>
                <w:szCs w:val="20"/>
                <w:color w:val="auto"/>
              </w:rPr>
            </w:pPr>
            <w:r>
              <w:rPr>
                <w:rFonts w:ascii="Arial" w:cs="Arial" w:eastAsia="Arial" w:hAnsi="Arial"/>
                <w:sz w:val="18"/>
                <w:szCs w:val="18"/>
                <w:color w:val="auto"/>
                <w:w w:val="91"/>
              </w:rPr>
              <w:t>per ADS, the midpoint of the estimated price range set forth on the cover page of</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9"/>
              </w:rPr>
              <w:t>this prospectus, and after deducting underwriting discounts and commissions and</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0"/>
              </w:rPr>
              <w:t>offering expenses payable by us. If the underwriters exercise the over-allotment option in</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rPr>
              <w:t>full, we estimate that the net proceeds from this offering will be approximately $</w:t>
            </w:r>
          </w:p>
        </w:tc>
      </w:tr>
      <w:tr>
        <w:trPr>
          <w:trHeight w:val="216"/>
        </w:trPr>
        <w:tc>
          <w:tcPr>
            <w:tcW w:w="3040" w:type="dxa"/>
            <w:vAlign w:val="bottom"/>
          </w:tcPr>
          <w:p>
            <w:pPr>
              <w:spacing w:after="0"/>
              <w:rPr>
                <w:sz w:val="18"/>
                <w:szCs w:val="18"/>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3"/>
              </w:rPr>
              <w:t>million, assuming an offering price of $</w:t>
            </w:r>
          </w:p>
        </w:tc>
        <w:tc>
          <w:tcPr>
            <w:tcW w:w="3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Arial" w:cs="Arial" w:eastAsia="Arial" w:hAnsi="Arial"/>
                <w:sz w:val="18"/>
                <w:szCs w:val="18"/>
                <w:color w:val="auto"/>
                <w:w w:val="95"/>
              </w:rPr>
              <w:t>per ADS, and after deducting underwriting</w:t>
            </w:r>
          </w:p>
        </w:tc>
      </w:tr>
      <w:tr>
        <w:trPr>
          <w:trHeight w:val="216"/>
        </w:trPr>
        <w:tc>
          <w:tcPr>
            <w:tcW w:w="3040" w:type="dxa"/>
            <w:vAlign w:val="bottom"/>
          </w:tcPr>
          <w:p>
            <w:pPr>
              <w:spacing w:after="0"/>
              <w:rPr>
                <w:sz w:val="18"/>
                <w:szCs w:val="18"/>
                <w:color w:val="auto"/>
              </w:rPr>
            </w:pPr>
          </w:p>
        </w:tc>
        <w:tc>
          <w:tcPr>
            <w:tcW w:w="7880" w:type="dxa"/>
            <w:vAlign w:val="bottom"/>
            <w:gridSpan w:val="4"/>
          </w:tcPr>
          <w:p>
            <w:pPr>
              <w:ind w:left="1440"/>
              <w:spacing w:after="0"/>
              <w:rPr>
                <w:sz w:val="20"/>
                <w:szCs w:val="20"/>
                <w:color w:val="auto"/>
              </w:rPr>
            </w:pPr>
            <w:r>
              <w:rPr>
                <w:rFonts w:ascii="Arial" w:cs="Arial" w:eastAsia="Arial" w:hAnsi="Arial"/>
                <w:sz w:val="18"/>
                <w:szCs w:val="18"/>
                <w:color w:val="auto"/>
                <w:w w:val="90"/>
              </w:rPr>
              <w:t>discounts and commissions and offering expenses payable by us. We currently expect to</w:t>
            </w:r>
          </w:p>
        </w:tc>
      </w:tr>
      <w:tr>
        <w:trPr>
          <w:trHeight w:val="230"/>
        </w:trPr>
        <w:tc>
          <w:tcPr>
            <w:tcW w:w="3040" w:type="dxa"/>
            <w:vAlign w:val="bottom"/>
          </w:tcPr>
          <w:p>
            <w:pPr>
              <w:spacing w:after="0"/>
              <w:rPr>
                <w:sz w:val="20"/>
                <w:szCs w:val="20"/>
                <w:color w:val="auto"/>
              </w:rPr>
            </w:pPr>
          </w:p>
        </w:tc>
        <w:tc>
          <w:tcPr>
            <w:tcW w:w="4320" w:type="dxa"/>
            <w:vAlign w:val="bottom"/>
          </w:tcPr>
          <w:p>
            <w:pPr>
              <w:ind w:left="1440"/>
              <w:spacing w:after="0"/>
              <w:rPr>
                <w:sz w:val="20"/>
                <w:szCs w:val="20"/>
                <w:color w:val="auto"/>
              </w:rPr>
            </w:pPr>
            <w:r>
              <w:rPr>
                <w:rFonts w:ascii="Arial" w:cs="Arial" w:eastAsia="Arial" w:hAnsi="Arial"/>
                <w:sz w:val="18"/>
                <w:szCs w:val="18"/>
                <w:color w:val="auto"/>
                <w:w w:val="91"/>
              </w:rPr>
              <w:t>use the net proceeds from this offering:</w:t>
            </w: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9" w:lineRule="exact"/>
        <w:rPr>
          <w:sz w:val="20"/>
          <w:szCs w:val="20"/>
          <w:color w:val="auto"/>
        </w:rPr>
      </w:pPr>
    </w:p>
    <w:p>
      <w:pPr>
        <w:ind w:left="4960" w:hanging="473"/>
        <w:spacing w:after="0"/>
        <w:tabs>
          <w:tab w:leader="none" w:pos="4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conduct a clinical trial in selected cancer patient populations;</w:t>
      </w:r>
    </w:p>
    <w:p>
      <w:pPr>
        <w:spacing w:after="0" w:line="252" w:lineRule="exact"/>
        <w:rPr>
          <w:rFonts w:ascii="Arial" w:cs="Arial" w:eastAsia="Arial" w:hAnsi="Arial"/>
          <w:sz w:val="18"/>
          <w:szCs w:val="18"/>
          <w:color w:val="auto"/>
        </w:rPr>
      </w:pPr>
    </w:p>
    <w:p>
      <w:pPr>
        <w:ind w:left="4960" w:hanging="473"/>
        <w:spacing w:after="0"/>
        <w:tabs>
          <w:tab w:leader="none" w:pos="4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support the ongoing Temferon TEM-GBM 001 trial and its long term follow</w:t>
      </w:r>
    </w:p>
    <w:p>
      <w:pPr>
        <w:spacing w:after="0" w:line="34" w:lineRule="exact"/>
        <w:rPr>
          <w:rFonts w:ascii="Arial" w:cs="Arial" w:eastAsia="Arial" w:hAnsi="Arial"/>
          <w:sz w:val="17"/>
          <w:szCs w:val="17"/>
          <w:color w:val="auto"/>
        </w:rPr>
      </w:pPr>
    </w:p>
    <w:p>
      <w:pPr>
        <w:ind w:left="4480"/>
        <w:spacing w:after="0"/>
        <w:rPr>
          <w:rFonts w:ascii="Arial" w:cs="Arial" w:eastAsia="Arial" w:hAnsi="Arial"/>
          <w:sz w:val="17"/>
          <w:szCs w:val="17"/>
          <w:color w:val="auto"/>
        </w:rPr>
      </w:pPr>
      <w:r>
        <w:rPr>
          <w:rFonts w:ascii="Arial" w:cs="Arial" w:eastAsia="Arial" w:hAnsi="Arial"/>
          <w:sz w:val="18"/>
          <w:szCs w:val="18"/>
          <w:color w:val="auto"/>
        </w:rPr>
        <w:t>up;</w:t>
      </w:r>
    </w:p>
    <w:p>
      <w:pPr>
        <w:spacing w:after="0" w:line="237" w:lineRule="exact"/>
        <w:rPr>
          <w:rFonts w:ascii="Arial" w:cs="Arial" w:eastAsia="Arial" w:hAnsi="Arial"/>
          <w:sz w:val="17"/>
          <w:szCs w:val="17"/>
          <w:color w:val="auto"/>
        </w:rPr>
      </w:pPr>
    </w:p>
    <w:p>
      <w:pPr>
        <w:ind w:left="4960" w:hanging="473"/>
        <w:spacing w:after="0"/>
        <w:tabs>
          <w:tab w:leader="none" w:pos="4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start a new Temferon clinical program in a second solid tumor indication;</w:t>
      </w:r>
    </w:p>
    <w:p>
      <w:pPr>
        <w:spacing w:after="0" w:line="263" w:lineRule="exact"/>
        <w:rPr>
          <w:rFonts w:ascii="Arial" w:cs="Arial" w:eastAsia="Arial" w:hAnsi="Arial"/>
          <w:sz w:val="17"/>
          <w:szCs w:val="17"/>
          <w:color w:val="auto"/>
        </w:rPr>
      </w:pPr>
    </w:p>
    <w:p>
      <w:pPr>
        <w:ind w:left="4480" w:right="80" w:firstLine="7"/>
        <w:spacing w:after="0" w:line="277" w:lineRule="auto"/>
        <w:tabs>
          <w:tab w:leader="none" w:pos="4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further preclinical research for the development of Temferon across broad cancer indications;</w:t>
      </w:r>
    </w:p>
    <w:p>
      <w:pPr>
        <w:spacing w:after="0" w:line="197" w:lineRule="exact"/>
        <w:rPr>
          <w:rFonts w:ascii="Arial" w:cs="Arial" w:eastAsia="Arial" w:hAnsi="Arial"/>
          <w:sz w:val="18"/>
          <w:szCs w:val="18"/>
          <w:color w:val="auto"/>
        </w:rPr>
      </w:pPr>
    </w:p>
    <w:p>
      <w:pPr>
        <w:ind w:left="4480" w:right="40" w:firstLine="7"/>
        <w:spacing w:after="0" w:line="277" w:lineRule="auto"/>
        <w:tabs>
          <w:tab w:leader="none" w:pos="4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fund Temferon manufacturing activities including LVV manufacturing, stability and process scalability studies, and tech transfer activities; and</w:t>
      </w:r>
    </w:p>
    <w:p>
      <w:pPr>
        <w:spacing w:after="0" w:line="197" w:lineRule="exact"/>
        <w:rPr>
          <w:rFonts w:ascii="Arial" w:cs="Arial" w:eastAsia="Arial" w:hAnsi="Arial"/>
          <w:sz w:val="18"/>
          <w:szCs w:val="18"/>
          <w:color w:val="auto"/>
        </w:rPr>
      </w:pPr>
    </w:p>
    <w:p>
      <w:pPr>
        <w:ind w:left="4920" w:hanging="433"/>
        <w:spacing w:after="0"/>
        <w:tabs>
          <w:tab w:leader="none" w:pos="4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52" w:lineRule="exact"/>
        <w:rPr>
          <w:sz w:val="20"/>
          <w:szCs w:val="20"/>
          <w:color w:val="auto"/>
        </w:rPr>
      </w:pPr>
    </w:p>
    <w:p>
      <w:pPr>
        <w:ind w:left="4480" w:right="140"/>
        <w:spacing w:after="0" w:line="277" w:lineRule="auto"/>
        <w:rPr>
          <w:sz w:val="20"/>
          <w:szCs w:val="20"/>
          <w:color w:val="auto"/>
        </w:rPr>
      </w:pPr>
      <w:r>
        <w:rPr>
          <w:rFonts w:ascii="Arial" w:cs="Arial" w:eastAsia="Arial" w:hAnsi="Arial"/>
          <w:sz w:val="18"/>
          <w:szCs w:val="18"/>
          <w:color w:val="auto"/>
        </w:rPr>
        <w:t>See “Use of Proceeds” for additional information. See “Use of Proceeds” for additional information.</w:t>
      </w:r>
    </w:p>
    <w:p>
      <w:pPr>
        <w:sectPr>
          <w:pgSz w:w="11900" w:h="16838" w:orient="portrait"/>
          <w:cols w:equalWidth="0" w:num="1">
            <w:col w:w="10920"/>
          </w:cols>
          <w:pgMar w:left="480" w:top="985" w:right="499" w:bottom="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-283845</wp:posOffset>
            </wp:positionV>
            <wp:extent cx="7127875" cy="3647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7875" cy="36474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420"/>
          </w:cols>
          <w:pgMar w:left="480" w:top="989" w:right="51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Custodian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of New York Mellon, as custodian, acting through an office located in the United Kingdom</w:t>
      </w:r>
    </w:p>
    <w:p>
      <w:pPr>
        <w:spacing w:after="0" w:line="170"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Proposed Nasdaq trading symbol and listing</w:t>
      </w:r>
    </w:p>
    <w:p>
      <w:pPr>
        <w:spacing w:after="0" w:line="20" w:lineRule="exact"/>
        <w:rPr>
          <w:sz w:val="20"/>
          <w:szCs w:val="20"/>
          <w:color w:val="auto"/>
        </w:rPr>
      </w:pPr>
      <w:r>
        <w:rPr>
          <w:sz w:val="20"/>
          <w:szCs w:val="20"/>
          <w:color w:val="auto"/>
        </w:rPr>
        <w:br w:type="column"/>
      </w:r>
    </w:p>
    <w:p>
      <w:pPr>
        <w:ind w:right="220"/>
        <w:spacing w:after="0" w:line="263" w:lineRule="auto"/>
        <w:rPr>
          <w:sz w:val="20"/>
          <w:szCs w:val="20"/>
          <w:color w:val="auto"/>
        </w:rPr>
      </w:pPr>
      <w:r>
        <w:rPr>
          <w:rFonts w:ascii="Arial" w:cs="Arial" w:eastAsia="Arial" w:hAnsi="Arial"/>
          <w:sz w:val="18"/>
          <w:szCs w:val="18"/>
          <w:color w:val="auto"/>
        </w:rPr>
        <w:t>We have applied to list the ADSs on the Nasdaq Capital Market under the symbol “GNTA.” No assurance can be given that such listing will be approved or that a liquid trading market will develop for the ADSs.</w:t>
      </w:r>
    </w:p>
    <w:p>
      <w:pPr>
        <w:spacing w:after="0" w:line="184"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7"/>
          <w:szCs w:val="17"/>
          <w:color w:val="auto"/>
        </w:rPr>
        <w:t>Lock-up</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7"/>
          <w:szCs w:val="17"/>
          <w:color w:val="auto"/>
        </w:rPr>
        <w:t>Our directors, executive officers, and certain shareholders have agreed with the underwriters not to offer for sale, issue, sell, contract to sell, pledge or otherwise dispose of any of our ordinary shares or securities convertible into ordinary shares for a period of 180 days following the date of this prospectus. See “Underwriting.”</w:t>
      </w:r>
    </w:p>
    <w:p>
      <w:pPr>
        <w:spacing w:after="0" w:line="17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You should read the “Risk Factors” section starting on page 12 of this prospectus for a discussion of factors to consider carefully before deciding to invest in our securities.</w:t>
      </w:r>
    </w:p>
    <w:p>
      <w:pPr>
        <w:spacing w:after="0" w:line="151" w:lineRule="exact"/>
        <w:rPr>
          <w:sz w:val="20"/>
          <w:szCs w:val="20"/>
          <w:color w:val="auto"/>
        </w:rPr>
      </w:pPr>
    </w:p>
    <w:p>
      <w:pPr>
        <w:sectPr>
          <w:pgSz w:w="11900" w:h="16838" w:orient="portrait"/>
          <w:cols w:equalWidth="0" w:num="2">
            <w:col w:w="3760" w:space="720"/>
            <w:col w:w="6420"/>
          </w:cols>
          <w:pgMar w:left="480" w:top="989" w:right="51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The number of our ordinary shares that are and will be outstanding immediately before and after this offering as shown above is based on</w:t>
      </w:r>
    </w:p>
    <w:p>
      <w:pPr>
        <w:spacing w:after="0" w:line="46"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15,000,000 ordinary shares, with no par value, outstanding as of , 2021, and excludes ordinary shares that are available for future issuance under our 2021-2025 Equity Incentive Plan.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indicated, this prospectus reflects and assumes no exercise by the underwriters of their over-allotment option or the warrants</w:t>
      </w:r>
    </w:p>
    <w:p>
      <w:pPr>
        <w:spacing w:after="0" w:line="46"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to purchase ADSs at an exercise price per share equal to 125% of the initial public offering price per ADS or $ , that will be issued to the representatives of the underwriters in connection with this offering (the “Representatives’ Warrants”).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80" w:top="989" w:right="51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468630</wp:posOffset>
            </wp:positionV>
            <wp:extent cx="7127875" cy="7684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7875" cy="7684770"/>
                    </a:xfrm>
                    <a:prstGeom prst="rect">
                      <a:avLst/>
                    </a:prstGeom>
                    <a:noFill/>
                  </pic:spPr>
                </pic:pic>
              </a:graphicData>
            </a:graphic>
          </wp:anchor>
        </w:drawing>
        <w:t>SUMMARY FINANCIAL DATA</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derived the following summary statements of operations data for the years ended December 31, 2020 and 2019 and summary balance sheet data as of December 31, 2020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 and are qualified entirely by reference to such financial statements.</w:t>
      </w:r>
    </w:p>
    <w:p>
      <w:pPr>
        <w:spacing w:after="0" w:line="2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financial statements included in this prospectus are prepared and presented in accordance with accounting principles generally accepted in the United States, or U.S. GAAP.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gridSpan w:val="4"/>
          </w:tcPr>
          <w:p>
            <w:pPr>
              <w:jc w:val="right"/>
              <w:ind w:right="87"/>
              <w:spacing w:after="0"/>
              <w:rPr>
                <w:sz w:val="20"/>
                <w:szCs w:val="20"/>
                <w:color w:val="auto"/>
              </w:rPr>
            </w:pPr>
            <w:r>
              <w:rPr>
                <w:rFonts w:ascii="Arial" w:cs="Arial" w:eastAsia="Arial" w:hAnsi="Arial"/>
                <w:sz w:val="18"/>
                <w:szCs w:val="18"/>
                <w:color w:val="auto"/>
              </w:rPr>
              <w:t>Year Ended</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jc w:val="center"/>
              <w:ind w:right="301"/>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86"/>
              </w:rPr>
              <w:t>June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80" w:type="dxa"/>
            <w:vAlign w:val="bottom"/>
            <w:gridSpan w:val="2"/>
          </w:tcPr>
          <w:p>
            <w:pPr>
              <w:spacing w:after="0"/>
              <w:rPr>
                <w:sz w:val="20"/>
                <w:szCs w:val="20"/>
                <w:color w:val="auto"/>
              </w:rPr>
            </w:pPr>
            <w:r>
              <w:rPr>
                <w:rFonts w:ascii="Arial" w:cs="Arial" w:eastAsia="Arial" w:hAnsi="Arial"/>
                <w:sz w:val="18"/>
                <w:szCs w:val="18"/>
                <w:color w:val="auto"/>
              </w:rPr>
              <w:t>in Euros, except share data</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1"/>
              </w:rPr>
              <w:t>(Unaudited)</w:t>
            </w: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4,688,461</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3,702,982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3,199,234</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901,765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921,520</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842,236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404,885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18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 exchange loss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(7,754)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(9,552)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(4,597,723)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(2,479,304)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5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 forma information (unaudited):</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 forma net loss</w:t>
            </w: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(5,592,014)</w:t>
            </w:r>
          </w:p>
        </w:tc>
        <w:tc>
          <w:tcPr>
            <w:tcW w:w="5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Pro forma net loss per share - basic and diluted</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spacing w:after="0" w:line="195" w:lineRule="exact"/>
              <w:rPr>
                <w:sz w:val="20"/>
                <w:szCs w:val="20"/>
                <w:color w:val="auto"/>
              </w:rPr>
            </w:pPr>
            <w:r>
              <w:rPr>
                <w:rFonts w:ascii="Arial" w:cs="Arial" w:eastAsia="Arial" w:hAnsi="Arial"/>
                <w:sz w:val="18"/>
                <w:szCs w:val="18"/>
                <w:color w:val="auto"/>
                <w:w w:val="89"/>
              </w:rPr>
              <w:t>Weighted average pro forma number of shares outstanding -</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3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14,539,534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12,651,158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14,772,610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14,420,904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320" w:right="100" w:hanging="315"/>
        <w:spacing w:after="0" w:line="231" w:lineRule="auto"/>
        <w:tabs>
          <w:tab w:leader="none" w:pos="320" w:val="left"/>
        </w:tabs>
        <w:numPr>
          <w:ilvl w:val="0"/>
          <w:numId w:val="14"/>
        </w:numPr>
        <w:rPr>
          <w:rFonts w:ascii="Arial" w:cs="Arial" w:eastAsia="Arial" w:hAnsi="Arial"/>
          <w:sz w:val="12"/>
          <w:szCs w:val="12"/>
          <w:color w:val="auto"/>
        </w:rPr>
      </w:pPr>
      <w:r>
        <w:rPr>
          <w:rFonts w:ascii="Arial" w:cs="Arial" w:eastAsia="Arial" w:hAnsi="Arial"/>
          <w:sz w:val="14"/>
          <w:szCs w:val="14"/>
          <w:color w:val="auto"/>
        </w:rPr>
        <w:t>We have presented pro forma basic and diluted loss per share for the years ended December 31, 2020 and 2019 and the six months ended June 30, 2021 and 2020, which consists of our historical loss attributable to Genenta Science S.r.l., divided by the pro forma basic and diluted weighted average number of shares outstanding after giving effect to the Corporate Conversion. See Notes 2 and 10 to our interim financial statements and our Management Discussion and Analysis included elsewhere in this prospectus for additional information regarding the method used to calculate the pro forma basic and diluted loss per share and the pro forma weighted average number of shares used in the computation of the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80" w:type="dxa"/>
            <w:vAlign w:val="bottom"/>
            <w:gridSpan w:val="6"/>
          </w:tcPr>
          <w:p>
            <w:pPr>
              <w:jc w:val="center"/>
              <w:ind w:right="174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180" w:type="dxa"/>
            <w:vAlign w:val="bottom"/>
            <w:gridSpan w:val="6"/>
          </w:tcPr>
          <w:p>
            <w:pPr>
              <w:jc w:val="center"/>
              <w:ind w:right="1740"/>
              <w:spacing w:after="0" w:line="149" w:lineRule="exact"/>
              <w:rPr>
                <w:sz w:val="20"/>
                <w:szCs w:val="20"/>
                <w:color w:val="auto"/>
              </w:rPr>
            </w:pPr>
            <w:r>
              <w:rPr>
                <w:rFonts w:ascii="Arial" w:cs="Arial" w:eastAsia="Arial" w:hAnsi="Arial"/>
                <w:sz w:val="14"/>
                <w:szCs w:val="14"/>
                <w:b w:val="1"/>
                <w:bCs w:val="1"/>
                <w:color w:val="auto"/>
                <w:w w:val="92"/>
              </w:rPr>
              <w:t>June 30, 2021</w:t>
            </w:r>
          </w:p>
        </w:tc>
      </w:tr>
      <w:tr>
        <w:trPr>
          <w:trHeight w:val="178"/>
        </w:trPr>
        <w:tc>
          <w:tcPr>
            <w:tcW w:w="1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80" w:type="dxa"/>
            <w:vAlign w:val="bottom"/>
            <w:gridSpan w:val="6"/>
          </w:tcPr>
          <w:p>
            <w:pPr>
              <w:jc w:val="center"/>
              <w:ind w:right="1760"/>
              <w:spacing w:after="0"/>
              <w:rPr>
                <w:sz w:val="20"/>
                <w:szCs w:val="20"/>
                <w:color w:val="auto"/>
              </w:rPr>
            </w:pPr>
            <w:r>
              <w:rPr>
                <w:rFonts w:ascii="Arial" w:cs="Arial" w:eastAsia="Arial" w:hAnsi="Arial"/>
                <w:sz w:val="14"/>
                <w:szCs w:val="14"/>
                <w:b w:val="1"/>
                <w:bCs w:val="1"/>
                <w:color w:val="auto"/>
                <w:w w:val="95"/>
              </w:rPr>
              <w:t>(Unaudited)</w:t>
            </w:r>
          </w:p>
        </w:tc>
      </w:tr>
      <w:tr>
        <w:trPr>
          <w:trHeight w:val="196"/>
        </w:trPr>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4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in Euros</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w w:val="98"/>
              </w:rPr>
              <w:t>Actual</w:t>
            </w: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ind w:left="380"/>
              <w:spacing w:after="0" w:line="189" w:lineRule="exact"/>
              <w:rPr>
                <w:sz w:val="20"/>
                <w:szCs w:val="20"/>
                <w:color w:val="auto"/>
              </w:rPr>
            </w:pPr>
            <w:r>
              <w:rPr>
                <w:rFonts w:ascii="Arial" w:cs="Arial" w:eastAsia="Arial" w:hAnsi="Arial"/>
                <w:sz w:val="13"/>
                <w:szCs w:val="13"/>
                <w:b w:val="1"/>
                <w:bCs w:val="1"/>
                <w:color w:val="auto"/>
              </w:rPr>
              <w:t>As Adjusted</w:t>
            </w:r>
            <w:r>
              <w:rPr>
                <w:rFonts w:ascii="Arial" w:cs="Arial" w:eastAsia="Arial" w:hAnsi="Arial"/>
                <w:sz w:val="21"/>
                <w:szCs w:val="21"/>
                <w:b w:val="1"/>
                <w:bCs w:val="1"/>
                <w:color w:val="auto"/>
                <w:vertAlign w:val="superscript"/>
              </w:rPr>
              <w:t>(1)</w:t>
            </w:r>
          </w:p>
        </w:tc>
        <w:tc>
          <w:tcPr>
            <w:tcW w:w="1160" w:type="dxa"/>
            <w:vAlign w:val="bottom"/>
            <w:gridSpan w:val="2"/>
          </w:tcPr>
          <w:p>
            <w:pPr>
              <w:spacing w:after="0"/>
              <w:rPr>
                <w:sz w:val="17"/>
                <w:szCs w:val="17"/>
                <w:color w:val="auto"/>
              </w:rPr>
            </w:pPr>
          </w:p>
        </w:tc>
      </w:tr>
      <w:tr>
        <w:trPr>
          <w:trHeight w:val="216"/>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3"/>
              </w:rPr>
              <w:t>Balance Sheet Data:</w:t>
            </w:r>
          </w:p>
        </w:tc>
        <w:tc>
          <w:tcPr>
            <w:tcW w:w="960" w:type="dxa"/>
            <w:vAlign w:val="bottom"/>
            <w:tcBorders>
              <w:top w:val="single" w:sz="8" w:color="auto"/>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spacing w:after="0"/>
              <w:rPr>
                <w:sz w:val="18"/>
                <w:szCs w:val="18"/>
                <w:color w:val="auto"/>
              </w:rPr>
            </w:pP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10,553,906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Total long-term liabilities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(25,538,377)</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Total equity</w:t>
            </w:r>
          </w:p>
        </w:tc>
        <w:tc>
          <w:tcPr>
            <w:tcW w:w="9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11,601,054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2600" w:type="dxa"/>
            <w:vAlign w:val="bottom"/>
            <w:tcBorders>
              <w:bottom w:val="single" w:sz="8" w:color="auto"/>
            </w:tcBorders>
            <w:gridSpan w:val="2"/>
          </w:tcPr>
          <w:p>
            <w:pPr>
              <w:spacing w:after="0"/>
              <w:rPr>
                <w:sz w:val="19"/>
                <w:szCs w:val="19"/>
                <w:color w:val="auto"/>
              </w:rPr>
            </w:pPr>
          </w:p>
        </w:tc>
        <w:tc>
          <w:tcPr>
            <w:tcW w:w="2440" w:type="dxa"/>
            <w:vAlign w:val="bottom"/>
          </w:tcPr>
          <w:p>
            <w:pPr>
              <w:spacing w:after="0"/>
              <w:rPr>
                <w:sz w:val="19"/>
                <w:szCs w:val="19"/>
                <w:color w:val="auto"/>
              </w:rPr>
            </w:pPr>
          </w:p>
        </w:tc>
        <w:tc>
          <w:tcPr>
            <w:tcW w:w="1660" w:type="dxa"/>
            <w:vAlign w:val="bottom"/>
            <w:gridSpan w:val="3"/>
          </w:tcPr>
          <w:p>
            <w:pPr>
              <w:spacing w:after="0"/>
              <w:rPr>
                <w:sz w:val="19"/>
                <w:szCs w:val="19"/>
                <w:color w:val="auto"/>
              </w:rPr>
            </w:pPr>
          </w:p>
        </w:tc>
        <w:tc>
          <w:tcPr>
            <w:tcW w:w="4180" w:type="dxa"/>
            <w:vAlign w:val="bottom"/>
            <w:gridSpan w:val="6"/>
          </w:tcPr>
          <w:p>
            <w:pPr>
              <w:spacing w:after="0"/>
              <w:rPr>
                <w:sz w:val="19"/>
                <w:szCs w:val="19"/>
                <w:color w:val="auto"/>
              </w:rPr>
            </w:pPr>
          </w:p>
        </w:tc>
      </w:tr>
      <w:tr>
        <w:trPr>
          <w:trHeight w:val="150"/>
        </w:trPr>
        <w:tc>
          <w:tcPr>
            <w:tcW w:w="5040" w:type="dxa"/>
            <w:vAlign w:val="bottom"/>
            <w:gridSpan w:val="3"/>
          </w:tcPr>
          <w:p>
            <w:pPr>
              <w:spacing w:after="0" w:line="151"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4"/>
                <w:szCs w:val="14"/>
                <w:color w:val="auto"/>
              </w:rPr>
              <w:t>The as adjusted balance sheet data gives effect to the issuance and sale of</w:t>
            </w:r>
          </w:p>
        </w:tc>
        <w:tc>
          <w:tcPr>
            <w:tcW w:w="1660" w:type="dxa"/>
            <w:vAlign w:val="bottom"/>
            <w:gridSpan w:val="3"/>
          </w:tcPr>
          <w:p>
            <w:pPr>
              <w:ind w:left="500"/>
              <w:spacing w:after="0" w:line="151" w:lineRule="exact"/>
              <w:rPr>
                <w:sz w:val="20"/>
                <w:szCs w:val="20"/>
                <w:color w:val="auto"/>
              </w:rPr>
            </w:pPr>
            <w:r>
              <w:rPr>
                <w:rFonts w:ascii="Arial" w:cs="Arial" w:eastAsia="Arial" w:hAnsi="Arial"/>
                <w:sz w:val="14"/>
                <w:szCs w:val="14"/>
                <w:color w:val="auto"/>
                <w:w w:val="93"/>
              </w:rPr>
              <w:t>ADSs, representing</w:t>
            </w:r>
          </w:p>
        </w:tc>
        <w:tc>
          <w:tcPr>
            <w:tcW w:w="4180" w:type="dxa"/>
            <w:vAlign w:val="bottom"/>
            <w:gridSpan w:val="6"/>
          </w:tcPr>
          <w:p>
            <w:pPr>
              <w:ind w:left="660"/>
              <w:spacing w:after="0" w:line="151" w:lineRule="exact"/>
              <w:rPr>
                <w:sz w:val="20"/>
                <w:szCs w:val="20"/>
                <w:color w:val="auto"/>
              </w:rPr>
            </w:pPr>
            <w:r>
              <w:rPr>
                <w:rFonts w:ascii="Arial" w:cs="Arial" w:eastAsia="Arial" w:hAnsi="Arial"/>
                <w:sz w:val="14"/>
                <w:szCs w:val="14"/>
                <w:color w:val="auto"/>
                <w:w w:val="95"/>
              </w:rPr>
              <w:t>ordinary shares, in this offering at the assumed initial public</w:t>
            </w:r>
          </w:p>
        </w:tc>
      </w:tr>
      <w:tr>
        <w:trPr>
          <w:trHeight w:val="149"/>
        </w:trPr>
        <w:tc>
          <w:tcPr>
            <w:tcW w:w="1640" w:type="dxa"/>
            <w:vAlign w:val="bottom"/>
          </w:tcPr>
          <w:p>
            <w:pPr>
              <w:ind w:left="320"/>
              <w:spacing w:after="0" w:line="149" w:lineRule="exact"/>
              <w:rPr>
                <w:sz w:val="20"/>
                <w:szCs w:val="20"/>
                <w:color w:val="auto"/>
              </w:rPr>
            </w:pPr>
            <w:r>
              <w:rPr>
                <w:rFonts w:ascii="Arial" w:cs="Arial" w:eastAsia="Arial" w:hAnsi="Arial"/>
                <w:sz w:val="14"/>
                <w:szCs w:val="14"/>
                <w:color w:val="auto"/>
              </w:rPr>
              <w:t>offering price of $</w:t>
            </w:r>
          </w:p>
        </w:tc>
        <w:tc>
          <w:tcPr>
            <w:tcW w:w="9240" w:type="dxa"/>
            <w:vAlign w:val="bottom"/>
            <w:gridSpan w:val="11"/>
          </w:tcPr>
          <w:p>
            <w:pPr>
              <w:ind w:left="100"/>
              <w:spacing w:after="0" w:line="149" w:lineRule="exact"/>
              <w:rPr>
                <w:sz w:val="20"/>
                <w:szCs w:val="20"/>
                <w:color w:val="auto"/>
              </w:rPr>
            </w:pPr>
            <w:r>
              <w:rPr>
                <w:rFonts w:ascii="Arial" w:cs="Arial" w:eastAsia="Arial" w:hAnsi="Arial"/>
                <w:sz w:val="14"/>
                <w:szCs w:val="14"/>
                <w:color w:val="auto"/>
                <w:w w:val="93"/>
              </w:rPr>
              <w:t>per ADS, the midpoint of the price range set forth on the cover page of this prospectus, after deducting the estimated underwriting discounts and commissions</w:t>
            </w:r>
          </w:p>
        </w:tc>
      </w:tr>
      <w:tr>
        <w:trPr>
          <w:trHeight w:val="160"/>
        </w:trPr>
        <w:tc>
          <w:tcPr>
            <w:tcW w:w="7940" w:type="dxa"/>
            <w:vAlign w:val="bottom"/>
            <w:gridSpan w:val="8"/>
          </w:tcPr>
          <w:p>
            <w:pPr>
              <w:ind w:left="320"/>
              <w:spacing w:after="0"/>
              <w:rPr>
                <w:sz w:val="20"/>
                <w:szCs w:val="20"/>
                <w:color w:val="auto"/>
              </w:rPr>
            </w:pPr>
            <w:r>
              <w:rPr>
                <w:rFonts w:ascii="Arial" w:cs="Arial" w:eastAsia="Arial" w:hAnsi="Arial"/>
                <w:sz w:val="14"/>
                <w:szCs w:val="14"/>
                <w:color w:val="auto"/>
                <w:w w:val="96"/>
              </w:rPr>
              <w:t>and estimated offering expenses payable by us. Each $1.00 increase (decrease) in the assumed initial public offering price of $</w:t>
            </w:r>
          </w:p>
        </w:tc>
        <w:tc>
          <w:tcPr>
            <w:tcW w:w="2940" w:type="dxa"/>
            <w:vAlign w:val="bottom"/>
            <w:gridSpan w:val="4"/>
          </w:tcPr>
          <w:p>
            <w:pPr>
              <w:ind w:left="80"/>
              <w:spacing w:after="0"/>
              <w:rPr>
                <w:sz w:val="20"/>
                <w:szCs w:val="20"/>
                <w:color w:val="auto"/>
              </w:rPr>
            </w:pPr>
            <w:r>
              <w:rPr>
                <w:rFonts w:ascii="Arial" w:cs="Arial" w:eastAsia="Arial" w:hAnsi="Arial"/>
                <w:sz w:val="14"/>
                <w:szCs w:val="14"/>
                <w:color w:val="auto"/>
                <w:w w:val="92"/>
              </w:rPr>
              <w:t>per ADS would increase (decrease) the pro forma</w:t>
            </w:r>
          </w:p>
        </w:tc>
      </w:tr>
    </w:tbl>
    <w:p>
      <w:pPr>
        <w:ind w:left="320" w:right="140"/>
        <w:spacing w:after="0" w:line="258" w:lineRule="auto"/>
        <w:rPr>
          <w:sz w:val="20"/>
          <w:szCs w:val="20"/>
          <w:color w:val="auto"/>
        </w:rPr>
      </w:pPr>
      <w:r>
        <w:rPr>
          <w:rFonts w:ascii="Arial" w:cs="Arial" w:eastAsia="Arial" w:hAnsi="Arial"/>
          <w:sz w:val="12"/>
          <w:szCs w:val="12"/>
          <w:color w:val="auto"/>
        </w:rPr>
        <w:t>as adjusted amount of each of cash and cash equivalents, total assets and total equity by approximately € , assuming that the number of ADSs offered by us, as set forth on the cover page of this prospectus, remains the same and after deducting the estimated underwriting discounts and commissions and estimated offering expenses payable by us. Similarly, each increase (decrease) of 1.0 million in the number of ADSs offered by us at the assumed initial public offering price would increase (decrease) each of cash and cash equivalents, total</w:t>
      </w:r>
    </w:p>
    <w:p>
      <w:pPr>
        <w:ind w:left="320" w:right="60"/>
        <w:spacing w:after="0" w:line="237" w:lineRule="auto"/>
        <w:rPr>
          <w:sz w:val="20"/>
          <w:szCs w:val="20"/>
          <w:color w:val="auto"/>
        </w:rPr>
      </w:pPr>
      <w:r>
        <w:rPr>
          <w:rFonts w:ascii="Arial" w:cs="Arial" w:eastAsia="Arial" w:hAnsi="Arial"/>
          <w:sz w:val="14"/>
          <w:szCs w:val="14"/>
          <w:color w:val="auto"/>
        </w:rPr>
        <w:t>assets and total equity by approximately € . The as adjusted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We operate in a dynamic and rapidly changing industry that involves numerous risks and uncertainties. You should consider carefully the risks described below, as well as the financial or other information included in this prospectus, including our financial statements and the related notes, before you decide to buy our securities. The risks and uncertainties described below are not the only risks facing us. We may face additional risks and uncertainties not currently known to us or that we currently deem to be immaterial. Any of the risks described below, and any such additional risks, could materially adversely affect our business, financial condition or results of operations. In such case, you may lose all or part of your original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limited operating history, which may make it difficult for you to evaluate the success of our business to date and to assess our future viability.</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in every year since our inception. We expect to continue to incur losses over the next several years and may never achieve or maintain profitability.</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no products approved for commercial sale, have not generated any revenue from commercial sales of our product candidates, and have incurred losses each year since our inception. Our losses for the six months ended June 30, 2021 and 2020 were approximately €4.0 million and €2.5, respectively; and for the years ended December 31, 2020 and 2019 were approximately €5.6 million and €4.6 million, respectively. As of June 30, 2021 and December 31, 2020, we had an accumulated deficit of approximately €(25.5) million and €(21.5) million, respectively.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spacing w:after="0" w:line="19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We expect that it will be several years, if ever, before we have any product approved for commercial sale. We have funded our operations to date primarily through proceeds from the private placement of ordinary shares to our founding shareholders. We expect to continue to incur significant expenses and increasing operating losses for the foreseeable future. We anticipate that our expenses will increase substantially if, and as, we</w:t>
      </w:r>
    </w:p>
    <w:p>
      <w:pPr>
        <w:spacing w:after="0" w:line="176" w:lineRule="exact"/>
        <w:rPr>
          <w:sz w:val="20"/>
          <w:szCs w:val="20"/>
          <w:color w:val="auto"/>
        </w:rPr>
      </w:pPr>
    </w:p>
    <w:p>
      <w:pPr>
        <w:ind w:left="660" w:right="30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obtain regulatory approval for registration studies for our current product candidate Temferon and any additional product candidates that we may pursue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 w:name="page20"/>
    <w:bookmarkEnd w:id="19"/>
    <w:p>
      <w:pPr>
        <w:ind w:left="660" w:right="1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 if any, including obtaining orphan drug designation;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industrialize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into a robust, scalable and, if approved, commercially viable process;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and retain qualified technical personnel, such as clinical, quality control, commercial and scientific personnel;</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infrastructure and facilities to support our operations, including adding equipment and physical infrastructure to support our research and development;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revenue from product sales and may never be profitable.</w:t>
      </w:r>
    </w:p>
    <w:p>
      <w:pPr>
        <w:spacing w:after="0" w:line="25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spacing w:after="0" w:line="21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research and pre- and non-clinical development of our products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 if any;</w:t>
      </w:r>
    </w:p>
    <w:p>
      <w:pPr>
        <w:spacing w:after="0" w:line="184"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processes and relationships with third parties that can provide adequate (in amount and quality) products and services, and at acceptable costs, to support clinical development and market demand for our product candidates, if marketing approval is received;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for marketing, as viable treatment options.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 w:name="page21"/>
    <w:bookmarkEnd w:id="20"/>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of June 30, 2021 and December 31, 2020, our cash and cash equivalents were approximately €10.6 and €15.5 million, respectively. If we continue to use cash at our historical rates of use we will need significant additional financing, which we may seek through a combination of private and public equity offerings, debt financings and collaboration, strategic alliance and licensing arrangements.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 strategic alliance or licensing arrangements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252" w:lineRule="exact"/>
        <w:rPr>
          <w:sz w:val="20"/>
          <w:szCs w:val="20"/>
          <w:color w:val="auto"/>
        </w:rPr>
      </w:pPr>
    </w:p>
    <w:p>
      <w:pPr>
        <w:ind w:left="660" w:right="2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 and non-clinical development and clinical trials for our product candidates, including Temferon;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preparing, filing and prosecuting patent and trademark applications, maintaining and enforcing our intellectual property rights and defending our intellectual property-related claims;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5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spacing w:after="0" w:line="184"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lentivirus ex-vivo gene transfer therapy product candidates are based on a novel technology, which makes it difficult to predict the time and cost of product candidate development and likelihood of subsequently obtaining regulatory approval.</w:t>
      </w:r>
    </w:p>
    <w:p>
      <w:pPr>
        <w:spacing w:after="0" w:line="19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We have concentrated our research and development efforts on our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transfer cell therapies represent a relatively new field of cellular immunotherapy and cancer treatment generally, developing and commercializing our product candidates subjects us to a number of risks and challenges, including:</w:t>
      </w:r>
    </w:p>
    <w:p>
      <w:pPr>
        <w:spacing w:after="0" w:line="188"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obtaining regulatory approval for our product candidates, as the FDA, the EMA, the AIFA and other regulatory authorities have limited experience with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therapies for cancer;</w:t>
      </w:r>
    </w:p>
    <w:p>
      <w:pPr>
        <w:spacing w:after="0" w:line="12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developing and deploying consistent and reliable processes for engineering a patient’s HSPCs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infusing the engineered HSPCs back into the patient;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sourcing clinical and, if approved, commercial supplies of the materials used to manufacture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programming modules with the desired properties, while avoiding adverse reactions;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creating viral vectors capable of delivering multiple programming modules;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developing a reliable and consistent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modification and manufacturing process;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securing manufacturing capacity suitable for the manufacture of our product candidates in line with expanding enrollment in our clinical studies and our projected commercial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minimizing and avoiding infection and contamination during production of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protocols for the safe administration of our product candidates;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educating medical personnel regarding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technologies and the potential side effect profile of each of our product candidates, such as potential adverse effects related to pyrexia and infections;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establishing integrated solutions in collaboration with specialty treatment centers in order to reduce the burdens and complex logistics commonly associated with the administration of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cell therapies;</w:t>
      </w:r>
    </w:p>
    <w:p>
      <w:pPr>
        <w:spacing w:after="0" w:line="12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and when we obtain any required regulatory approvals, establishing sales and marketing capabilities or partnerships to successfully launch and commercialize our product candidates and gaining market acceptance of a novel therapy;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third-party payors.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2" w:name="page23"/>
    <w:bookmarkEnd w:id="22"/>
    <w:p>
      <w:pPr>
        <w:jc w:val="both"/>
        <w:ind w:right="160" w:firstLine="648"/>
        <w:spacing w:after="0" w:line="263" w:lineRule="auto"/>
        <w:rPr>
          <w:sz w:val="20"/>
          <w:szCs w:val="20"/>
          <w:color w:val="auto"/>
        </w:rPr>
      </w:pPr>
      <w:r>
        <w:rPr>
          <w:rFonts w:ascii="Arial" w:cs="Arial" w:eastAsia="Arial" w:hAnsi="Arial"/>
          <w:sz w:val="18"/>
          <w:szCs w:val="18"/>
          <w:color w:val="auto"/>
        </w:rPr>
        <w:t xml:space="preserve">We may not be able to successfully develop our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or our technology in a manner that will yield products that are safe, effective, scalable or profitable. Additionally, because our technology involves the genetic modification of patient cells </w:t>
      </w:r>
      <w:r>
        <w:rPr>
          <w:rFonts w:ascii="Arial" w:cs="Arial" w:eastAsia="Arial" w:hAnsi="Arial"/>
          <w:sz w:val="18"/>
          <w:szCs w:val="18"/>
          <w:i w:val="1"/>
          <w:iCs w:val="1"/>
          <w:color w:val="auto"/>
        </w:rPr>
        <w:t>ex vivo</w:t>
      </w:r>
      <w:r>
        <w:rPr>
          <w:rFonts w:ascii="Arial" w:cs="Arial" w:eastAsia="Arial" w:hAnsi="Arial"/>
          <w:sz w:val="18"/>
          <w:szCs w:val="18"/>
          <w:color w:val="auto"/>
        </w:rPr>
        <w:t>, we are subject to additional regulatory challenges and risks, including:</w:t>
      </w:r>
    </w:p>
    <w:p>
      <w:pPr>
        <w:spacing w:after="0" w:line="211" w:lineRule="exact"/>
        <w:rPr>
          <w:sz w:val="20"/>
          <w:szCs w:val="20"/>
          <w:color w:val="auto"/>
        </w:rPr>
      </w:pPr>
    </w:p>
    <w:p>
      <w:pPr>
        <w:ind w:left="660" w:right="2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regulatory requirements governing gene and cell therapy products have changed frequently and may continue to change in the future. To date, few CAR-T cell therapy products that involve the genetic modification of patient cells have been approved in the United States and/or the European Union, and no lentivirus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product candidates have been approved by any regulatory authority. In this regard, the European Commission has granted conditional marketing authorization for ZYNTEGLO;</w:t>
      </w:r>
    </w:p>
    <w:p>
      <w:pPr>
        <w:spacing w:after="0" w:line="14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genetically modified products could lead to lymphoma, leukemia or other cancers, or other aberrantly functioning cells in the event of improper insertion of a gene sequence into a patient’s chromosome, or due to other unknown causes;</w:t>
      </w:r>
    </w:p>
    <w:p>
      <w:pPr>
        <w:spacing w:after="0" w:line="129"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our viral vectors are not able to replicate, there is a risk with the use of lentiviral vectors that they could lead to new or reactivated pathogenic strains of virus or other infectious diseases; and</w:t>
      </w:r>
    </w:p>
    <w:p>
      <w:pPr>
        <w:spacing w:after="0" w:line="129"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p>
      <w:pPr>
        <w:spacing w:after="0" w:line="21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spacing w:after="0" w:line="204"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Our gene therapy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23" w:name="page24"/>
    <w:bookmarkEnd w:id="23"/>
    <w:p>
      <w:pPr>
        <w:ind w:firstLine="648"/>
        <w:spacing w:after="0" w:line="279" w:lineRule="auto"/>
        <w:rPr>
          <w:sz w:val="20"/>
          <w:szCs w:val="20"/>
          <w:color w:val="auto"/>
        </w:rPr>
      </w:pPr>
      <w:r>
        <w:rPr>
          <w:rFonts w:ascii="Arial" w:cs="Arial" w:eastAsia="Arial" w:hAnsi="Arial"/>
          <w:sz w:val="17"/>
          <w:szCs w:val="17"/>
          <w:color w:val="auto"/>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Bio’s elivaldogene autotemcel (“Lenti-D”), involving two SUSARs for cases of acute myeloid leukemia (AML), and one case involving myelodysplastic syndrome.</w:t>
      </w:r>
    </w:p>
    <w:p>
      <w:pPr>
        <w:spacing w:after="0" w:line="17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hemapoietic stem progenitor cells (HSPCs)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are able to demonstrate that adverse events are not related to our drug product, such occurrences could affect the ability to enroll patients to complete the clinical trial, or the commercial viability of any product candidates that obtain regulatory approval.</w:t>
      </w:r>
    </w:p>
    <w:p>
      <w:pPr>
        <w:spacing w:after="0" w:line="20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To date, Temferon has only been administered to a small number of human subjects in our ongoing Phase 1/2a study. Due to the lack of a broader experience in human subjects, there is limited information available about the relationship of adverse events to administration of Temferon. Adverse events experienced in our clinical trials and attributed to autologous stem cell transplant (ASCT), concomitant medications, and disease progression have included febrile neutropenia and other infectious complications, venous thromboembolism, poor performance status, liver enzyme elevation, brain abscess and hemiparesis. While most of these adverse events were managed with treatment and supportive care, two GBM patients died (day +60 and +122) due to complications following the conditioning regimens.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Patient deaths and severe adverse effects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4" w:name="page25"/>
    <w:bookmarkEnd w:id="24"/>
    <w:p>
      <w:pPr>
        <w:ind w:right="140" w:firstLine="648"/>
        <w:spacing w:after="0" w:line="255"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and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spacing w:after="0" w:line="21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evaluating Temferon in a Phase 1/2a clinical trial in newly diagnosed unmethylated MGMT gene promoter glioblastoma tumor patients (TEM-GBM Study). To date, the TEM-GBM Study is ongoing and not complete.</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at a very early stage of development for all of our gene therapy product candidates. At this stage, only our lead product candidate Temferon has been authorized by the AIFA to be evaluated in a Phase 1/2a clinical trial in Italy. A study testing Temferon in multiple myeloma study was also approved by AIFA, but we closed the study due to lack of enrollment feasibility, rather than clinical events, as no multiple myeloma patients have been treated with Temferon.</w:t>
      </w:r>
    </w:p>
    <w:p>
      <w:pPr>
        <w:spacing w:after="0" w:line="21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order to commence a clinical trial in the United States, we will be required to seek FDA acceptance of an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w:t>
      </w:r>
    </w:p>
    <w:p>
      <w:pPr>
        <w:spacing w:after="0" w:line="2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If so, the FDA or EMA may require us to obtain and submit additional preclinical, manufacturing or clinical data.</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need to complete our Phase 1/2a clinical trial for Temferon, as well as additional clinical trials in order to obtain regulatory approvals to market Temferon. Carrying out later-stage clinical trials is a complicated process. We are a small organization with limited experience in preparing, submitting and prosecuting regulatory filings, and we have not previously submitted a biologics license application, or BLA, to the FDA for any product candidate.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5" w:name="page26"/>
    <w:bookmarkEnd w:id="25"/>
    <w:p>
      <w:pPr>
        <w:ind w:right="20" w:firstLine="648"/>
        <w:spacing w:after="0" w:line="255" w:lineRule="auto"/>
        <w:rPr>
          <w:sz w:val="20"/>
          <w:szCs w:val="20"/>
          <w:color w:val="auto"/>
        </w:rPr>
      </w:pPr>
      <w:r>
        <w:rPr>
          <w:rFonts w:ascii="Arial" w:cs="Arial" w:eastAsia="Arial" w:hAnsi="Arial"/>
          <w:sz w:val="18"/>
          <w:szCs w:val="18"/>
          <w:color w:val="auto"/>
        </w:rPr>
        <w:t>In addition, we have not yet conducted clinical trials of any our product candidates in the United States,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substantial delays in commencement and completion of clinical trials.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a number of reasons, including:</w:t>
      </w:r>
    </w:p>
    <w:p>
      <w:pPr>
        <w:spacing w:after="0" w:line="21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9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CROs, other third parties or us to adhere to clinical trial protocol and record keeping requirements;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trial sites or patients dropping out of a study;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occurrence of SAEs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the FDA or the EMA or other regulatory authorities elect to enact policy changes, as a result of the COVID-19 pandemic or otherwise.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26" w:name="page27"/>
    <w:bookmarkEnd w:id="26"/>
    <w:p>
      <w:pPr>
        <w:jc w:val="both"/>
        <w:ind w:right="20" w:firstLine="648"/>
        <w:spacing w:after="0" w:line="263"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trial, a data safety monitoring board overseeing the clinical trial at issue or by other regulatory authorities due to a number of factors, including:</w:t>
      </w:r>
    </w:p>
    <w:p>
      <w:pPr>
        <w:spacing w:after="0" w:line="21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safety issues (including those that result from the COVID-19 pandemic) or lack of effectiveness;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91" w:lineRule="exact"/>
        <w:rPr>
          <w:sz w:val="20"/>
          <w:szCs w:val="20"/>
          <w:color w:val="auto"/>
        </w:rPr>
      </w:pPr>
    </w:p>
    <w:p>
      <w:pPr>
        <w:jc w:val="both"/>
        <w:ind w:right="140"/>
        <w:spacing w:after="0" w:line="381" w:lineRule="auto"/>
        <w:rPr>
          <w:sz w:val="20"/>
          <w:szCs w:val="20"/>
          <w:color w:val="auto"/>
        </w:rPr>
      </w:pPr>
      <w:r>
        <w:rPr>
          <w:rFonts w:ascii="Arial" w:cs="Arial" w:eastAsia="Arial" w:hAnsi="Arial"/>
          <w:sz w:val="15"/>
          <w:szCs w:val="15"/>
          <w:b w:val="1"/>
          <w:bCs w:val="1"/>
          <w:i w:val="1"/>
          <w:iCs w:val="1"/>
          <w:color w:val="auto"/>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spacing w:after="0" w:line="1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 available. In general, we conduct interim analyses at pre-specified times, which do not include data subsequent to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spacing w:after="0" w:line="20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A number of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7" w:name="page28"/>
    <w:bookmarkEnd w:id="27"/>
    <w:p>
      <w:pPr>
        <w:ind w:right="40" w:firstLine="648"/>
        <w:spacing w:after="0" w:line="269" w:lineRule="auto"/>
        <w:rPr>
          <w:sz w:val="20"/>
          <w:szCs w:val="20"/>
          <w:color w:val="auto"/>
        </w:rPr>
      </w:pPr>
      <w:r>
        <w:rPr>
          <w:rFonts w:ascii="Arial" w:cs="Arial" w:eastAsia="Arial" w:hAnsi="Arial"/>
          <w:sz w:val="17"/>
          <w:szCs w:val="17"/>
          <w:color w:val="auto"/>
        </w:rPr>
        <w:t>Additionally, our ongoing clinical trial utilizes,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19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spacing w:after="0" w:line="22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the proximity and availability of clinical trial sites for prospective subjects and the patient referral practices of physicians; the ability to obtain and maintain subject consent; the risk that enrolled subjects will drop out before completion of the trial.</w:t>
      </w:r>
    </w:p>
    <w:p>
      <w:pPr>
        <w:spacing w:after="0" w:line="21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the evolving COVID-19 pandemic may directly or indirectly impact the pace of enrollment in our clinical trials as patients may avoid or may not be able to travel to healthcare facilities and physicians’ offices due to a health emergency and clinical trial staff can no longer get to the clinic. Additionally, such facilities and offices have been and may continue to be required to focus limited resources on non-clinical trial matters, including treatment of COVID-19 patients, thereby decreasing availability, in whole or in part, for clinical trial services. See “Risks Related to Our Business Operations – We face business disruption and related risks resulting from the recent outbreak of COVID-19, which could have a material adverse effect on our business and results of operations” for additional information.</w:t>
      </w:r>
    </w:p>
    <w:p>
      <w:pPr>
        <w:spacing w:after="0" w:line="21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If patients are unwilling to participate in our studies for any reason, the timeline for recruiting patients, conducting studies and obtaining regulatory approval of potential product candidates will be delayed.</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0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The results of clinical trials conducted at clinical sites outside the United States may not be accepted by the FDA and the results of clinical trials conducted at clinical sites in the United States may not be accepted by international regulatory authorities.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date our only ongoing recruiting clinical trial has been conducted in Europe but we are planning to globally develop Temferon, including in the United States. Although the FDA may accept data from clinical trials conducted outside the United States,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United States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outside of the location in which each regulatory authority is based as adequate support of a marketing application in a given jurisdiction. If the FDA does not accept the data from sites in our globally conducted clinical trials, or if international regulatory authorities do not accept the data from our U.S. clinical trials, it would likely result in the need for additional trials, which would be costly and time-consuming and could delay or permanently halt the development of one or more of our product candidates.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8" w:name="page29"/>
    <w:bookmarkEnd w:id="28"/>
    <w:p>
      <w:pPr>
        <w:ind w:right="220" w:firstLine="648"/>
        <w:spacing w:after="0" w:line="277" w:lineRule="auto"/>
        <w:rPr>
          <w:sz w:val="20"/>
          <w:szCs w:val="20"/>
          <w:color w:val="auto"/>
        </w:rPr>
      </w:pPr>
      <w:r>
        <w:rPr>
          <w:rFonts w:ascii="Arial" w:cs="Arial" w:eastAsia="Arial" w:hAnsi="Arial"/>
          <w:sz w:val="18"/>
          <w:szCs w:val="18"/>
          <w:color w:val="auto"/>
        </w:rPr>
        <w:t>Our ability to successfully initiate, enroll and complete a clinical trial in any foreign country including the United States, is subject to numerous risks unique to conducting business in foreign countries, including:</w:t>
      </w:r>
    </w:p>
    <w:p>
      <w:pPr>
        <w:spacing w:after="0" w:line="1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84" w:lineRule="exact"/>
        <w:rPr>
          <w:rFonts w:ascii="Arial" w:cs="Arial" w:eastAsia="Arial" w:hAnsi="Arial"/>
          <w:sz w:val="18"/>
          <w:szCs w:val="18"/>
          <w:color w:val="auto"/>
        </w:rPr>
      </w:pPr>
    </w:p>
    <w:p>
      <w:pPr>
        <w:ind w:left="660" w:right="10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laws, medical standards and regulatory requirements, including the regulation of pharmaceutical and biotechnology products and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9" w:name="page30"/>
    <w:bookmarkEnd w:id="29"/>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may seek designations for our product candidates with the FDA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FDA,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spacing w:after="0" w:line="20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The FDA may withdraw Fast Track Designation if it believes that the designation is no longer supported by data from our clinical development program.</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0" w:name="page31"/>
    <w:bookmarkEnd w:id="30"/>
    <w:p>
      <w:pPr>
        <w:ind w:firstLine="648"/>
        <w:spacing w:after="0" w:line="267"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2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seek a conditional marketing authorization in Europe for some or all of our current product candidates, but we may not be able to obtain or maintain such designation.</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part of its marketing authorization process, the EMA may grant marketing authorizations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spacing w:after="0" w:line="22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applicant will provide the comprehensive clinical data post-authorization;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is still required.</w:t>
      </w:r>
    </w:p>
    <w:p>
      <w:pPr>
        <w:spacing w:after="0" w:line="19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1" w:name="page32"/>
    <w:bookmarkEnd w:id="31"/>
    <w:p>
      <w:pPr>
        <w:ind w:right="200" w:firstLine="648"/>
        <w:spacing w:after="0" w:line="279" w:lineRule="auto"/>
        <w:rPr>
          <w:sz w:val="20"/>
          <w:szCs w:val="20"/>
          <w:color w:val="auto"/>
        </w:rPr>
      </w:pPr>
      <w:r>
        <w:rPr>
          <w:rFonts w:ascii="Arial" w:cs="Arial" w:eastAsia="Arial" w:hAnsi="Arial"/>
          <w:sz w:val="17"/>
          <w:szCs w:val="17"/>
          <w:color w:val="auto"/>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spacing w:after="0" w:line="19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Regulatory authorities in some jurisdictions, including the United States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or a patient population of 200,000 or more individuals in the United States, but for which there is no reasonable expectation that the cost of developing the drug will be recovered from sales in the United States. In the EU, the European Commission grants orphan drug designation to promote the development of products that are intended for the diagnosis, prevention or treatment of a life-threatening or chronically debilitating condition affecting not more than five in 10,000 persons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spacing w:after="0" w:line="209" w:lineRule="exact"/>
        <w:rPr>
          <w:sz w:val="20"/>
          <w:szCs w:val="20"/>
          <w:color w:val="auto"/>
        </w:rPr>
      </w:pPr>
    </w:p>
    <w:p>
      <w:pPr>
        <w:ind w:right="360" w:firstLine="648"/>
        <w:spacing w:after="0" w:line="275" w:lineRule="auto"/>
        <w:rPr>
          <w:sz w:val="20"/>
          <w:szCs w:val="20"/>
          <w:color w:val="auto"/>
        </w:rPr>
      </w:pPr>
      <w:r>
        <w:rPr>
          <w:rFonts w:ascii="Arial" w:cs="Arial" w:eastAsia="Arial" w:hAnsi="Arial"/>
          <w:sz w:val="17"/>
          <w:szCs w:val="17"/>
          <w:color w:val="auto"/>
        </w:rPr>
        <w:t>If we request orphan drug designation (or the international equivalent) for Temferon 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20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Generally, if a product candidate with an orphan drug designation subsequently receives the first marketing approval for the indication for which it has such designation, the drug may be entitled to a period of marketing exclusivity, which precludes the FDA or the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spacing w:after="0" w:line="215" w:lineRule="exact"/>
        <w:rPr>
          <w:sz w:val="20"/>
          <w:szCs w:val="20"/>
          <w:color w:val="auto"/>
        </w:rPr>
      </w:pPr>
    </w:p>
    <w:p>
      <w:pPr>
        <w:ind w:left="660" w:right="8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2" w:name="page33"/>
    <w:bookmarkEnd w:id="32"/>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207"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and maintain regulatory approval for a product candidate, our products will remain subject to ongoing regulatory oversight.</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United States,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or comparable foreign regulatory authorities, Department of Justice, Department of Health and Human Services’, or HHS,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or a comparable foreign regulatory authority’s strict requirements regarding the content of promotion and advertising.</w:t>
      </w:r>
    </w:p>
    <w:p>
      <w:pPr>
        <w:spacing w:after="0" w:line="212"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or comparable foreign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European Union, the advertising and promotion of our products are subject to European Union laws governing promotion of medicinal products, interactions with physicians, misleading and comparative advertising, and unfair commercial practices. In addition, other legislation adopted by individual European Union Member States may apply to the advertising and promotion of medicinal products. These laws require that promotional materials and advertising for medicinal products are consistent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European Union. The applicable laws at European Union level and in the individual European Union Member States also prohibit the direct-to-consumer advertising of prescription-only medicinal products.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20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fail to comply with applicable regulatory requirements, a regulatory authority may:</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an untitled letter or warning letter that we are in violation of the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511" w:gutter="0" w:footer="0" w:header="0"/>
        </w:sectPr>
      </w:pPr>
    </w:p>
    <w:bookmarkStart w:id="33" w:name="page34"/>
    <w:bookmarkEnd w:id="33"/>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refuse to approve BLA or comparable foreign marketing application (or any supplements thereto) submitted by us or our strategic partners;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the products or require the withdrawal of the product from the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permit the import or export of the products;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5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Both marketing authorization holders and manufacturers of medicinal products are subject to comprehensive regulatory oversight by the EMA and the competent authorities of the individual European Union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of our processes, quality systems, methods, and equipment are compliant with GMP. Failure by us or by any of our third-party partners, including suppliers, manufacturers, and distributors to comply with European Union laws and the related national laws of individual European Union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spacing w:after="0" w:line="19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addition, European Union legislation related to pharmacovigilance, or the assessment and monitoring of the safety of medicinal products, provides that EMA and the competent authorities of the European Union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4" w:name="page35"/>
    <w:bookmarkEnd w:id="34"/>
    <w:p>
      <w:pPr>
        <w:ind w:right="80"/>
        <w:spacing w:after="0" w:line="308" w:lineRule="auto"/>
        <w:rPr>
          <w:sz w:val="20"/>
          <w:szCs w:val="20"/>
          <w:color w:val="auto"/>
        </w:rPr>
      </w:pPr>
      <w:r>
        <w:rPr>
          <w:rFonts w:ascii="Arial" w:cs="Arial" w:eastAsia="Arial" w:hAnsi="Arial"/>
          <w:sz w:val="17"/>
          <w:szCs w:val="17"/>
          <w:b w:val="1"/>
          <w:bCs w:val="1"/>
          <w:i w:val="1"/>
          <w:iCs w:val="1"/>
          <w:color w:val="auto"/>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spacing w:after="0" w:line="1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1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19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spacing w:after="0" w:line="17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available therapies;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or warnings, including use restrictions contained in the product’s approved labeling;</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the EMA or other regulatory authority or agreed to by us as part of a mandatory or voluntary risk management plan;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availability of alternative treatments, including competitive products expected to be commercially launched in the near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pricing and cost effectiveness in relation to alternative treatments;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product is included under physician treatment guidelines as a first-, second,- or third-line therapy;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the willingness of patients to pay out-of-pocket in the absence of coverage by third-party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patients to pay for drugs out of pocket in the absence of third-party coverage;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5" w:name="page36"/>
    <w:bookmarkEnd w:id="35"/>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could harm our business.</w:t>
      </w:r>
    </w:p>
    <w:p>
      <w:pPr>
        <w:spacing w:after="0" w:line="1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21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19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6" w:name="page37"/>
    <w:bookmarkEnd w:id="36"/>
    <w:p>
      <w:pPr>
        <w:ind w:right="140" w:firstLine="648"/>
        <w:spacing w:after="0" w:line="288"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or cost-effective for a specific indication, or that coverage or an adequate level of reimbursement will be available.</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abroad, and any approval we are granted for our product candidates in the United States would not assure approval of product candidates in foreign jurisdictions.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clinical trial design, safety and efficacy. The research, testing, manufacturing, labeling, approval, sale, marketing and distribution of drugs are subject to extensive regulation by the FDA in the United States and other regulatory authorities in other countries.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w:t>
      </w:r>
    </w:p>
    <w:p>
      <w:pPr>
        <w:spacing w:after="0" w:line="21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Approval procedures vary among jurisdictions and can involve requirements and administrative review periods different from those in the United States, including additional non-clinical studies or clinical trials as investigations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the EMA or other regulatory authorities in other countries or jurisdictions, and approval by the EMA or another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an MAA to the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7" w:name="page38"/>
    <w:bookmarkEnd w:id="37"/>
    <w:p>
      <w:pPr>
        <w:ind w:right="60" w:firstLine="648"/>
        <w:spacing w:after="0" w:line="255" w:lineRule="auto"/>
        <w:rPr>
          <w:sz w:val="20"/>
          <w:szCs w:val="20"/>
          <w:color w:val="auto"/>
        </w:rPr>
      </w:pPr>
      <w:r>
        <w:rPr>
          <w:rFonts w:ascii="Arial" w:cs="Arial" w:eastAsia="Arial" w:hAnsi="Arial"/>
          <w:sz w:val="18"/>
          <w:szCs w:val="18"/>
          <w:color w:val="auto"/>
        </w:rPr>
        <w:t>Finally, we do not have any products approved for sale in any jurisdiction, including international markets, and we do not have experience in obtaining regulatory approval. If we, or any third parties with whom we work, fail to comply with regulatory requirements in United States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spacing w:after="0" w:line="21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Additionally, on June 23, 2016, the electorate in the United Kingdom voted in favor of leaving the EU, commonly referred to as “Brexit.” On March 29, 2017, the country formally notified the EU of its intention to withdraw pursuant to Article 50 of the Lisbon Treaty and the withdrawal of the United Kingdom from the EU took effect on January 31, 2020. There was a transition period, during which EU pharmaceutical law remained applicable in the United Kingdom, however this ended on December 31, 2020. Since a significant proportion of the regulatory framework governing the development and commercialization of medicinal products in the United Kingdom is derived from EU Directives and Regulations, Brexit, now that the transition period is over, could materially impact the regulatory regime with respect to the approval of our product candidates in the United Kingdom or the EU, as United Kingdom legislation now has the potential to diverge from EU legislation.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w:t>
      </w:r>
    </w:p>
    <w:p>
      <w:pPr>
        <w:spacing w:after="0" w:line="1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operate in a rapidly changing industry and face significant competition, which may result in others discovering, developing or commercializing products before or more successfully than we do.</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a number of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spacing w:after="0" w:line="21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 from biosimilar products.</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as biologic products and we intend to seek approval for these product candidates pursuant to the BLA pathway.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spacing w:after="0" w:line="20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Europe, the European Commission has granted marketing authorizations for several biosimilar products pursuant to a set of general and product class-specific guidelines for biosimilar approvals issued over the past few years. In the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spacing w:after="0" w:line="19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39" w:name="page40"/>
    <w:bookmarkEnd w:id="39"/>
    <w:p>
      <w:pPr>
        <w:ind w:right="1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even if we have appropriate insurance policies, and we may be required to limit commercialization of our product candidates.</w:t>
      </w:r>
    </w:p>
    <w:p>
      <w:pPr>
        <w:spacing w:after="0" w:line="19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such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spacing w:after="0" w:line="21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negative media attention;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or increased warnings on product labels;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to defend the related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and our resources;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clinical trial participants,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insurance premiums;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initiation of investigations by regulators or other authorities;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successfully commercialize our product candidates, if approved.</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Biological products are inherently difficult to manufacture, and gene therapy products are complex biological products, the development and manufacture of which necessitates substantial expertise and capital investment.</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spacing w:after="0" w:line="21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product candidate, Temferon, is being studied for GBM patients with unmethylated MGMT status, as determined by a laboratory test. If approved for use only in uMGMT-GBM patients, use of such a laboratory test would be required for each patient before treatment with Temferon. There are several currently-marketed,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0" w:name="page41"/>
    <w:bookmarkEnd w:id="40"/>
    <w:p>
      <w:pPr>
        <w:ind w:right="40" w:firstLine="648"/>
        <w:spacing w:after="0" w:line="253" w:lineRule="auto"/>
        <w:rPr>
          <w:sz w:val="20"/>
          <w:szCs w:val="20"/>
          <w:color w:val="auto"/>
        </w:rPr>
      </w:pPr>
      <w:r>
        <w:rPr>
          <w:rFonts w:ascii="Arial" w:cs="Arial" w:eastAsia="Arial" w:hAnsi="Arial"/>
          <w:sz w:val="18"/>
          <w:szCs w:val="18"/>
          <w:color w:val="auto"/>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drug product for clinical trials. We expect this CMO will be capable of providing sufficient quantities of our viral vectors and gene therapy products to meet the anticipated scales for our clinical trials, in due course, and commercial demands, if approved. However, to meet our projected needs for further commercial manufacturing and large 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spacing w:after="0" w:line="22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two vaccines for COVID-19 were granted Emergency Use Authorization by the FDA in late 2020,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spacing w:after="0" w:line="19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Delays in obtaining regulatory approval of our or our CMOs’ manufacturing process and facility or disruptions in our manufacturing process may delay or disrupt our commercialization efforts.</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Before we can begin to commercially manufacture our viral vector or product candidates in our own facility, or the facility of a CMO, we must obtain regulatory approval from the FDA for our manufacturing processes and for the facility in which manufacturing is performed. A manufacturing authorization must also be obtained from the appropriate European Union regulatory authorities. In addition, we must pass a pre-approval inspection of our or our CMOs manufacturing facility by the FDA and other relevant regulatory authorities before any of our gene therapy product candidates can obtain marketing approval. Since March 2020, foreign and domestic inspections by FDA have largely been on hold with FDA announcing plans in July 2020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In order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41" w:name="page42"/>
    <w:bookmarkEnd w:id="41"/>
    <w:p>
      <w:pPr>
        <w:ind w:right="500"/>
        <w:spacing w:after="0" w:line="277" w:lineRule="auto"/>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time-consuming remedial measures.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our CMOs or we fail to comply with applicable GMP regulations, FDA and foreign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drug product.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5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5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2" w:name="page43"/>
    <w:bookmarkEnd w:id="42"/>
    <w:p>
      <w:pPr>
        <w:ind w:right="40"/>
        <w:spacing w:after="0" w:line="308" w:lineRule="auto"/>
        <w:rPr>
          <w:sz w:val="20"/>
          <w:szCs w:val="20"/>
          <w:color w:val="auto"/>
        </w:rPr>
      </w:pPr>
      <w:r>
        <w:rPr>
          <w:rFonts w:ascii="Arial" w:cs="Arial" w:eastAsia="Arial" w:hAnsi="Arial"/>
          <w:sz w:val="17"/>
          <w:szCs w:val="17"/>
          <w:b w:val="1"/>
          <w:bCs w:val="1"/>
          <w:i w:val="1"/>
          <w:iCs w:val="1"/>
          <w:color w:val="auto"/>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a customs point or other events, and is not delivered to the clinical site within the time period that the very low temperature is maintained, the drug product may be unsuitable for administration to the patient or harmful.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 therapies are for autologous use only. Therefore, if a drug product is administered to the wrong patient, the patient could suffer harm.</w:t>
      </w:r>
    </w:p>
    <w:p>
      <w:pPr>
        <w:spacing w:after="0" w:line="2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19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 namely Temferon.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93" w:lineRule="exact"/>
        <w:rPr>
          <w:sz w:val="20"/>
          <w:szCs w:val="20"/>
          <w:color w:val="auto"/>
        </w:rPr>
      </w:pPr>
    </w:p>
    <w:p>
      <w:pPr>
        <w:jc w:val="both"/>
        <w:ind w:right="460" w:firstLine="648"/>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spacing w:after="0" w:line="19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utilize, and expect to continue to utilize, third parties to conduct some or all aspects of our vector production and product manufacturing for the foreseeable future, and these third parties may not perform satisfactorily.</w:t>
      </w:r>
    </w:p>
    <w:p>
      <w:pPr>
        <w:spacing w:after="0" w:line="19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currently rely on our CMO for the production of our viral vectors and product candidate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the FDA, EMA or other regulatory agencies may refuse to accept our clinical or preclinical data. In such instances, we may need to enter into an appropriate replacement third-party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spacing w:after="0" w:line="20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for the production of our product candidates. Furthermore, demand for CMO GMP manufacturing capabilities may grow at a faster rate than existing manufacturing capacity, which could disrupt our ability to find and retain third-party manufacturers capable of producing sufficient quantities of our viral vectors or product candidates for future clinical trials or to meet expected initial commercial demand.</w:t>
      </w:r>
    </w:p>
    <w:p>
      <w:pPr>
        <w:spacing w:after="0" w:line="19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certain circumstances, our current CMO is entitled to terminate their engagements with us. If we need to enter into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 or drug product in the future and to perform quality testing, and reliance on these third parties entails risks including:</w:t>
      </w:r>
    </w:p>
    <w:p>
      <w:pPr>
        <w:spacing w:after="0" w:line="21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any of our product candidates. Some of these events could be the basis for FDA, EMA or other regulatory authority action, including injunction, recall, seizure or total or partial suspension of product manufacture.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do not expect to independently conduct all aspects of our lentiviral vector protocol development, research and preclinical and clinical testing. We currently rely, and plan to continue to rely, upon third-party CROs to monitor and manage data for our ongoing preclinical and clinical programs. Pursuant to the OSR License Agreement,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Good Clinical Practices, or GCP, and Good Laboratory Practices, or GLP, which are regulations and guidelines enforced by the FDA, the Competent Authorities of the Member States of the EEA, and comparable foreign regulatory authorities for all of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the FDA, the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These risks may be heightened as a result of the evolving COVID-19 pandemic due to difficulties in recruiting study subjects during times of travel restriction, delays in obtaining required regulatory inspections, and potential unavailability of our CROs due to their involvement with COVID-related development activities. Our failure to comply with these regulations may require us to repeat clinical studies, which would delay the regulatory approval process.</w:t>
      </w:r>
    </w:p>
    <w:p>
      <w:pPr>
        <w:spacing w:after="0" w:line="19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and our collaborators and contract manufacturers are subject to significant regulation with respect to manufacturing our product candidates. The manufacturing facilities on which we rely may not meet regulatory requirements and have limited capacity.</w:t>
      </w:r>
    </w:p>
    <w:p>
      <w:pPr>
        <w:spacing w:after="0" w:line="17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BLA or MAA on a timely basis and must adhere to GLP and GMP regulations enforced by the FDA and other regulatory authorities through their facilities inspection program.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5" w:name="page46"/>
    <w:bookmarkEnd w:id="45"/>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currently depend on a limited number of suppliers and, in some instances, a sole supplier, for some of the components and equipment necessary for the production of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or EMA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208"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addition, as part of the FDA’s approval of our product candidates, the FDA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the FDA.</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19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46" w:name="page47"/>
    <w:bookmarkEnd w:id="46"/>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seek collaboration arrangements with biotechnology or pharmaceutical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biotechnology or pharmaceutical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21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otherwise disclosed.</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2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provided that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We depend on license agreements with OSR to permit us to use patents and patent applications, as well as to exploit specific OSR know-how. Termination of these rights or the failure to comply with obligations under these agreements could materially harm our business and prevent us from developing or commercializing our product candidates (Temferon in particular).</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party to a license agreement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our license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license agreement with OSR imposes upon us various diligence, payment and other obligations, including the following:</w:t>
      </w:r>
    </w:p>
    <w:p>
      <w:pPr>
        <w:spacing w:after="0" w:line="252" w:lineRule="exact"/>
        <w:rPr>
          <w:sz w:val="20"/>
          <w:szCs w:val="20"/>
          <w:color w:val="auto"/>
        </w:rPr>
      </w:pPr>
    </w:p>
    <w:p>
      <w:pPr>
        <w:ind w:left="660" w:right="20" w:hanging="328"/>
        <w:spacing w:after="0" w:line="25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pay OSR various milestone payments in the aggregate amount of up to €10 million related to the Lympho-Hematopoietic Indication of each Licensed Product and up to €53 million related to each Solid Cancer indication, contingent upon our achievement of certain late-stage regulatory and sales milestones with respect to use of Temferon for GBM, and additional amounts for milestones with other solid cancer indications upon exercising those rights. However, starting with the fifth Solid Cancer indication, the first two related milestone payments totaling €7.0 million are reduced to €3.5 million.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pay OSR royalties based on net sales of each licensed product that we commercialize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obligation to pay a percentage of income derived from sublicensees for each licensed product sublicensed under the agreement.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obligation to pay fees associated with the prosecution, maintenance, or filing of the patents and patent applications we have licensed.</w:t>
      </w:r>
    </w:p>
    <w:p>
      <w:pPr>
        <w:spacing w:after="0" w:line="26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we fail to comply with any of our obligations under the OSR license agreement, or we are subject to a bankruptcy or dissolution, OSR may have the right to terminate the license agreement, in which event we would not be able to market any product candidates covered by the license.</w:t>
      </w:r>
    </w:p>
    <w:p>
      <w:pPr>
        <w:spacing w:after="0" w:line="17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do not currently own any patents, and we are heavily reliant upon license from OSR to certain patent rights that are important or necessary to the development of our technology and product candidates, including the patents relating to Temferon. Our license is exclusive only to specific fields of use, namely: GBM, solid liver cancer and any lympho-hematopoietic indication. Although we have exclusive option rights to license additional fields of use, or indications, upon the payment of additional fees to OSR, there is no guarantee that we will be in a position to do so within the time period specified to exercise such right. As a result, we may not be able to prevent competitors from developing and commercializing competitive products.</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do not control the prosecution, maintenance, or filing of the patents and patent applications that are licensed to us under the OSR license agreement (unless OSR chooses i) not to file and/or prosecute certain patent applications, or ii) to abandon such patent application and issued patents, in which cases we have the right to – at our expense – file, prosecute and/or maintain such patent applications), or the enforcement of these patents and patent applications against infringement by third parties. Thus, these patents and patent applications were not drafted by us or our attorneys, and we do not control or have any input into the prosecution of these patents and patent applications. We cannot be certain that drafting or prosecution of the patents and patent applications licensed to us has been conducted in compliance with applicable laws and regulations or will result in valid and enforceable patents. OSR controls the preparation, filing and prosecution of patent applications, and is responsible for maintaining the patents, covering technology that we license.</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our license, we are required to file an IND regarding Temferon for GBM prior to February 2022. If we fail to comply with the obligations under our license agreement, including as a result of COVID-19 impacting our operations or due to lack of funds, or if we use the licensed intellectual property in an unauthorized manner, we may be required to pay damages and our licensors may have the right to terminate the license. If our license agreement is terminated, we may not be able to develop, manufacture, market or sell the product candidates covered by our agreement and those being tested or approved in combination with such products. Such an occurrence could materially adversely affect the value of the product candidates being developed under any such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48" w:name="page49"/>
    <w:bookmarkEnd w:id="48"/>
    <w:p>
      <w:pPr>
        <w:ind w:right="60" w:firstLine="648"/>
        <w:spacing w:after="0" w:line="277" w:lineRule="auto"/>
        <w:rPr>
          <w:sz w:val="20"/>
          <w:szCs w:val="20"/>
          <w:color w:val="auto"/>
        </w:rPr>
      </w:pPr>
      <w:r>
        <w:rPr>
          <w:rFonts w:ascii="Arial" w:cs="Arial" w:eastAsia="Arial" w:hAnsi="Arial"/>
          <w:sz w:val="18"/>
          <w:szCs w:val="18"/>
          <w:color w:val="auto"/>
        </w:rPr>
        <w:t>Disputes may arise regarding intellectual property subject to, and any of our rights and obligations under, any license or other strategic agreement, including:</w:t>
      </w:r>
    </w:p>
    <w:p>
      <w:pPr>
        <w:spacing w:after="0" w:line="19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misappropriate or violate the intellectual property of the licensor that is not subject to the license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any such agreement or collaborative relationships;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1"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21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been granted licenses in certain fields of use to patent applications. There can be no assurance that any of the patent applications that we have licenses to will result in issued patents. As a result, our ability to protect our proprietary technology in the marketplace may be limited.</w:t>
      </w:r>
    </w:p>
    <w:p>
      <w:pPr>
        <w:spacing w:after="0" w:line="15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have been granted licenses in certain fields of use to patent applications in many countries worldwide. These applications cover a range of areas including: applications relating, in general terms, to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9" w:name="page50"/>
    <w:bookmarkEnd w:id="49"/>
    <w:p>
      <w:pPr>
        <w:ind w:right="560"/>
        <w:spacing w:after="0" w:line="277" w:lineRule="auto"/>
        <w:rPr>
          <w:sz w:val="20"/>
          <w:szCs w:val="20"/>
          <w:color w:val="auto"/>
        </w:rPr>
      </w:pPr>
      <w:r>
        <w:rPr>
          <w:rFonts w:ascii="Arial" w:cs="Arial" w:eastAsia="Arial" w:hAnsi="Arial"/>
          <w:sz w:val="18"/>
          <w:szCs w:val="18"/>
          <w:b w:val="1"/>
          <w:bCs w:val="1"/>
          <w:i w:val="1"/>
          <w:iCs w:val="1"/>
          <w:color w:val="auto"/>
        </w:rPr>
        <w:t>Our proprietary position for our product candidates currently depends in part upon licenses to patents protecting methods of use, which may not prevent a competitor or other third party from using the same product candidate for another use.</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Composition of matter patent claims on the active pharmaceutical ingredient, or API, in pharmaceutical drug products are generally considered to be the favored form of intellectual property protection for pharmaceutical products, as such patents generally provide protection without regard to any particular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spacing w:after="0" w:line="20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Even if patents are issued based on patent applications to which we have been granted a license, because the patent positions of pharmaceutical and biotechnology products are complex and uncertain, we cannot predict the scope and extent of patent protection for our product candidates.</w:t>
      </w:r>
    </w:p>
    <w:p>
      <w:pPr>
        <w:spacing w:after="0" w:line="1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patents that may be issued based on patent applications that we have been granted licenses to will not ensure sufficient protection with respect to our activities for a number of reasons, including without limitation the following:</w:t>
      </w:r>
    </w:p>
    <w:p>
      <w:pPr>
        <w:spacing w:after="0" w:line="197" w:lineRule="exact"/>
        <w:rPr>
          <w:sz w:val="20"/>
          <w:szCs w:val="20"/>
          <w:color w:val="auto"/>
        </w:rPr>
      </w:pPr>
    </w:p>
    <w:p>
      <w:pPr>
        <w:ind w:left="660" w:right="4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issued patents may not be broad or strong enough to prevent competition from other gene therapy products including identical or similar products;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patents are not issued or if issued patents expire, there would be no protections against competitors making generic equivalents;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w:t>
      </w:r>
    </w:p>
    <w:p>
      <w:pPr>
        <w:spacing w:after="0" w:line="18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other patents existing, now or in the future, in the patent landscape for Temferon, or any other product candidates that we seek to commercialize or develop, if any, that will affect our freedom to operate;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patents that we have been granted licenses to are challenged, a court could determine that they are not valid or enforceable;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court could determine that a competitor’s technology or product does not infringe patents that we have been granted licenses to;</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patents to which we have been granted licenses could irretrievably lapse due to failure to pay fees or otherwise comply with regulations, or could be subject to compulsory licensing;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encounter delays in our development or clinical trials, the period of time during which we could market our products under patent protection would be reduced.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0" w:name="page51"/>
    <w:bookmarkEnd w:id="50"/>
    <w:p>
      <w:pPr>
        <w:jc w:val="both"/>
        <w:ind w:right="86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Periodic maintenance fees on any issued patent are due to be paid to the United States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spacing w:after="0" w:line="211"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spacing w:after="0" w:line="22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Given the amount of time required for the development, testing and regulatory review of new drug candidates, patents protecting such drug candidates might expire before or shortly after such drug candidates are commercialized. As a result, the patents and patent applications licensed to us may not provide us with sufficient rights to exclude others from commercializing products similar or identical to ours. Even if we believe that the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United States and other countries may diminish the value of our patents or narrow the scope of our patent protection.</w:t>
      </w: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patents and pending patent applications licensed to us for our product candidates are expected to expire on various dates as described in “Business—Intellectual Property.” Upon the expiration, we will not be able to assert such licensed patent rights against potential competitors, which would materially adversely affect our business, financial condition, results of operations and prospects.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1" w:name="page52"/>
    <w:bookmarkEnd w:id="51"/>
    <w:p>
      <w:pPr>
        <w:ind w:right="6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 or at all.</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spacing w:after="0" w:line="22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 consuming and unsuccessful.</w:t>
      </w:r>
    </w:p>
    <w:p>
      <w:pPr>
        <w:spacing w:after="0" w:line="27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addition to the possibility of litigation relating to infringement claims asserted against it, we may become a party to other patent litigation and other proceedings,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OSR License Agreement,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19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Competitors may infringe or otherwise violate our intellectual property, including patents that may issue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and/or that any of our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issuing.</w:t>
      </w:r>
    </w:p>
    <w:p>
      <w:pPr>
        <w:spacing w:after="0" w:line="22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the breadth or strength of our patent or other intellectual property rights is compromised or threatened, it could allow third parties to exploit and, in particular, commercialize our technology or products or result in our inability to exploit and/or commercialize our technology and products without infringing third-party intellectual property rights. Further, third parties may be dissuaded from collaborating with us.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2" w:name="page53"/>
    <w:bookmarkEnd w:id="52"/>
    <w:p>
      <w:pPr>
        <w:ind w:right="20" w:firstLine="648"/>
        <w:spacing w:after="0" w:line="29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so as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20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any proprietary name we propose to use with our clinical-stage product candidates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3" w:name="page54"/>
    <w:bookmarkEnd w:id="53"/>
    <w:p>
      <w:pPr>
        <w:ind w:right="80" w:firstLine="648"/>
        <w:spacing w:after="0" w:line="296" w:lineRule="auto"/>
        <w:rPr>
          <w:sz w:val="20"/>
          <w:szCs w:val="20"/>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intellectual property rights throughout the world.</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Filing, prosecuting, and defending patent applications and issued patents on product candidates in all countries throughout the world would be prohibitively expensive, and intellectual property rights that we have been granted licenses to in some countries outside the United States and Italy can be less extensive than those in the United States and Italy. In addition, the laws of some foreign countries do not protect intellectual property to the same extent as laws in the United States and Italy. Consequently, we may not be able to seek to prevent third parties from practicing inventions that are the subject of patents that we have been granted licenses to in all countries outside the United States and Italy, or from selling or importing products made using inventions that are the subject of patents that we have been granted licenses to in and into the United States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United States and Italy.</w:t>
      </w:r>
    </w:p>
    <w:p>
      <w:pPr>
        <w:spacing w:after="0" w:line="20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proprietary rights for our product candidates, we may not be able to compete effectively in our markets.</w:t>
      </w:r>
    </w:p>
    <w:p>
      <w:pPr>
        <w:spacing w:after="0" w:line="27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54" w:name="page55"/>
    <w:bookmarkEnd w:id="54"/>
    <w:p>
      <w:pPr>
        <w:ind w:right="1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9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spacing w:after="0" w:line="20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In March 2013, the United States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aware of issued patents in the United States that cover the lentiviral vectors used in the manufacture of our product candidates.</w:t>
      </w:r>
    </w:p>
    <w:p>
      <w:pPr>
        <w:spacing w:after="0" w:line="264"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spacing w:after="0" w:line="21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this respect, our key people Mr. Luigi Naldini and Mr. Bernhard Gentner are also employees of Ospedale San Raffaele, and have been appointed, according to a consultancy agreement, as directors of our scientific committee for the purpose of designing and developing the preclinic research and clinic experimentation program in the area of cancers (Prof. Naldini) and mieloma (Dr. Gentner) gene therapy. The relevant consultancy agreements do not set forth any specific representation and warranty in our favor that their activities do not infringe any third-party’s intellectual property rights (in particular, of OSR). In this respect, Mr. Naldini and Mr. Gentner have executed a statement whereby they have declared that their consultancy activities in our favor have been carried out by the same without infringing upon the intellectual property rights of OSR. OSR is not part of this statement and, therefore, OSR could in any case address claims against us with respect to an infringement of its intellectual property right by Mr. Naldini and Mr. Gentner in relation to their activity in our favor.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There may be claims challenging the inventorship of patents and other intellectual property that we have been granted licenses to.</w:t>
      </w:r>
    </w:p>
    <w:p>
      <w:pPr>
        <w:spacing w:after="0" w:line="25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for compensation for their work in developing intellectual property, which in turn could impact our future profitability.</w:t>
      </w:r>
    </w:p>
    <w:p>
      <w:pPr>
        <w:spacing w:after="0" w:line="192"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spacing w:after="0" w:line="14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To date, we have not entered into non-competition agreements with our current employees in order to prevent them, after the termination of their employment, to perform competitive activity in favor of other employers. Therefore, we cannot exclude that, after the termination of the employment, such employers may benefit from the expertise of our current employees developed while working for us. We sometimes enter into non-competition agreements with certain key consultants. These agreements prohibit key consultants, if they cease working for us, from competing directly with us or working for our competitors or clients for a limited period of time.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spacing w:after="0" w:line="20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With regard to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date, both the employment agreements and consultancy agreements do not provide any specific compensation related to the inventive activity.</w:t>
      </w:r>
    </w:p>
    <w:p>
      <w:pPr>
        <w:spacing w:after="0" w:line="24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a consequence, employees and independent consultants may ask for a fair compensation due to such inventions and, with regard to independent consultants, the failure to pay a fair compensation could prevent us from obtaining rights on their inventions, and this could have a material adverse effect on our operations and ability to effectively compete.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84"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may own or license now or in the future;</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make the inventions covered by the issued patent or pending patent application that we own or license now or in the future;</w:t>
      </w:r>
    </w:p>
    <w:p>
      <w:pPr>
        <w:spacing w:after="0" w:line="129"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any future license partners or collaborators, might not have been the first to file patent applications covering certain of our or their inventions;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6" w:name="page57"/>
    <w:bookmarkEnd w:id="56"/>
    <w:p>
      <w:pPr>
        <w:ind w:left="660" w:right="4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pending patent applications currently licensed or those to which we may enter into a license regarding in the future will not lead to issued patents;</w:t>
      </w:r>
    </w:p>
    <w:p>
      <w:pPr>
        <w:spacing w:after="0" w:line="129"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the issued patents that have been licensed to us, or parts of such issued patents;</w:t>
      </w:r>
    </w:p>
    <w:p>
      <w:pPr>
        <w:spacing w:after="0" w:line="129"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issued patents to which we hold rights to may be held invalid or unenforceable, including as a result of legal challenges by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claims of patent applications, if and when issued, may not cover our product candidates;</w:t>
      </w:r>
    </w:p>
    <w:p>
      <w:pPr>
        <w:spacing w:after="0" w:line="184"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129"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inventors of our patent applications may become involved with competitors, develop products or processes that design around our patents, or become hostile to us or the patents or patent applications on which they are named as inventors;</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engage in scientific collaborations and will continue to do so in the future, and our collaborators may develop adjacent or competing products that are outside the scope of our patents;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harm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84"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As a company currently with substantial operations outside of the United States, our business is subject to economic, political, regulatory and other risks associated with international operations.</w:t>
      </w:r>
    </w:p>
    <w:p>
      <w:pPr>
        <w:spacing w:after="0" w:line="197"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a company with substantial operations in Italy, our business is subject to risks associated with conducting business outside the United States. Many of our suppliers and clinical trial relationships are located outside the United States. Accordingly, our future results could be harmed by a variety of factors, including:</w:t>
      </w:r>
    </w:p>
    <w:p>
      <w:pPr>
        <w:spacing w:after="0" w:line="21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57" w:name="page58"/>
    <w:bookmarkEnd w:id="57"/>
    <w:p>
      <w:pPr>
        <w:ind w:left="660" w:right="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exchange risks and currency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84"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including, for example, the variable tax treatment in different jurisdictions of options granted under our share incentive plans;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p>
      <w:pPr>
        <w:spacing w:after="0" w:line="15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84"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manage our business through a small number of employees, key consultants and third-party contractors.</w:t>
      </w:r>
    </w:p>
    <w:p>
      <w:pPr>
        <w:spacing w:after="0" w:line="25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key people include our Chief Executive Officer and current Vice Chairman, Pierluigi Paracchi, who co-founded our company in 2014 along with Luigi Naldini, our Executive Scientific Board Chairman, and Bernhard Gentner, a member of our Executive Scientific Board. Our other key people include Carlo Russo, our Chief Medical Officer &amp; Head of Development, Richard Slansky, our Chief Financial Officer, and Stefania Mazzoleni, our Scientific Project Manager and Communications Officer. With the exception of Ms. Mazzoleni, our key personnel are not (currently) engaged as full-time employees. Dr. Russo shall become a full-time employee after this offering and Mr. Slansky has signed an agreement to become a full-time employee at the earlier of the conclusion of this offering or November 1, 2021, whichever is earlier. We expect that some of our key personnel and other personnel that join us after the completion of this offering will be engaged as full-time employees in the immediate future. Our future growth and success depend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spacing w:after="0" w:line="21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laws and regulations on executive compensation, including legislation in our home country, Italy, may restrict our ability to attract, motivate and retain the required level of qualified personnel.</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8" w:name="page59"/>
    <w:bookmarkEnd w:id="58"/>
    <w:p>
      <w:pPr>
        <w:ind w:right="400"/>
        <w:spacing w:after="0" w:line="277" w:lineRule="auto"/>
        <w:rPr>
          <w:sz w:val="20"/>
          <w:szCs w:val="20"/>
          <w:color w:val="auto"/>
        </w:rPr>
      </w:pPr>
      <w:r>
        <w:rPr>
          <w:rFonts w:ascii="Arial" w:cs="Arial" w:eastAsia="Arial" w:hAnsi="Arial"/>
          <w:sz w:val="18"/>
          <w:szCs w:val="18"/>
          <w:b w:val="1"/>
          <w:bCs w:val="1"/>
          <w:i w:val="1"/>
          <w:iCs w:val="1"/>
          <w:color w:val="auto"/>
        </w:rPr>
        <w:t>We face business disruption and related risks resulting from the recent outbreak of the COVID-19 pandemic, which could have a material adverse effect on our business and results of operations.</w:t>
      </w:r>
    </w:p>
    <w:p>
      <w:pPr>
        <w:spacing w:after="0" w:line="19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December 2019, a novel strain of coronavirus, COVID-19, was identified in Wuhan, China. This virus continues to spread globally and, as of February 2021, has spread to over 200 countries and territories, including Italy and the United States. The spread of COVID-19 from China to other countries has resulted in the World Health Organization declaring the outbreak of COVID-19 as a “pandemic,” or a worldwide spread of a new disease. Many countries around the world have imposed quarantines and restrictions on travel and mass gatherings to slow the spread of the virus. Authorities around the world have and may continue implementing similar restrictions on businesses and individuals in their jurisdictions. While COVID-19 is still spreading and the final implications of the pandemic are difficult to estimate at this stage, it is clear that it has affected the lives of a large portion of the global population, including significant infections in Italy and the United States.</w:t>
      </w:r>
    </w:p>
    <w:p>
      <w:pPr>
        <w:spacing w:after="0" w:line="20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operations and business have experienced disruption due to the unprecedented conditions surrounding the COVID-19 pandemic spreading throughout Italy and the world. There can be no assurance we will be able to enact any remedial measures that will enable us to avoid part or all of any impact from the spread of COVID-19 or its consequences, including downturns in business sentiment generally or in our sector in particular. In addition, the impact of COVID-19 may cause delays to our preclinical studies and future clinical trials, and may make it difficult for us to enroll patients to clinical trials.</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It is not possible at this time to estimate the full impact that the COVID-19 pandemic, the continued spread of COVID-19, and any additional measures taken by governments, health officials or by us in response to such spread, could have on our business, including the timing of our future clinical trials, results of operations and financial condition. The COVID-19 pandemic and mitigation measures have also negatively impacted global economic conditions, which, in turn, could adversely affect our business, including the timing of our future clinical trials, results of operations and financial condition. We continue to monitor our operations and government recommendations. A significant reduction in our workforce and our compliance with instructions imposed by Italian and other European authorities may harm our ability to continue operating our business and materially and adversely affect our operations and financial condition. Therefore, there can be no assurances that we will be able to immediately comply with all government regulations and we may be subject to authorities’ inspections which may result, in case of non-compliance, in the application of sanctions (in the worst case, even the suspension of work activity). Moreover, we cannot foresee whether the Italian or other European authorities or the U.S. federal government will impose further restrictive instructions, which if implemented may lead to significant changes. The spread of COVID-19 may also result in the inability of our suppliers to deliver components or raw materials on a timely basis. The extent to which COVID-19 impacts our business, results of operations and financial condition will depend on future developments, which are highly uncertain and cannot be predicted, including new information which may emerge concerning the severity of COVID-19 and the actions to contain COVID-19 or treat its impact, among others. See “</w:t>
      </w:r>
      <w:r>
        <w:rPr>
          <w:rFonts w:ascii="Arial" w:cs="Arial" w:eastAsia="Arial" w:hAnsi="Arial"/>
          <w:sz w:val="17"/>
          <w:szCs w:val="17"/>
          <w:i w:val="1"/>
          <w:iCs w:val="1"/>
          <w:color w:val="auto"/>
        </w:rPr>
        <w:t>Risks Related to Product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Regulatory Approval and Commercialization – We may find it difficult to enroll patients in our clinical trials. Difficulty in enrolling patients could delay or prevent clinical trials of our product candidates</w:t>
      </w:r>
      <w:r>
        <w:rPr>
          <w:rFonts w:ascii="Arial" w:cs="Arial" w:eastAsia="Arial" w:hAnsi="Arial"/>
          <w:sz w:val="17"/>
          <w:szCs w:val="17"/>
          <w:color w:val="auto"/>
        </w:rPr>
        <w:t>” for additional information.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have a very limited number of employees. If we are successful in executing our business strategy and in order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21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 our clinical trials and the regulatory process effectively;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 our administrative, accounting and management information systems and internal controls;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hire and train additional qualified personnel;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integrate current and additional management, administrative, financial and sales and marketing personnel.</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EMA or of other foreign regulatory authorities, provide accurate information to the FDA, EMA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plan to adopt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7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3" w:lineRule="exact"/>
        <w:rPr>
          <w:sz w:val="20"/>
          <w:szCs w:val="20"/>
          <w:color w:val="auto"/>
        </w:rPr>
      </w:pPr>
    </w:p>
    <w:p>
      <w:pPr>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43" w:lineRule="exact"/>
        <w:rPr>
          <w:rFonts w:ascii="Arial" w:cs="Arial" w:eastAsia="Arial" w:hAnsi="Arial"/>
          <w:sz w:val="18"/>
          <w:szCs w:val="18"/>
          <w:color w:val="auto"/>
        </w:rPr>
      </w:pPr>
    </w:p>
    <w:p>
      <w:pPr>
        <w:ind w:left="660" w:right="38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4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9" w:right="439" w:bottom="1440" w:gutter="0" w:footer="0" w:header="0"/>
        </w:sectPr>
      </w:pPr>
    </w:p>
    <w:bookmarkStart w:id="60" w:name="page61"/>
    <w:bookmarkEnd w:id="60"/>
    <w:p>
      <w:pPr>
        <w:ind w:left="660" w:right="40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ind w:left="660" w:right="140" w:hanging="328"/>
        <w:spacing w:after="0" w:line="25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as amended by the Health Care and Education Reconciliation Act, or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p>
      <w:pPr>
        <w:spacing w:after="0" w:line="147" w:lineRule="exact"/>
        <w:rPr>
          <w:rFonts w:ascii="Arial" w:cs="Arial" w:eastAsia="Arial" w:hAnsi="Arial"/>
          <w:sz w:val="18"/>
          <w:szCs w:val="18"/>
          <w:color w:val="auto"/>
        </w:rPr>
      </w:pPr>
    </w:p>
    <w:p>
      <w:pPr>
        <w:ind w:left="660" w:right="40" w:hanging="328"/>
        <w:spacing w:after="0" w:line="29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25" w:lineRule="exact"/>
        <w:rPr>
          <w:rFonts w:ascii="Arial" w:cs="Arial" w:eastAsia="Arial" w:hAnsi="Arial"/>
          <w:sz w:val="16"/>
          <w:szCs w:val="16"/>
          <w:color w:val="auto"/>
        </w:rPr>
      </w:pPr>
    </w:p>
    <w:p>
      <w:pPr>
        <w:ind w:left="660" w:hanging="328"/>
        <w:spacing w:after="0" w:line="293"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European and other foreign law equivalents of each of the laws, including reporting requirements detailing interactions with and payments to healthcare providers, and the European General Data Protection Regulation, or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and regulatory reform measures may have a material adverse effect on our business and results of operations.</w:t>
      </w:r>
    </w:p>
    <w:p>
      <w:pPr>
        <w:spacing w:after="0" w:line="2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The PPACA is a sweeping measure intended to, among other things, expand healthcare coverage within the United States, primarily through the imposition of health insurance mandates on employers and individuals and expansion of the Medicaid program. Several provisions of the law may affect us and increase certain of our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1" w:name="page62"/>
    <w:bookmarkEnd w:id="61"/>
    <w:p>
      <w:pPr>
        <w:ind w:right="180" w:firstLine="648"/>
        <w:spacing w:after="0" w:line="293" w:lineRule="auto"/>
        <w:rPr>
          <w:sz w:val="20"/>
          <w:szCs w:val="20"/>
          <w:color w:val="auto"/>
        </w:rPr>
      </w:pPr>
      <w:r>
        <w:rPr>
          <w:rFonts w:ascii="Arial" w:cs="Arial" w:eastAsia="Arial" w:hAnsi="Arial"/>
          <w:sz w:val="16"/>
          <w:szCs w:val="16"/>
          <w:color w:val="auto"/>
        </w:rPr>
        <w:t>In addition, other legislative changes have been adopted since the PPACA was enacted. These changes include aggregate reductions in Medicare payments to providers of 2% per fiscal year, which went into effect on April 1, 2013 and, following passage of the Bipartisan Budget Act of 2018, will remain in effect through 2027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spacing w:after="0" w:line="19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anticipate that the PPACA, as well as other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or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22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0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use of any of our product candidates could result in product liability or similar claims that could be expensive, damage our reputation and harm our business.</w:t>
      </w:r>
    </w:p>
    <w:p>
      <w:pPr>
        <w:spacing w:after="0" w:line="19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exposes us to an inherent risk of potential product liability or similar claims. The biotechnology and pharmaceutical industries has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in excess of, or outside of, our insurance coverage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2" w:name="page63"/>
    <w:bookmarkEnd w:id="62"/>
    <w:p>
      <w:pPr>
        <w:ind w:right="12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collaborators or other contractors or consultants, may fail or suffer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number of third-party vendors and other contractors and consultants who have access to our confidential information.</w:t>
      </w:r>
    </w:p>
    <w:p>
      <w:pPr>
        <w:spacing w:after="0" w:line="21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internal information technology systems and those of our current and any future third-party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particularly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spacing w:after="0" w:line="20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or a loss of, or damage to, our data or applications, or those of our third-party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3" w:name="page64"/>
    <w:bookmarkEnd w:id="63"/>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9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Unsuccessful compliance with certain European privacy regulations could have an adverse effect on our business and reputation.</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collection and use of personal health data in the EU is governed, as of May 2018, by the General Data Protection Regulation 2016/679 (GDPR) as implemented by European Data Protection Board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similar to GDPR. With regard to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European Data Protection Board (EDPB) on the correct interpretation and application of GDPR and the ruling activity of the Court of Justice of the European Union (see, for instance, the recent CJEU case C-3111/18, also known as Schremes II which invalidated the EU-US Privacy Shield Framework for transfer of data to United States).</w:t>
      </w:r>
    </w:p>
    <w:p>
      <w:pPr>
        <w:spacing w:after="0" w:line="17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is compliant with most recent legislative changes in European data protection rules, adopting Data Processing Agreements containing Standard Contractual Clauses with all partners based in the United States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ADSs may not develop and you may not be able to resell the ADSs at or above the initial offering price, or at all.</w:t>
      </w:r>
    </w:p>
    <w:p>
      <w:pPr>
        <w:spacing w:after="0" w:line="27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This offering constitutes the initial public offering of the ADSs, and no public market has previously existed for the ADSs. Any delay in the commencement of trading of the ADSs on Nasdaq would impair the liquidity of the market for the ADSs and make it more difficult for holders to sell the ADSs. There can be no assurance that an active trading market for the ADSs will develop or be sustained after this offering is completed. The lack of an active trading market may also reduce the fair market value of the ADSs. The initial offering price was determined by negotiations among the lead underwriters and us. Among the factors considered in determining the initial public offering price were our future prospects and the prospects of our industry in general, our revenue, net income and certain other financial and operating information in recent periods, and the market prices of securities and certain financial and operating information of companies engaged in activities similar to ours. However, there can be no assurance that, following the completion of this offering, the ADSs will trade at a price equal to or greater than the initial public offering price.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as to the use of the net proceeds from this offering and may not use the proceeds effectively.</w:t>
      </w:r>
    </w:p>
    <w:p>
      <w:pPr>
        <w:spacing w:after="0" w:line="26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currently intend to use the net proceeds of this offering for working capital and general corporate purposes, possible in licensing of additional intellectual property and product candidates, and next generation product development. See “Use of Proceeds.”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If you purchase the ADSs in this offering, you will incur immediate and substantial dilution in the book value of the ADSs.</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Because the price per ADS being offered is substantially higher than our net tangible book value per ADS, you will suffer substantial dilution in the net tangible book value of any ADSs you purchase in this offering. After giving effect to the sale by us of ADSs in this offering, based on an assumed public offering price of $ per ADS, the midpoint of the estimated price range set forth on the cover page of this prospectus, and after deducting underwriting discounts and commissions and offering expenses payable by us, our as adjusted net tangible book value of the ADSs would be approximately</w:t>
      </w:r>
    </w:p>
    <w:p>
      <w:pPr>
        <w:spacing w:after="0" w:line="1" w:lineRule="exact"/>
        <w:rPr>
          <w:sz w:val="20"/>
          <w:szCs w:val="20"/>
          <w:color w:val="auto"/>
        </w:rPr>
      </w:pPr>
    </w:p>
    <w:p>
      <w:pPr>
        <w:ind w:right="160" w:firstLine="8"/>
        <w:spacing w:after="0" w:line="302" w:lineRule="auto"/>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million, or approximately $ per ADS, as of December 31, 2020. If you purchase ADSs in this offering, you will suffer immediate and substantial dilution of our as adjusted net tangible book value of approximately $ per ADS. As a result of this dilution, investors purchasing shares in this offering may receive significantly less than the purchase price paid in this offering in the event of liquidation. See “Dilution” for additional information.</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 representing a substantial percentage of our outstanding ordinary shares may be sold in this offering, which could cause the price of the ADSs to decline.</w:t>
      </w:r>
    </w:p>
    <w:p>
      <w:pPr>
        <w:spacing w:after="0" w:line="197" w:lineRule="exact"/>
        <w:rPr>
          <w:sz w:val="20"/>
          <w:szCs w:val="20"/>
          <w:color w:val="auto"/>
        </w:rPr>
      </w:pPr>
    </w:p>
    <w:p>
      <w:pPr>
        <w:ind w:left="660"/>
        <w:spacing w:after="0"/>
        <w:tabs>
          <w:tab w:leader="none" w:pos="4760" w:val="left"/>
          <w:tab w:leader="none" w:pos="7540" w:val="left"/>
        </w:tabs>
        <w:rPr>
          <w:sz w:val="20"/>
          <w:szCs w:val="20"/>
          <w:color w:val="auto"/>
        </w:rPr>
      </w:pPr>
      <w:r>
        <w:rPr>
          <w:rFonts w:ascii="Arial" w:cs="Arial" w:eastAsia="Arial" w:hAnsi="Arial"/>
          <w:sz w:val="18"/>
          <w:szCs w:val="18"/>
          <w:color w:val="auto"/>
        </w:rPr>
        <w:t>We may sell in this offering ADSs representing</w:t>
      </w:r>
      <w:r>
        <w:rPr>
          <w:sz w:val="20"/>
          <w:szCs w:val="20"/>
          <w:color w:val="auto"/>
        </w:rPr>
        <w:tab/>
      </w:r>
      <w:r>
        <w:rPr>
          <w:rFonts w:ascii="Arial" w:cs="Arial" w:eastAsia="Arial" w:hAnsi="Arial"/>
          <w:sz w:val="18"/>
          <w:szCs w:val="18"/>
          <w:color w:val="auto"/>
        </w:rPr>
        <w:t>ordinary shares, or approximately</w:t>
      </w:r>
      <w:r>
        <w:rPr>
          <w:sz w:val="20"/>
          <w:szCs w:val="20"/>
          <w:color w:val="auto"/>
        </w:rPr>
        <w:tab/>
      </w:r>
      <w:r>
        <w:rPr>
          <w:rFonts w:ascii="Arial" w:cs="Arial" w:eastAsia="Arial" w:hAnsi="Arial"/>
          <w:sz w:val="16"/>
          <w:szCs w:val="16"/>
          <w:color w:val="auto"/>
        </w:rPr>
        <w:t>%, of our outstanding ordinary shares as of</w:t>
      </w:r>
    </w:p>
    <w:p>
      <w:pPr>
        <w:spacing w:after="0" w:line="23" w:lineRule="exact"/>
        <w:rPr>
          <w:sz w:val="20"/>
          <w:szCs w:val="20"/>
          <w:color w:val="auto"/>
        </w:rPr>
      </w:pPr>
    </w:p>
    <w:p>
      <w:pPr>
        <w:ind w:right="20" w:firstLine="728"/>
        <w:spacing w:after="0" w:line="287" w:lineRule="auto"/>
        <w:tabs>
          <w:tab w:leader="none" w:pos="8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2021. This sale and any future sales of a substantial number of ADSs in the public market, or the perception that such sales may occur, could materially adversely affect the price of the ADSs. We cannot predict the effect, if any, that market sales of those ADSs or the availability of those ADSs for sale will have on the market price of the ADSs. While the ADSs sold to non-affiliates in this offering will be freely tradable in the public market, substantially all of the securities owned prior to this offering or purchased in this offering by our existing shareholders are expected to be subject to lock-up agreements with the underwriters that restrict the ability of these shareholders to transfer our securities held by them for at least six months from the date of this prospectus. These outstanding securities that are subject to lock-up agreements are expected to become eligible for unrestricted sale upon expiration of the lock-up period. In addition, securities issued or issuable upon exercise of options and warrants vested as of the expiration of the lock-up period will be eligible for sale at that time. Sales of securities by these shareholders could have a material adverse effect on the trading price of the ADSs.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know what the trading price of the ADSs will be following this offering and as a result it may be difficult for you to sell the ADSs.</w:t>
      </w:r>
    </w:p>
    <w:p>
      <w:pPr>
        <w:spacing w:after="0" w:line="2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trading price of the ADSs is likely to be volatile. The following factors, in addition to other risk factors described in this section, may have a significant impact on the market price of the ADSs:</w:t>
      </w:r>
    </w:p>
    <w:p>
      <w:pPr>
        <w:spacing w:after="0" w:line="19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results or delays in pre- and non-clinical studies or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inability to obtain the approvals necessary to commence clinical trials;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unsatisfactory results of clinical trials;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of regulatory approval or the failure to obtain it, or specific label indications or patient populations for its use, or changes or delays in the regulatory review process;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5" w:name="page66"/>
    <w:bookmarkEnd w:id="65"/>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adverse actions taken by regulatory authorities with respect to our clinical trials, manufacturing supply chain or sales and marketing activities;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the treatment of cancer tumors, or any other indication that we may seek to develop;</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adverse changes to our relationship with manufacturers or suppliers;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concerning our competitors or the biotechnology and pharmaceutical industries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 or our failure to meet expectations;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commencement of, or involvement in, litigation;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recruit and retain qualified regulatory, research and development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legislation in the United States relating to the sale or pricing of biotechnology or gene therapy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depth of the trading market in the ADSs;</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termination of the lock-up agreements or other restrictions limiting our ability or that of any of our existing shareholders to sell our securities (or any other securities that we may issue, if any) after this offering;</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 interruptions resulting from a local or worldwide pandemic, such as COVID-19, geopolitical actions, including war and terrorism, or natural disasters;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granting or exercise of employee stock options or other equity awards;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investors’ and securities analysts’ perception of the business risks and conditions of our business.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66" w:name="page67"/>
    <w:bookmarkEnd w:id="66"/>
    <w:p>
      <w:pPr>
        <w:ind w:right="180"/>
        <w:spacing w:after="0" w:line="263" w:lineRule="auto"/>
        <w:rPr>
          <w:sz w:val="20"/>
          <w:szCs w:val="20"/>
          <w:color w:val="auto"/>
        </w:rPr>
      </w:pPr>
      <w:r>
        <w:rPr>
          <w:rFonts w:ascii="Arial" w:cs="Arial" w:eastAsia="Arial" w:hAnsi="Arial"/>
          <w:sz w:val="18"/>
          <w:szCs w:val="18"/>
          <w:b w:val="1"/>
          <w:bCs w:val="1"/>
          <w:i w:val="1"/>
          <w:iCs w:val="1"/>
          <w:color w:val="auto"/>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Depositary for the ADSs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must act through the Depositary to exercise voting rights relating to the ordinary shares.</w:t>
      </w:r>
    </w:p>
    <w:p>
      <w:pPr>
        <w:spacing w:after="0" w:line="25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Holders of the ADSs do not have the same rights of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augur less favorable results to the plaintiff(s) in any such action.</w:t>
      </w:r>
    </w:p>
    <w:p>
      <w:pPr>
        <w:spacing w:after="0" w:line="197"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The deposit agreement governing the ADSs representing our shares provides that owners and holders of ADSs, including those who purchase the ADSs in a secondary transaction, irrevocably waive the right to a trial by jury in any legal proceeding arising out of or relating to the deposit agreement, our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shares or the ADSs or the transactions contemplated thereby. No condition, stipulation or provision of the deposit agreement or ADSs serves as a waiver by any owner or holder of ADSs or by us or the depositary of compliance with any provision of the federal securities laws. If you or any other owner or holder of ADSs brings a claim against us or the depositary in connection with matters arising under the deposit agreement, our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7" w:name="page68"/>
    <w:bookmarkEnd w:id="67"/>
    <w:p>
      <w:pPr>
        <w:jc w:val="both"/>
        <w:ind w:right="520"/>
        <w:spacing w:after="0" w:line="31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if our remediation of the material weaknesses is not effective or if we identify additional material weaknesses in the future, we may not be able to accurately or timely report our financial results, or prevent fraud, and investor confidence in our Company and the market price of our shares may be adversely affected.</w:t>
      </w:r>
    </w:p>
    <w:p>
      <w:pPr>
        <w:spacing w:after="0" w:line="176"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Section 404 of the Sarbanes-Oxley Act requires that we evaluate and determine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19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To date, we have had limited financial and accounting personnel, which has resulted in a limited segregation of duties to fully execute our accounting processes and address our internal control over financial reporting. In connection with the audits of our financial statements as of and for the years ended December 31, 2020 and 2019, we identified certain material weaknesses in our internal control over financial reporting, including but not limited to our lack of adequate staff to: (i) process financial information in a timely manner; (ii) analyze and account for complex, non-routine transactions</w:t>
      </w:r>
    </w:p>
    <w:p>
      <w:pPr>
        <w:spacing w:after="0" w:line="1" w:lineRule="exact"/>
        <w:rPr>
          <w:sz w:val="20"/>
          <w:szCs w:val="20"/>
          <w:color w:val="auto"/>
        </w:rPr>
      </w:pPr>
    </w:p>
    <w:p>
      <w:pPr>
        <w:ind w:right="60" w:firstLine="8"/>
        <w:spacing w:after="0" w:line="260" w:lineRule="auto"/>
        <w:tabs>
          <w:tab w:leader="none" w:pos="1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including those subject to our critical accounting policies; and, (iii) maintain adequate segregation of duties; and, the lack of documentation related to our internal control over financial reporting including our policy over related party relationships and transactions.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plan to take steps to address the internal control deficiencies that contributed to the material weaknesses, including the following:</w:t>
      </w:r>
    </w:p>
    <w:p>
      <w:pPr>
        <w:spacing w:after="0" w:line="264" w:lineRule="exact"/>
        <w:rPr>
          <w:sz w:val="20"/>
          <w:szCs w:val="20"/>
          <w:color w:val="auto"/>
        </w:rPr>
      </w:pPr>
    </w:p>
    <w:p>
      <w:pPr>
        <w:ind w:left="660" w:right="4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hiring of additional finance and accounting personnel with prior experience working for finance departments and technical accounting experience, supplemented by third-party resources;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documenting and formally assessing our accounting and financial reporting policies and procedures; and</w:t>
      </w:r>
    </w:p>
    <w:p>
      <w:pPr>
        <w:spacing w:after="0" w:line="184"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increasing the use of third-party consultants in assessing significant accounting transactions and other technical accounting and financial reporting issues, preparing accounting memoranda addressing these issues and maintaining these memoranda in our corporate records.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While we believe that these efforts will improve our internal control over financial reporting, the implementation of these measures is ongoing and will require validation and testing of the design and operating effectiveness of internal controls over a sustained period of financial reporting cycles. 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these deficiencies or others could result in a misstatement of our accounts or disclosures that would result in a material misstatement of our financial statements that would not be prevented or detected on a timely basis.</w:t>
      </w:r>
    </w:p>
    <w:p>
      <w:pPr>
        <w:spacing w:after="0" w:line="20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and independent registered public accounting firm did not perform an evaluation of our internal control over financial reporting during any period in accordance with the provisions of the Sarbanes-Oxley Act. Had we and our independent registered public accounting firm performed an evaluation of our internal control over financial reporting in accordance with the provisions of the Sarbanes-Oxley Act, additional control deficiencies amounting to material weaknesses may have been identified. If we identify new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5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Our Chief Executive Officer, directors and shareholders who own more than 5% of our outstanding ordinary shares before this offering currently own approximately 42.40% of our outstanding ordinary shares and will own approximately % of our ordinary shares upon the completion of this offering. They will therefore be able to exert significant control over matters submitted to our shareholders for approval.</w:t>
      </w:r>
    </w:p>
    <w:p>
      <w:pPr>
        <w:spacing w:after="0" w:line="17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 of our ordinary shares (assuming no exercise of the underwriters’ over-allotment option). This significant concentration of share ownership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ordinary shares due to investors’ perception that conflicts of interest may exist or arise.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the ADSs could have adverse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consequences.</w:t>
      </w:r>
    </w:p>
    <w:p>
      <w:pPr>
        <w:spacing w:after="0" w:line="23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general, we will be treated as a passive foreign investment company, or a PFIC, for U.S. federal income tax purposes in any taxable year in which either (1)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If we are a PFIC in any taxable year during which a U.S. taxpayer holds the ADSs, such U.S. taxpayer would be subject to certain adverse U.S. federal income tax rules. In particular, if the U.S. taxpayer did not make an election to treat us as a “qualified electing fund,” or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if the U.S. Internal Revenue Service, or the IRS, determines that we are a PFIC for a year with respect to which we have determined that we were not a PFIC, it may be too late for a U.S. taxpayer to make a timely QEF or mark-to-market election. U.S. taxpayers that have held the ADSs during a period when we were a PFIC will be subject to the foregoing rules, even if we cease to be a PFIC in subsequent years, subject to exceptions for U.S. taxpayer who made a timely QEF or mark-to-market election. A U.S. taxpayer can make a QEF election by completing the relevant portions of and filing IRS Form 8621 in accordance with the instructions thereto.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“Taxation —U.S. Federal Income Tax Consequences—Passive Foreign Investment Companies” for additional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69" w:name="page70"/>
    <w:bookmarkEnd w:id="69"/>
    <w:p>
      <w:pPr>
        <w:ind w:right="120"/>
        <w:spacing w:after="0" w:line="381" w:lineRule="auto"/>
        <w:rPr>
          <w:sz w:val="20"/>
          <w:szCs w:val="20"/>
          <w:color w:val="auto"/>
        </w:rPr>
      </w:pPr>
      <w:r>
        <w:rPr>
          <w:rFonts w:ascii="Arial" w:cs="Arial" w:eastAsia="Arial" w:hAnsi="Arial"/>
          <w:sz w:val="15"/>
          <w:szCs w:val="15"/>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spacing w:after="0" w:line="12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trading market for the ADSs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spacing w:after="0" w:line="2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not paid, and do not intend to pay, dividends on our ordinary shares and, therefore, unless our traded securities appreciate in value, our investors may not benefit from holding our securities.</w:t>
      </w:r>
    </w:p>
    <w:p>
      <w:pPr>
        <w:spacing w:after="0" w:line="19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In particular,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associated with being a public company will require significant company resources and management attention.</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Following this offering, we will become subject to the reporting requirements of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0" w:name="page71"/>
    <w:bookmarkEnd w:id="70"/>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97" w:lineRule="exact"/>
        <w:rPr>
          <w:sz w:val="20"/>
          <w:szCs w:val="20"/>
          <w:color w:val="auto"/>
        </w:rPr>
      </w:pPr>
    </w:p>
    <w:p>
      <w:pPr>
        <w:ind w:left="660" w:right="38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provisions of the Sarbanes-Oxley Act requiring that our independent registered public accounting firm provide an attestation report on the effectiveness of our internal control over financial reporting;</w:t>
      </w:r>
    </w:p>
    <w:p>
      <w:pPr>
        <w:spacing w:after="0" w:line="129" w:lineRule="exact"/>
        <w:rPr>
          <w:rFonts w:ascii="Arial" w:cs="Arial" w:eastAsia="Arial" w:hAnsi="Arial"/>
          <w:sz w:val="18"/>
          <w:szCs w:val="18"/>
          <w:color w:val="auto"/>
        </w:rPr>
      </w:pPr>
    </w:p>
    <w:p>
      <w:pPr>
        <w:ind w:left="660" w:right="160" w:hanging="328"/>
        <w:spacing w:after="0" w:line="25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 As a result of this election, our financial statements may not be comparable to companies that comply with the public company effective date;</w:t>
      </w:r>
    </w:p>
    <w:p>
      <w:pPr>
        <w:spacing w:after="0" w:line="14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rules that may be adopted by the Public Company Accounting Oversight Board requiring mandatory audit firm rotation or a supplement to the auditor’s report on the financial statements;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furnish two rather than three years of income statements and statements of cash flows in various required filings.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intend to take advantage of these exemptions until we are no longer an “emerging growth company.” We will remain an emerging growth company until the earlier of (1) the last day of the fiscal year (a) following the fifth anniversary of the date of the completion of this offering, (b) in which we have total annual gross revenue of at least $1.07 billion, or (c) in which we are deemed to be a large accelerated filer, as defined in the rule under the Exchange Act, and (2) the date on which we have issued more than $1.0 billion in non-convertible debt during the prior three-year period.</w:t>
      </w:r>
    </w:p>
    <w:p>
      <w:pPr>
        <w:spacing w:after="0" w:line="18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spacing w:after="0" w:line="151"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status as a foreign private issuer exempts us from compliance with certain SEC laws and regulations and certain regulations of the Nasdaq Stock Market, including the proxy rules, the short-swing profits recapture rules, and certain governance requirements such as independent director oversight of the nomination of directors and executive compensation. In addition, we will not be required under the Exchange Act to file current reports and financial statements with the SEC as frequently or as promptly as U.S. domestic companies whose securities are registered under the Exchange Act and we will generally be exempt from filing quarterly reports with the SEC. Furthermore, as a foreign private issuer, we are also not subject to the requirements of Regulation FD (Fair Disclosure) promulgated under the Exchange Act. These exemptions and leniencies will reduce the frequency and scope of information and protections to which you are entitled as an investor. See “Management – Differences between Italian Laws and Nasdaq Requirements” for additional information.</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21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although we are a foreign private issuer and have opted into following our home country rules, which are the laws of the Italy, in lieu of following certain Nasdaq Listing Rules, we are still required to have an audit committee that satisfies Nasdaq Listing Rule 5605(c)(3) and ensure that such audit committee members meet the independence requirement in Nasdaq Listing Rule 5605(c)(2)(A)(ii), provided, however, that in light of Nasdaq Listing Rule 5615(b)(1), we have up to one year from the date of our listing to have an audit committee and members who meet such requirements.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Italy and this may increase the aggregate tax burden on us.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United States,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As a consequence,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84"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Italian Law and Our Operations in Italy</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Italian corporation. The rights of our shareholders may be different from the rights of shareholders in companies governed by the laws of U.S. jurisdictions.</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The individual shareholder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 See “Share Capital Description and Reference Documents” and “Comparison between Delaware Law and Italian Law”.</w:t>
      </w:r>
    </w:p>
    <w:p>
      <w:pPr>
        <w:spacing w:after="0" w:line="19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the ADSs will be listed exclusively on Nasdaq and not in Italy’s stock exchange, our shareholders will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of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will be listed exclusively on Nasdaq, will not be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72" w:name="page73"/>
    <w:bookmarkEnd w:id="72"/>
    <w:p>
      <w:pPr>
        <w:ind w:right="280"/>
        <w:spacing w:after="0" w:line="308" w:lineRule="auto"/>
        <w:rPr>
          <w:sz w:val="20"/>
          <w:szCs w:val="20"/>
          <w:color w:val="auto"/>
        </w:rPr>
      </w:pPr>
      <w:r>
        <w:rPr>
          <w:rFonts w:ascii="Arial" w:cs="Arial" w:eastAsia="Arial" w:hAnsi="Arial"/>
          <w:sz w:val="17"/>
          <w:szCs w:val="17"/>
          <w:b w:val="1"/>
          <w:bCs w:val="1"/>
          <w:i w:val="1"/>
          <w:iCs w:val="1"/>
          <w:color w:val="auto"/>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spacing w:after="0" w:line="17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incorporated under the laws of the Republic of Italy. The principal laws and regulations that apply to our operations, those of Italy and the European Union, are different from those of the United States. With some exceptions, in order to issue new equity or debt securities convertible into equity, we must increase our authorized capital. In order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is in compliance with our bylaws and with applicable Italian law. Further, under Italian law, our existing shareholders and any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would need to meet again to re-delegate this authority.</w:t>
      </w:r>
    </w:p>
    <w:p>
      <w:pPr>
        <w:spacing w:after="0" w:line="20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spacing w:after="0" w:line="193"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spacing w:after="0" w:line="12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2020, the sum of our capital, legal reserves and other reserves on our unaudited Italian GAAP financial statements was € 18.3 million.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auto"/>
        </w:rPr>
        <w:t>If we suffer losses that reduce our capital to less than €50,000, we would need to recapitalize, change our form of entity or be liquidated.</w:t>
      </w:r>
    </w:p>
    <w:p>
      <w:pPr>
        <w:spacing w:after="0" w:line="26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Italian law requires us to reduce our shareholders’ equity and, in particular, our capital, to reflect on-going losses, in certain cases of losses exceeding 1/3 of the capital of the company. Also, as an S.p.A., we are also required to maintain a minimum capital of €50,000. At December 31, 2020, our Italian GAAP capital was €37,056; however, in May 2021, it was increased to €50,000 due to the exercise of options on €715 Quota B plus a quotaholder action at a special meeting which converted the Company from an S.r.l. to an S.p.A. and increased the share capital.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apply our operational losses against our legal reserves and capital. If our capital is reduced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labor laws could impair our flexibility to restructure our business.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 In addition, due to COVID-19 emergency, various government decrees have introduced a specific ban on dismissals for objective reasons and collective dismissal procedures. These laws and the collective bargaining agreements to which we are subject could impair our flexibility if we need to restructure our business.</w:t>
      </w:r>
    </w:p>
    <w:p>
      <w:pPr>
        <w:spacing w:after="0" w:line="20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Purchasers of our Ordinary Shares and ADSs may be exposed to increased transaction costs as a result of the Italian financial transaction tax or the proposed European financial transaction tax.</w:t>
      </w:r>
    </w:p>
    <w:p>
      <w:pPr>
        <w:spacing w:after="0" w:line="19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spacing w:after="0" w:line="22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of starting the relevant procedures to be included in such list by the end of 2020. For so long as the Company is not included in such list, investors in the Ordinary Shares and ADSs may be exposed to increased transaction costs. See “Taxation.”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4" w:name="page75"/>
    <w:bookmarkEnd w:id="74"/>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Some of the statements made under “Prospectus Summary,” “Risk Factors,” “Use of Proceeds,” “Management’s Discussion and Analysis of Financial Condition and Results of Operations,” “Business” and elsewhere in this prospectus constitute forward- 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52" w:lineRule="exact"/>
        <w:rPr>
          <w:sz w:val="20"/>
          <w:szCs w:val="20"/>
          <w:color w:val="auto"/>
        </w:rPr>
      </w:pPr>
    </w:p>
    <w:p>
      <w:pPr>
        <w:ind w:left="660" w:right="8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interactions with the regulatory bodies, key opinion leaders and partnering clinical centers that may result in changes to clinical trials and manufacturing programs;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scope of protection we and/or our licensors are able to establish and maintain for intellectual property rights covering our product candidates;</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15" w:right="479" w:bottom="1440" w:gutter="0" w:footer="0" w:header="0"/>
        </w:sectPr>
      </w:pPr>
    </w:p>
    <w:bookmarkStart w:id="75" w:name="page76"/>
    <w:bookmarkEnd w:id="75"/>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management team to lead the development of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expectations regarding the impact of the COVID-19 pandemic, including on our planned clinical trials, operations and financial position.</w:t>
      </w:r>
    </w:p>
    <w:p>
      <w:pPr>
        <w:spacing w:after="0" w:line="26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We estimate that the net proceeds to us in this offering will be $__ million, after deducting the estimated underwriting discounts, estimated advisory fees and estimated offering expenses payable by us, based on an assumed public offering price of $___ per ADS and assuming _____ ordinary</w:t>
      </w:r>
    </w:p>
    <w:p>
      <w:pPr>
        <w:ind w:right="160"/>
        <w:spacing w:after="0" w:line="323" w:lineRule="auto"/>
        <w:rPr>
          <w:sz w:val="20"/>
          <w:szCs w:val="20"/>
          <w:color w:val="auto"/>
        </w:rPr>
      </w:pPr>
      <w:r>
        <w:rPr>
          <w:rFonts w:ascii="Arial" w:cs="Arial" w:eastAsia="Arial" w:hAnsi="Arial"/>
          <w:sz w:val="16"/>
          <w:szCs w:val="16"/>
          <w:color w:val="auto"/>
        </w:rPr>
        <w:t>shares are sold in the Reserved Offering. If the underwriters exercise their option to purchase additional ADSs in full, we estimate that the net proceeds to us from this offering will be $__ million, after deducting the estimated underwriting discounts and estimated offering expenses payable by us.</w:t>
      </w:r>
    </w:p>
    <w:p>
      <w:pPr>
        <w:spacing w:after="0" w:line="13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We currently expect that we will use the net proceeds from this offering, together with our existing cash and cash equivalents, as follows:</w:t>
      </w:r>
    </w:p>
    <w:p>
      <w:pPr>
        <w:spacing w:after="0" w:line="225" w:lineRule="exact"/>
        <w:rPr>
          <w:sz w:val="20"/>
          <w:szCs w:val="20"/>
          <w:color w:val="auto"/>
        </w:rPr>
      </w:pPr>
    </w:p>
    <w:p>
      <w:pPr>
        <w:ind w:left="660" w:right="4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$5.3 million to complete our current Temferon TEM-GBM 001 trial, which is expected to treat its last patient in the third quarter of 2022, and has been designed to establish clinical proof of concept and determine a therapeutic dosage of Temferon that is safe and well tolerated for patients in order to advance our GBM clinical program to Phase 2;</w:t>
      </w:r>
    </w:p>
    <w:p>
      <w:pPr>
        <w:spacing w:after="0" w:line="183"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$0.6 million to support long-term monitoring of the patients in the Temferon TEM-GBM 001 trial required by applicable regulations, which is expected to run through 2029;</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$1.0 million to fund preclinical research performed in the laboratories of our founders, Professor Naldini and Dr. Gentner at OSR. The aims of the research programs include the development of Temferon across a broad range of cancer indications, second generation switchable Temferon, additional payloads and combination therapies. We have exclusive licensing options extending over the scope of supported research pursuant to existing arrangements;</w:t>
      </w:r>
    </w:p>
    <w:p>
      <w:pPr>
        <w:spacing w:after="0" w:line="186" w:lineRule="exact"/>
        <w:rPr>
          <w:rFonts w:ascii="Arial" w:cs="Arial" w:eastAsia="Arial" w:hAnsi="Arial"/>
          <w:sz w:val="18"/>
          <w:szCs w:val="18"/>
          <w:color w:val="auto"/>
        </w:rPr>
      </w:pPr>
    </w:p>
    <w:p>
      <w:pPr>
        <w:ind w:left="660" w:right="22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$11.2 million to conduct an Italian clinical Phase 2 synthetic controlled study of Temferon in approximately thirty (30) uMGMT-GBM patients expected to take place from early 2023 to late 2025, with the objectives of safety, tolerability and efficacy of a single dose compared to matched patients in the synthetic arm receiving standard of care. The results of this study could help us develop an adaptive study design for the registration of Temferon in newly diagnosed GBM patients;</w:t>
      </w:r>
    </w:p>
    <w:p>
      <w:pPr>
        <w:spacing w:after="0" w:line="18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approximately $7.2 million to fund Temferon manufacturing activities for the Phase 2 trial, including LVV manufacturing, stability and process scalability studies and technology transfer activities;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remainder to fund ongoing business development activities, general and administrative expenses, the costs of operating as a public company, working capital, and other general corporate purposes.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envision the future development of Temferon for the treatment of other solid tumor indications and we have already identified locally advanced hepatocellular carcinoma (HCC) and intra-hepatic cholangiocarcinoma (ICC) as appropriate additional target indications; however, the funding of this future development is not expected to be covered by the net proceeds we will receive from this offering. We expect additional capital would need to be raised, either through additional equity financings through future offerings of the Company’s ADSs, a strategic funding event or an alternative funding strategy to begin work on these other solid tumor indications.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7" w:name="page78"/>
    <w:bookmarkEnd w:id="77"/>
    <w:p>
      <w:pPr>
        <w:ind w:right="20" w:firstLine="648"/>
        <w:spacing w:after="0" w:line="272" w:lineRule="auto"/>
        <w:rPr>
          <w:sz w:val="20"/>
          <w:szCs w:val="20"/>
          <w:color w:val="auto"/>
        </w:rPr>
      </w:pPr>
      <w:r>
        <w:rPr>
          <w:rFonts w:ascii="Arial" w:cs="Arial" w:eastAsia="Arial" w:hAnsi="Arial"/>
          <w:sz w:val="17"/>
          <w:szCs w:val="17"/>
          <w:color w:val="auto"/>
        </w:rPr>
        <w:t>It is difficult to predict the cost and timing required to complete such trials due to, among other factors; the final study design, the timeline for regulatory agency approval, the rate of enrollment of patients, and/or the timing and costs of manufacturing and supplying our product candidates for our planned trials. Furthermore, we estimated our budget for European clinical trial activities currently planned by referencing the rates we are paying to sites and third-party vendors involved in our ongoing programs in Italy, and subsequently applying an adjustment to those rates. Our estimated rates may change as a result of discussions with regulatory bodies, key opinion leaders and partnering clinical centers. We may also use a portion of the net proceeds to in-license, acquire or invest in additional businesses, technologies, products and/or assets. Therefore, we cannot predict with certainty all of the particular uses of the net proceeds from the offering or the actual amounts that we will spend on the uses set forth above.</w:t>
      </w:r>
    </w:p>
    <w:p>
      <w:pPr>
        <w:spacing w:after="0" w:line="17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a result, we believe that the expected net proceeds from this offering, together with our existing cash and cash equivalents, will be sufficient to enable us to fund the development of Temferon through Phase 2 and our other operating expenses until 2025. While we have based this estimate on assumptions that we believe to be reasonable, there can be no assurance that those assumptions will not be proven wrong by future events, including the ongoing effects of the COVID 19 pandemic and related issues. Therefore we could deplete our available capital resources more quickly than we currently expect.</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may invest or raise additional capital to begin a new Temferon clinical program in a second solid tumor indication. We cannot predict with certainty all of the particular uses for the net proceeds to be received upon the closing of this offering or the amounts that we will actually spend on the uses set forth above. Predicting the cost necessary to develop product candidates can be difficult and the amounts and timing of our actual expenditures may vary significantly depending on numerous factors, many of which are beyond our control, including the progress of our development, the status of and results from clinical trials, the availability of manufacturing capabilities, any collaborations that we may enter into with third parties for our product candidates and any unforeseen cash needs. As a result, although we currently intend to focus on the development of Temferon in uMGMT-GBM in a clinical Phase 2 trial to be performed in Italy, we will retain broad discretion over the allocation of the net proceeds from this offering.</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Pending our use of the net proceeds from this offering, we may invest the net proceeds in a variety of capital preservation investments, including short-term, investment grade, and interest-bearing instruments and government securities.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shareholders, upon proposal by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Italian law, Italian companies are required to furnish certain information to the Italian tax authorities regarding the identity of non-resident shareholders in connection with the payment of dividends. Shareholders are required to provide their Italian tax identification number, if any, or alternatively, in the case of legal entities, their name, country of establishment and address, or in the case of individuals, their name, address and place and date of birth, or in the case of partnerships, the information required for individuals with respect to one of their representatives. Payment of dividends may be subject to Italian withholding taxes. See “Taxation—Italy Tax Considerations” for additional information. However, beneficial U.S. holders are entitled to a reduction of the withholding taxes applicable to dividends paid to them under the income tax convention for the avoidance of double taxation between the United States and Italy, which was signed on August 25, 1999 and went into effect on December 16, 2009 (the “Income Tax Convention”); provided, however, that conditions set out in the Income Tax Convention are met and subject to the applicable anti-avoidance provisions contained therein. In order for you to benefit from that reduction, we are required to furnish certain information about you to the Italian tax authorities and, therefore, any claim by you for those benefits would need to be accompanied by the required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2021:</w:t>
      </w:r>
    </w:p>
    <w:p>
      <w:pPr>
        <w:spacing w:after="0" w:line="25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on an actual basis;</w:t>
      </w:r>
    </w:p>
    <w:p>
      <w:pPr>
        <w:spacing w:after="0" w:line="185" w:lineRule="exact"/>
        <w:rPr>
          <w:sz w:val="20"/>
          <w:szCs w:val="20"/>
          <w:color w:val="auto"/>
        </w:rPr>
      </w:pPr>
    </w:p>
    <w:p>
      <w:pPr>
        <w:ind w:left="340"/>
        <w:spacing w:after="0"/>
        <w:tabs>
          <w:tab w:leader="none" w:pos="640" w:val="left"/>
          <w:tab w:leader="none" w:pos="5460" w:val="left"/>
          <w:tab w:leader="none" w:pos="10580" w:val="left"/>
        </w:tabs>
        <w:rPr>
          <w:sz w:val="20"/>
          <w:szCs w:val="20"/>
          <w:color w:val="auto"/>
        </w:rPr>
      </w:pPr>
      <w:r>
        <w:rPr>
          <w:rFonts w:ascii="Arial" w:cs="Arial" w:eastAsia="Arial" w:hAnsi="Arial"/>
          <w:sz w:val="18"/>
          <w:szCs w:val="18"/>
          <w:color w:val="auto"/>
        </w:rPr>
        <w:t>●</w:t>
        <w:tab/>
        <w:t>on an as adjusted basis to give effect to the issuance and sale of</w:t>
        <w:tab/>
        <w:t>ADSs in this offering at an assumed public offering price of $</w:t>
      </w:r>
      <w:r>
        <w:rPr>
          <w:sz w:val="20"/>
          <w:szCs w:val="20"/>
          <w:color w:val="auto"/>
        </w:rPr>
        <w:tab/>
      </w:r>
      <w:r>
        <w:rPr>
          <w:rFonts w:ascii="Arial" w:cs="Arial" w:eastAsia="Arial" w:hAnsi="Arial"/>
          <w:sz w:val="15"/>
          <w:szCs w:val="15"/>
          <w:color w:val="auto"/>
        </w:rPr>
        <w:t>per</w:t>
      </w:r>
    </w:p>
    <w:p>
      <w:pPr>
        <w:spacing w:after="0" w:line="23"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ADS, the midpoint of the estimated price range set forth on the cover page of this prospectus, after deducting estimated underwriting discounts and commissions and estimated offering expenses payable by us, and to the application of the net proceeds as described in “Use of Proceeds,” as if the sale of the ADSs had occurred on June 30, 2021.</w:t>
      </w:r>
    </w:p>
    <w:p>
      <w:pPr>
        <w:spacing w:after="0" w:line="21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public offering price and other terms of this offering determined at pricing.</w:t>
      </w:r>
    </w:p>
    <w:p>
      <w:pPr>
        <w:spacing w:after="0" w:line="197"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3"/>
          </w:tcPr>
          <w:p>
            <w:pPr>
              <w:jc w:val="center"/>
              <w:ind w:left="1015"/>
              <w:spacing w:after="0"/>
              <w:rPr>
                <w:sz w:val="20"/>
                <w:szCs w:val="20"/>
                <w:color w:val="auto"/>
              </w:rPr>
            </w:pPr>
            <w:r>
              <w:rPr>
                <w:rFonts w:ascii="Arial" w:cs="Arial" w:eastAsia="Arial" w:hAnsi="Arial"/>
                <w:sz w:val="14"/>
                <w:szCs w:val="14"/>
                <w:b w:val="1"/>
                <w:bCs w:val="1"/>
                <w:color w:val="auto"/>
                <w:w w:val="85"/>
              </w:rPr>
              <w:t>As of</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15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1015"/>
              <w:spacing w:after="0"/>
              <w:rPr>
                <w:sz w:val="20"/>
                <w:szCs w:val="20"/>
                <w:color w:val="auto"/>
              </w:rPr>
            </w:pPr>
            <w:r>
              <w:rPr>
                <w:rFonts w:ascii="Arial" w:cs="Arial" w:eastAsia="Arial" w:hAnsi="Arial"/>
                <w:sz w:val="18"/>
                <w:szCs w:val="18"/>
                <w:b w:val="1"/>
                <w:bCs w:val="1"/>
                <w:color w:val="auto"/>
                <w:w w:val="90"/>
              </w:rPr>
              <w:t>June 30, 2021</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1560" w:type="dxa"/>
            <w:vAlign w:val="bottom"/>
          </w:tcPr>
          <w:p>
            <w:pPr>
              <w:spacing w:after="0"/>
              <w:rPr>
                <w:sz w:val="17"/>
                <w:szCs w:val="17"/>
                <w:color w:val="auto"/>
              </w:rPr>
            </w:pPr>
          </w:p>
        </w:tc>
        <w:tc>
          <w:tcPr>
            <w:tcW w:w="5420" w:type="dxa"/>
            <w:vAlign w:val="bottom"/>
          </w:tcPr>
          <w:p>
            <w:pPr>
              <w:ind w:left="1120"/>
              <w:spacing w:after="0"/>
              <w:rPr>
                <w:sz w:val="20"/>
                <w:szCs w:val="20"/>
                <w:color w:val="auto"/>
              </w:rPr>
            </w:pPr>
            <w:r>
              <w:rPr>
                <w:rFonts w:ascii="Arial" w:cs="Arial" w:eastAsia="Arial" w:hAnsi="Arial"/>
                <w:sz w:val="14"/>
                <w:szCs w:val="14"/>
                <w:b w:val="1"/>
                <w:bCs w:val="1"/>
                <w:i w:val="1"/>
                <w:iCs w:val="1"/>
                <w:color w:val="auto"/>
              </w:rPr>
              <w:t>in Euros, except share data</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3"/>
          </w:tcPr>
          <w:p>
            <w:pPr>
              <w:ind w:left="320"/>
              <w:spacing w:after="0" w:line="189" w:lineRule="exact"/>
              <w:rPr>
                <w:sz w:val="20"/>
                <w:szCs w:val="20"/>
                <w:color w:val="auto"/>
              </w:rPr>
            </w:pPr>
            <w:r>
              <w:rPr>
                <w:rFonts w:ascii="Arial" w:cs="Arial" w:eastAsia="Arial" w:hAnsi="Arial"/>
                <w:sz w:val="13"/>
                <w:szCs w:val="13"/>
                <w:b w:val="1"/>
                <w:bCs w:val="1"/>
                <w:color w:val="auto"/>
              </w:rPr>
              <w:t xml:space="preserve">Actual </w:t>
            </w:r>
            <w:r>
              <w:rPr>
                <w:rFonts w:ascii="Arial" w:cs="Arial" w:eastAsia="Arial" w:hAnsi="Arial"/>
                <w:sz w:val="21"/>
                <w:szCs w:val="21"/>
                <w:b w:val="1"/>
                <w:bCs w:val="1"/>
                <w:color w:val="auto"/>
                <w:vertAlign w:val="superscript"/>
              </w:rPr>
              <w:t>(1)</w:t>
            </w:r>
          </w:p>
        </w:tc>
        <w:tc>
          <w:tcPr>
            <w:tcW w:w="1400" w:type="dxa"/>
            <w:vAlign w:val="bottom"/>
          </w:tcPr>
          <w:p>
            <w:pPr>
              <w:ind w:left="40"/>
              <w:spacing w:after="0" w:line="189" w:lineRule="exact"/>
              <w:rPr>
                <w:sz w:val="20"/>
                <w:szCs w:val="20"/>
                <w:color w:val="auto"/>
              </w:rPr>
            </w:pPr>
            <w:r>
              <w:rPr>
                <w:rFonts w:ascii="Arial" w:cs="Arial" w:eastAsia="Arial" w:hAnsi="Arial"/>
                <w:sz w:val="13"/>
                <w:szCs w:val="13"/>
                <w:b w:val="1"/>
                <w:bCs w:val="1"/>
                <w:color w:val="auto"/>
              </w:rPr>
              <w:t xml:space="preserve">As Adjusted </w:t>
            </w:r>
            <w:r>
              <w:rPr>
                <w:rFonts w:ascii="Arial" w:cs="Arial" w:eastAsia="Arial" w:hAnsi="Arial"/>
                <w:sz w:val="21"/>
                <w:szCs w:val="21"/>
                <w:b w:val="1"/>
                <w:bCs w:val="1"/>
                <w:color w:val="auto"/>
                <w:vertAlign w:val="superscript"/>
              </w:rPr>
              <w:t>(1)</w:t>
            </w:r>
          </w:p>
        </w:tc>
        <w:tc>
          <w:tcPr>
            <w:tcW w:w="100" w:type="dxa"/>
            <w:vAlign w:val="bottom"/>
          </w:tcPr>
          <w:p>
            <w:pPr>
              <w:spacing w:after="0"/>
              <w:rPr>
                <w:sz w:val="17"/>
                <w:szCs w:val="17"/>
                <w:color w:val="auto"/>
              </w:rPr>
            </w:pPr>
          </w:p>
        </w:tc>
      </w:tr>
      <w:tr>
        <w:trPr>
          <w:trHeight w:val="216"/>
        </w:trPr>
        <w:tc>
          <w:tcPr>
            <w:tcW w:w="1560" w:type="dxa"/>
            <w:vAlign w:val="bottom"/>
            <w:tcBorders>
              <w:top w:val="single" w:sz="8" w:color="auto"/>
            </w:tcBorders>
          </w:tcPr>
          <w:p>
            <w:pPr>
              <w:spacing w:after="0"/>
              <w:rPr>
                <w:sz w:val="18"/>
                <w:szCs w:val="18"/>
                <w:color w:val="auto"/>
              </w:rPr>
            </w:pPr>
          </w:p>
        </w:tc>
        <w:tc>
          <w:tcPr>
            <w:tcW w:w="5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75"/>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10,553,906</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Shareholders’ deficit:</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980" w:type="dxa"/>
            <w:vAlign w:val="bottom"/>
            <w:gridSpan w:val="2"/>
          </w:tcPr>
          <w:p>
            <w:pPr>
              <w:spacing w:after="0" w:line="201" w:lineRule="exact"/>
              <w:rPr>
                <w:sz w:val="20"/>
                <w:szCs w:val="20"/>
                <w:color w:val="auto"/>
              </w:rPr>
            </w:pPr>
            <w:r>
              <w:rPr>
                <w:rFonts w:ascii="Arial" w:cs="Arial" w:eastAsia="Arial" w:hAnsi="Arial"/>
                <w:sz w:val="18"/>
                <w:szCs w:val="18"/>
                <w:color w:val="auto"/>
                <w:w w:val="89"/>
              </w:rPr>
              <w:t>Ordinary shares, with no par value, 59,700,000 shares authorized: 15,000,000 shares issued and</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outstanding;</w:t>
            </w:r>
          </w:p>
        </w:tc>
        <w:tc>
          <w:tcPr>
            <w:tcW w:w="5420" w:type="dxa"/>
            <w:vAlign w:val="bottom"/>
          </w:tcPr>
          <w:p>
            <w:pPr>
              <w:ind w:left="20"/>
              <w:spacing w:after="0"/>
              <w:rPr>
                <w:sz w:val="20"/>
                <w:szCs w:val="20"/>
                <w:color w:val="auto"/>
              </w:rPr>
            </w:pPr>
            <w:r>
              <w:rPr>
                <w:rFonts w:ascii="Arial" w:cs="Arial" w:eastAsia="Arial" w:hAnsi="Arial"/>
                <w:sz w:val="18"/>
                <w:szCs w:val="18"/>
                <w:color w:val="auto"/>
              </w:rPr>
              <w:t>shares, pro forma</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37,139,431</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8"/>
              </w:rPr>
              <w:t>Accumulated deficit</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(25,538,377)</w:t>
            </w: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8"/>
              </w:rPr>
              <w:t>Total (deficit) equity</w:t>
            </w: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11,601,054</w:t>
            </w: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Total capitalization</w:t>
            </w:r>
          </w:p>
        </w:tc>
        <w:tc>
          <w:tcPr>
            <w:tcW w:w="5420" w:type="dxa"/>
            <w:vAlign w:val="bottom"/>
          </w:tcPr>
          <w:p>
            <w:pPr>
              <w:spacing w:after="0"/>
              <w:rPr>
                <w:sz w:val="20"/>
                <w:szCs w:val="20"/>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rPr>
              <w:t>11,601,054</w:t>
            </w: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6459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1" w:lineRule="exact"/>
        <w:rPr>
          <w:sz w:val="20"/>
          <w:szCs w:val="20"/>
          <w:color w:val="auto"/>
        </w:rPr>
      </w:pPr>
    </w:p>
    <w:p>
      <w:pPr>
        <w:ind w:left="340" w:right="240" w:hanging="332"/>
        <w:spacing w:after="0" w:line="239" w:lineRule="auto"/>
        <w:tabs>
          <w:tab w:leader="none" w:pos="340" w:val="left"/>
        </w:tabs>
        <w:numPr>
          <w:ilvl w:val="0"/>
          <w:numId w:val="56"/>
        </w:numPr>
        <w:rPr>
          <w:rFonts w:ascii="Arial" w:cs="Arial" w:eastAsia="Arial" w:hAnsi="Arial"/>
          <w:sz w:val="29"/>
          <w:szCs w:val="29"/>
          <w:color w:val="auto"/>
          <w:vertAlign w:val="superscript"/>
        </w:rPr>
      </w:pPr>
      <w:r>
        <w:rPr>
          <w:rFonts w:ascii="Arial" w:cs="Arial" w:eastAsia="Arial" w:hAnsi="Arial"/>
          <w:sz w:val="17"/>
          <w:szCs w:val="17"/>
          <w:color w:val="auto"/>
        </w:rPr>
        <w:t>A $1.00 increase or decrease in the assumed public offering price of $ per ADS would increase or decrease the amount of each of cash and cash equivalents and total shareholders’ deficit by approximately $ million, assuming that the number of ADSs offered by us, as set forth on the cover page of this prospectus, remains the same and after deducting estimated underwriting discounts and commissions and estimated offering expenses payable by us. An increase or decrease of 1,000,000 in the number of ADSs offered by us would increase or decrease each of cash and cash equivalents and total shareholders’ deficit by approximately € million, assuming the assumed public offering price remains the same, after deducting estimated underwriting discounts and commissions and any estimated offering expenses payable by us.</w:t>
      </w:r>
    </w:p>
    <w:p>
      <w:pPr>
        <w:sectPr>
          <w:pgSz w:w="11900" w:h="16838" w:orient="portrait"/>
          <w:cols w:equalWidth="0" w:num="1">
            <w:col w:w="11240"/>
          </w:cols>
          <w:pgMar w:left="320" w:top="715" w:right="339" w:bottom="1440" w:gutter="0" w:footer="0" w:header="0"/>
        </w:sectPr>
      </w:pPr>
    </w:p>
    <w:p>
      <w:pPr>
        <w:spacing w:after="0" w:line="23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number of our ordinary shares to be outstanding immediately after this offering is outstanding as of June 30, 2021, after the Corporate Conversion, and excludes: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based on 15,000,000 ordinary shares</w:t>
      </w:r>
    </w:p>
    <w:p>
      <w:pPr>
        <w:spacing w:after="0" w:line="490" w:lineRule="exact"/>
        <w:rPr>
          <w:sz w:val="20"/>
          <w:szCs w:val="20"/>
          <w:color w:val="auto"/>
        </w:rPr>
      </w:pPr>
    </w:p>
    <w:p>
      <w:pPr>
        <w:sectPr>
          <w:pgSz w:w="11900" w:h="16838" w:orient="portrait"/>
          <w:cols w:equalWidth="0" w:num="2">
            <w:col w:w="6860" w:space="480"/>
            <w:col w:w="3900"/>
          </w:cols>
          <w:pgMar w:left="320" w:top="715" w:right="339" w:bottom="1440" w:gutter="0" w:footer="0" w:header="0"/>
          <w:type w:val="continuous"/>
        </w:sect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2021-2025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DILUTION</w:t>
      </w:r>
    </w:p>
    <w:p>
      <w:pPr>
        <w:spacing w:after="0" w:line="256"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If you invest in our securities, your interest will be diluted immediately to the extent of the difference between the public offering price per ADS you will pay in this offering and the pro forma net tangible book value per ADS after the offering. At June 30, 2021, we had net tangible book value of €</w:t>
      </w:r>
    </w:p>
    <w:p>
      <w:pPr>
        <w:ind w:right="160"/>
        <w:spacing w:after="0" w:line="253" w:lineRule="auto"/>
        <w:rPr>
          <w:sz w:val="20"/>
          <w:szCs w:val="20"/>
          <w:color w:val="auto"/>
        </w:rPr>
      </w:pPr>
      <w:r>
        <w:rPr>
          <w:rFonts w:ascii="Arial" w:cs="Arial" w:eastAsia="Arial" w:hAnsi="Arial"/>
          <w:sz w:val="18"/>
          <w:szCs w:val="18"/>
          <w:color w:val="auto"/>
        </w:rPr>
        <w:t>[_____], corresponding to a net tangible book value of € per ordinary share or $ per ADS (using the ratio of ordinary shares to one ADS). Net tangible book value per ordinary share or per ADS represents the amount of our total tangible assets less our total liabilities, divided by , the total number of ordinary shares outstanding at June 30, 2021, or , the total number of ADSs that would represent such total number of shares based on a share-to-ADS ratio of one-to-one.</w:t>
      </w:r>
    </w:p>
    <w:p>
      <w:pPr>
        <w:spacing w:after="0" w:line="22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After giving pro forma effect to the Corporate Conversion and the sale of the ADSs offered by us in this offering and after deducting the estimated underwriting discounts and commissions and estimated offering expenses payable by us, our pro forma estimated net tangible book value at December 31,</w:t>
      </w:r>
    </w:p>
    <w:p>
      <w:pPr>
        <w:ind w:right="20"/>
        <w:spacing w:after="0" w:line="265" w:lineRule="auto"/>
        <w:rPr>
          <w:sz w:val="20"/>
          <w:szCs w:val="20"/>
          <w:color w:val="auto"/>
        </w:rPr>
      </w:pPr>
      <w:r>
        <w:rPr>
          <w:rFonts w:ascii="Arial" w:cs="Arial" w:eastAsia="Arial" w:hAnsi="Arial"/>
          <w:sz w:val="17"/>
          <w:szCs w:val="17"/>
          <w:color w:val="auto"/>
        </w:rPr>
        <w:t>2020 would have been approximately € , representing € per ordinary share or $ per ADS. At the assumed public offering price for this offering of $ per ADS, the midpoint of the estimated price range set forth on the cover page of this prospectus, this represents an immediate increase in pro forma net tangible book value of € per ordinary share or $ per ADS to existing shareholders and an immediate dilution in pro forma net tangible book value of € per ordinary share or $ per ADS to purchasers of ADSs in this offering. Dilution for this purpose represents the</w:t>
      </w:r>
    </w:p>
    <w:p>
      <w:pPr>
        <w:spacing w:after="0" w:line="1"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difference between the price per ADS paid by these purchasers and pro forma net tangible book value per ADS immediately after the completion of this offering.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on a per ADS basis to purchasers of ADSs in this offering: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3"/>
              </w:rPr>
              <w:t>Assumed public offering price per ADS, the midpoint of the estimated price range set forth on the</w:t>
            </w:r>
          </w:p>
        </w:tc>
        <w:tc>
          <w:tcPr>
            <w:tcW w:w="4000" w:type="dxa"/>
            <w:vAlign w:val="bottom"/>
            <w:shd w:val="clear" w:color="auto" w:fill="CCEEFF"/>
          </w:tcPr>
          <w:p>
            <w:pPr>
              <w:spacing w:after="0"/>
              <w:rPr>
                <w:sz w:val="17"/>
                <w:szCs w:val="17"/>
                <w:color w:val="auto"/>
              </w:rPr>
            </w:pPr>
          </w:p>
        </w:tc>
      </w:tr>
      <w:tr>
        <w:trPr>
          <w:trHeight w:val="23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cover page of this prospectus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Historical net tangible book value (deficit) per ADS as of June 30, 2021</w:t>
            </w:r>
          </w:p>
        </w:tc>
        <w:tc>
          <w:tcPr>
            <w:tcW w:w="4000" w:type="dxa"/>
            <w:vAlign w:val="bottom"/>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tangible book value per ADS attributable to new investors in this offering</w:t>
            </w:r>
          </w:p>
        </w:tc>
        <w:tc>
          <w:tcPr>
            <w:tcW w:w="4000" w:type="dxa"/>
            <w:vAlign w:val="bottom"/>
            <w:shd w:val="clear" w:color="auto" w:fill="CCEEFF"/>
          </w:tcPr>
          <w:p>
            <w:pPr>
              <w:jc w:val="right"/>
              <w:ind w:right="3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 forma as adjusted net tangible book value per ADS after offering</w:t>
            </w:r>
          </w:p>
        </w:tc>
        <w:tc>
          <w:tcPr>
            <w:tcW w:w="4000" w:type="dxa"/>
            <w:vAlign w:val="bottom"/>
          </w:tcPr>
          <w:p>
            <w:pPr>
              <w:jc w:val="right"/>
              <w:ind w:right="165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Dilution in tangible book value per ADS to new investors</w:t>
            </w:r>
          </w:p>
        </w:tc>
        <w:tc>
          <w:tcPr>
            <w:tcW w:w="4000" w:type="dxa"/>
            <w:vAlign w:val="bottom"/>
            <w:shd w:val="clear" w:color="auto" w:fill="CCEEFF"/>
          </w:tcPr>
          <w:p>
            <w:pPr>
              <w:jc w:val="right"/>
              <w:ind w:right="165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ADS for new investors</w:t>
            </w:r>
          </w:p>
        </w:tc>
        <w:tc>
          <w:tcPr>
            <w:tcW w:w="4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dilution information set forth in the table above is illustrative only and will be adjusted based on the actual public offering price and other terms of this offering determined at pricing.</w:t>
      </w:r>
    </w:p>
    <w:p>
      <w:pPr>
        <w:spacing w:after="0" w:line="197"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A $1.00 increase or decrease in the assumed initial public offering price of $ per ADS would increase or decrease our as adjusted net tangible book value per ADS after this offering by $ and the dilution per ADS to new investors by $ , assuming the number of ADSs offered</w:t>
      </w:r>
    </w:p>
    <w:p>
      <w:pPr>
        <w:ind w:right="520"/>
        <w:spacing w:after="0" w:line="260" w:lineRule="auto"/>
        <w:rPr>
          <w:sz w:val="20"/>
          <w:szCs w:val="20"/>
          <w:color w:val="auto"/>
        </w:rPr>
      </w:pPr>
      <w:r>
        <w:rPr>
          <w:rFonts w:ascii="Arial" w:cs="Arial" w:eastAsia="Arial" w:hAnsi="Arial"/>
          <w:sz w:val="18"/>
          <w:szCs w:val="18"/>
          <w:color w:val="auto"/>
        </w:rPr>
        <w:t>by us, as set forth on the cover page of this prospectus, remains the same, after deducting the estimated underwriting discounts and commissions and estimated offering expenses payable by us.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also increase or decrease the number of ADSs we are offering. An increase or decrease of 1,000,000 in the number of ADSs offered by us</w:t>
      </w: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would increase or decrease our as adjusted net tangible book value after this offering by approximately $ million and the pro forma net tangible book value per ADS after this offering by $ per ADS and would increase or decrease the dilution per ADS to new investors by $ , assuming the</w:t>
      </w:r>
    </w:p>
    <w:p>
      <w:pPr>
        <w:spacing w:after="0"/>
        <w:rPr>
          <w:sz w:val="20"/>
          <w:szCs w:val="20"/>
          <w:color w:val="auto"/>
        </w:rPr>
      </w:pPr>
      <w:r>
        <w:rPr>
          <w:rFonts w:ascii="Arial" w:cs="Arial" w:eastAsia="Arial" w:hAnsi="Arial"/>
          <w:sz w:val="17"/>
          <w:szCs w:val="17"/>
          <w:color w:val="auto"/>
        </w:rPr>
        <w:t>assumed public offering price remains the same, after deducting estimated underwriting discounts and estimated offering expenses payable by us.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underwriters exercise their over-allotment option in this offering in full, the pro forma net tangible book value per ADS after this offering</w:t>
      </w:r>
    </w:p>
    <w:p>
      <w:pPr>
        <w:spacing w:after="0" w:line="3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and the dilution in pro forma as adjusted net tangible book value per ADS to new investors purchasing ADSs in this offering</w:t>
      </w:r>
    </w:p>
    <w:p>
      <w:pPr>
        <w:spacing w:after="0" w:line="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ADS, after deducting estimated underwriting discounts and commissions and estimated offering expenses payable by 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81" w:name="page82"/>
    <w:bookmarkEnd w:id="81"/>
    <w:p>
      <w:pPr>
        <w:ind w:right="40" w:firstLine="648"/>
        <w:spacing w:after="0" w:line="291" w:lineRule="auto"/>
        <w:rPr>
          <w:sz w:val="20"/>
          <w:szCs w:val="20"/>
          <w:color w:val="auto"/>
        </w:rPr>
      </w:pPr>
      <w:r>
        <w:rPr>
          <w:rFonts w:ascii="Arial" w:cs="Arial" w:eastAsia="Arial" w:hAnsi="Arial"/>
          <w:sz w:val="16"/>
          <w:szCs w:val="16"/>
          <w:color w:val="auto"/>
        </w:rPr>
        <w:t>The following table summarizes, on an as adjusted basis as of June 30, 2021, the differences between the number of ordinary shares acquired from us, the total amount paid and the average price per ordinary share paid by the existing holders of our ordinary shares and by investors in this offering and</w:t>
      </w:r>
    </w:p>
    <w:p>
      <w:pPr>
        <w:spacing w:after="0"/>
        <w:tabs>
          <w:tab w:leader="none" w:pos="4080" w:val="left"/>
        </w:tabs>
        <w:rPr>
          <w:sz w:val="20"/>
          <w:szCs w:val="20"/>
          <w:color w:val="auto"/>
        </w:rPr>
      </w:pPr>
      <w:r>
        <w:rPr>
          <w:rFonts w:ascii="Arial" w:cs="Arial" w:eastAsia="Arial" w:hAnsi="Arial"/>
          <w:sz w:val="18"/>
          <w:szCs w:val="18"/>
          <w:color w:val="auto"/>
        </w:rPr>
        <w:t>based upon an assumed public offering price of $</w:t>
      </w:r>
      <w:r>
        <w:rPr>
          <w:sz w:val="20"/>
          <w:szCs w:val="20"/>
          <w:color w:val="auto"/>
        </w:rPr>
        <w:tab/>
      </w:r>
      <w:r>
        <w:rPr>
          <w:rFonts w:ascii="Arial" w:cs="Arial" w:eastAsia="Arial" w:hAnsi="Arial"/>
          <w:sz w:val="16"/>
          <w:szCs w:val="16"/>
          <w:color w:val="auto"/>
        </w:rPr>
        <w:t>per ADS, the midpoint of the estimated price range set forth on the cover page of this prospectus.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22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Price Per</w:t>
            </w:r>
          </w:p>
        </w:tc>
        <w:tc>
          <w:tcPr>
            <w:tcW w:w="0" w:type="dxa"/>
            <w:vAlign w:val="bottom"/>
          </w:tcPr>
          <w:p>
            <w:pPr>
              <w:spacing w:after="0"/>
              <w:rPr>
                <w:sz w:val="1"/>
                <w:szCs w:val="1"/>
                <w:color w:val="auto"/>
              </w:rPr>
            </w:pPr>
          </w:p>
        </w:tc>
      </w:tr>
      <w:tr>
        <w:trPr>
          <w:trHeight w:val="165"/>
        </w:trPr>
        <w:tc>
          <w:tcPr>
            <w:tcW w:w="3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22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020" w:type="dxa"/>
            <w:vAlign w:val="bottom"/>
            <w:tcBorders>
              <w:top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top w:val="single" w:sz="8" w:color="auto"/>
            </w:tcBorders>
          </w:tcPr>
          <w:p>
            <w:pPr>
              <w:ind w:left="380"/>
              <w:spacing w:after="0"/>
              <w:rPr>
                <w:sz w:val="20"/>
                <w:szCs w:val="20"/>
                <w:color w:val="auto"/>
              </w:rPr>
            </w:pPr>
            <w:r>
              <w:rPr>
                <w:rFonts w:ascii="Arial" w:cs="Arial" w:eastAsia="Arial" w:hAnsi="Arial"/>
                <w:sz w:val="14"/>
                <w:szCs w:val="14"/>
                <w:b w:val="1"/>
                <w:bCs w:val="1"/>
                <w:color w:val="auto"/>
                <w:w w:val="97"/>
              </w:rPr>
              <w:t>Percent</w:t>
            </w:r>
          </w:p>
        </w:tc>
        <w:tc>
          <w:tcPr>
            <w:tcW w:w="3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040" w:type="dxa"/>
            <w:vAlign w:val="bottom"/>
            <w:gridSpan w:val="7"/>
          </w:tcPr>
          <w:p>
            <w:pPr>
              <w:ind w:left="660"/>
              <w:spacing w:after="0"/>
              <w:rPr>
                <w:sz w:val="20"/>
                <w:szCs w:val="20"/>
                <w:color w:val="auto"/>
              </w:rPr>
            </w:pPr>
            <w:r>
              <w:rPr>
                <w:rFonts w:ascii="Arial" w:cs="Arial" w:eastAsia="Arial" w:hAnsi="Arial"/>
                <w:sz w:val="18"/>
                <w:szCs w:val="18"/>
                <w:color w:val="auto"/>
                <w:w w:val="93"/>
              </w:rPr>
              <w:t>The number of our ordinary shares to be outstanding immediately after this offering is</w:t>
            </w:r>
          </w:p>
        </w:tc>
        <w:tc>
          <w:tcPr>
            <w:tcW w:w="4200" w:type="dxa"/>
            <w:vAlign w:val="bottom"/>
            <w:gridSpan w:val="6"/>
          </w:tcPr>
          <w:p>
            <w:pPr>
              <w:ind w:left="440"/>
              <w:spacing w:after="0"/>
              <w:rPr>
                <w:sz w:val="20"/>
                <w:szCs w:val="20"/>
                <w:color w:val="auto"/>
              </w:rPr>
            </w:pPr>
            <w:r>
              <w:rPr>
                <w:rFonts w:ascii="Arial" w:cs="Arial" w:eastAsia="Arial" w:hAnsi="Arial"/>
                <w:sz w:val="18"/>
                <w:szCs w:val="18"/>
                <w:color w:val="auto"/>
                <w:w w:val="88"/>
              </w:rPr>
              <w:t>based on 15,000,000 ordinary shares outstanding as</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June 30, 2021, and excludes: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ordinary shares that are available for future issuance under our 2021-2024 Equity Incentive Plan;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Warrants;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ordinary shares and/or debentures convertible into ordinary shares issuable by the board of directors in connection with certain events such as the acquisition of stocks, assets or convertible notes and certain private placements and/or public offerings.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representatives of the underwriters exercises the over-allotment option to purchase additional ADSs in full in this offering, the number of</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20"/>
                <w:szCs w:val="20"/>
                <w:color w:val="auto"/>
              </w:rPr>
            </w:pPr>
            <w:r>
              <w:rPr>
                <w:rFonts w:ascii="Arial" w:cs="Arial" w:eastAsia="Arial" w:hAnsi="Arial"/>
                <w:sz w:val="18"/>
                <w:szCs w:val="18"/>
                <w:color w:val="auto"/>
                <w:w w:val="91"/>
              </w:rPr>
              <w:t>ordinary shares represented by ADSs held by new investors will increase to</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 or</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w w:val="97"/>
              </w:rPr>
              <w:t>% of the total number of ordinary shares outstanding after this</w:t>
            </w:r>
          </w:p>
        </w:tc>
      </w:t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auto"/>
                <w:w w:val="92"/>
              </w:rPr>
              <w:t>offering and the percentage of ordinary shares held by existing shareholders will decrease to</w:t>
            </w:r>
          </w:p>
        </w:tc>
        <w:tc>
          <w:tcPr>
            <w:tcW w:w="4440" w:type="dxa"/>
            <w:vAlign w:val="bottom"/>
          </w:tcPr>
          <w:p>
            <w:pPr>
              <w:ind w:left="160"/>
              <w:spacing w:after="0"/>
              <w:rPr>
                <w:sz w:val="20"/>
                <w:szCs w:val="20"/>
                <w:color w:val="auto"/>
              </w:rPr>
            </w:pPr>
            <w:r>
              <w:rPr>
                <w:rFonts w:ascii="Arial" w:cs="Arial" w:eastAsia="Arial" w:hAnsi="Arial"/>
                <w:sz w:val="18"/>
                <w:szCs w:val="18"/>
                <w:color w:val="auto"/>
              </w:rPr>
              <w:t>% of the total ordinary shares outstanding.</w:t>
            </w:r>
          </w:p>
        </w:tc>
      </w:tr>
      <w:tr>
        <w:trPr>
          <w:trHeight w:val="466"/>
        </w:trPr>
        <w:tc>
          <w:tcPr>
            <w:tcW w:w="5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75</w:t>
            </w:r>
          </w:p>
        </w:tc>
        <w:tc>
          <w:tcPr>
            <w:tcW w:w="5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Prior to this offering, we were a limited liability company, but the change in incorporation did not affect the financial information herein</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presented, except for the transformation of our quotas into ordinary shares. As such the historical financial statements will not be retrospectively adjusted.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which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December 31, 2020, aggregated gross cash proceeds of approximately €35.1 million.</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six months ended June 30, 2021 and 2020 were approximately €4.0 million and approximately €2.5 million, respectively. Our net losses for the years ended December 31, 2020 and 2019 were approximately €5.6 million and approximately €4.6 million, respectively. At June 30, 2021 and December 31, 2020, we had an accumulated deficit of approximately €25.5 million and €21.5 million.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83" w:name="page84"/>
    <w:bookmarkEnd w:id="83"/>
    <w:p>
      <w:pPr>
        <w:ind w:firstLine="648"/>
        <w:spacing w:after="0" w:line="270" w:lineRule="auto"/>
        <w:rPr>
          <w:sz w:val="20"/>
          <w:szCs w:val="20"/>
          <w:color w:val="auto"/>
        </w:rPr>
      </w:pPr>
      <w:r>
        <w:rPr>
          <w:rFonts w:ascii="Arial" w:cs="Arial" w:eastAsia="Arial" w:hAnsi="Arial"/>
          <w:sz w:val="17"/>
          <w:szCs w:val="17"/>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8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As of June 30, 2021, we had cash and cash equivalents of approximately €10.6 million. We believe that our existing cash and cash equivalents as of June 30, 2021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 of the date of this filing, the global healthcare community continues to respond to the COVID-19 pandemic, including the recent emergence of the “delta variant.” 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our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We have not experienced significant interruptions related to COVID-19, although one patient tested positive for COVID-19 and had to delay treatment with Temferon. We may find it difficult to enroll patients in our clinical trials, which could delay or prevent us from proceeding with clinical trials of our product candidates. We continue to closely monitor this rapidly evolving situation and the potential impact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until we obtain regulatory approval of, and commercialize,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Our current operating expenses consist of two components – research and development expenses, and general and administrative expenses.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expense research and development costs as incurred. These expenses consist of costs incurred in connection with the development of our product candidates, including:</w:t>
      </w:r>
    </w:p>
    <w:p>
      <w:pPr>
        <w:spacing w:after="0" w:line="170"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license fees and milestone payments incurred in connection with our license agreements;</w:t>
      </w:r>
    </w:p>
    <w:p>
      <w:pPr>
        <w:spacing w:after="0" w:line="225" w:lineRule="exact"/>
        <w:rPr>
          <w:rFonts w:ascii="Arial" w:cs="Arial" w:eastAsia="Arial" w:hAnsi="Arial"/>
          <w:sz w:val="18"/>
          <w:szCs w:val="18"/>
          <w:color w:val="auto"/>
        </w:rPr>
      </w:pPr>
    </w:p>
    <w:p>
      <w:pPr>
        <w:ind w:left="660" w:right="16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146" w:lineRule="exact"/>
        <w:rPr>
          <w:rFonts w:ascii="Arial" w:cs="Arial" w:eastAsia="Arial" w:hAnsi="Arial"/>
          <w:sz w:val="17"/>
          <w:szCs w:val="17"/>
          <w:color w:val="auto"/>
        </w:rPr>
      </w:pPr>
    </w:p>
    <w:p>
      <w:pPr>
        <w:ind w:left="660" w:right="74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in due course, clinical trial materials and commercial materials, including manufacturing validation batches;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facilities costs, depreciation and other expenses, which include rent and utilities.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on the statements of operations and comprehensive loss. However, not all of our research and development expenses are allocated by program:</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8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b w:val="1"/>
                <w:bCs w:val="1"/>
                <w:color w:val="auto"/>
              </w:rPr>
              <w:t>For the Six Months Ended</w:t>
            </w: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260" w:type="dxa"/>
            <w:vAlign w:val="bottom"/>
          </w:tcPr>
          <w:p>
            <w:pPr>
              <w:spacing w:after="0"/>
              <w:rPr>
                <w:sz w:val="20"/>
                <w:szCs w:val="20"/>
                <w:color w:val="auto"/>
              </w:rPr>
            </w:pPr>
          </w:p>
        </w:tc>
        <w:tc>
          <w:tcPr>
            <w:tcW w:w="26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4"/>
          </w:tcPr>
          <w:p>
            <w:pPr>
              <w:ind w:left="520"/>
              <w:spacing w:after="0"/>
              <w:rPr>
                <w:sz w:val="20"/>
                <w:szCs w:val="20"/>
                <w:color w:val="auto"/>
              </w:rPr>
            </w:pPr>
            <w:r>
              <w:rPr>
                <w:rFonts w:ascii="Arial" w:cs="Arial" w:eastAsia="Arial" w:hAnsi="Arial"/>
                <w:sz w:val="18"/>
                <w:szCs w:val="18"/>
                <w:color w:val="auto"/>
              </w:rPr>
              <w:t>(Unaudited)</w:t>
            </w: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TEM-GBM (including TEM-LT)</w:t>
            </w:r>
          </w:p>
        </w:tc>
        <w:tc>
          <w:tcPr>
            <w:tcW w:w="26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1,692,458</w:t>
            </w:r>
          </w:p>
        </w:tc>
        <w:tc>
          <w:tcPr>
            <w:tcW w:w="13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948,019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TEM-MM</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18,609</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173,680</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TEM-HC</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Unallocated costs: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(including share-based compensation)</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401,380</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Consultants and other third parties</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760,831</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354,599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 &amp; supplies</w:t>
            </w:r>
          </w:p>
        </w:tc>
        <w:tc>
          <w:tcPr>
            <w:tcW w:w="1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312,844</w:t>
            </w:r>
          </w:p>
        </w:tc>
        <w:tc>
          <w:tcPr>
            <w:tcW w:w="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243,892</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Travel &amp; entertainment</w:t>
            </w: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10,445</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4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research and development expenses</w:t>
            </w:r>
          </w:p>
        </w:tc>
        <w:tc>
          <w:tcPr>
            <w:tcW w:w="126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3,199,234</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Direct research and development expenses by program:</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TEM-GBM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TEM-MM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Option fee – second indication </w:t>
      </w:r>
      <w:r>
        <w:rPr>
          <w:rFonts w:ascii="Arial" w:cs="Arial" w:eastAsia="Arial" w:hAnsi="Arial"/>
          <w:sz w:val="29"/>
          <w:szCs w:val="29"/>
          <w:color w:val="auto"/>
          <w:vertAlign w:val="superscript"/>
        </w:rPr>
        <w:t>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Unallocated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Personnel (including share-based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Consultants and other third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Materials &amp; supplies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Travel &amp; entertainment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research and development expenses</w:t>
      </w:r>
    </w:p>
    <w:p>
      <w:pPr>
        <w:spacing w:after="0" w:line="20" w:lineRule="exact"/>
        <w:rPr>
          <w:sz w:val="20"/>
          <w:szCs w:val="20"/>
          <w:color w:val="auto"/>
        </w:rPr>
      </w:pPr>
      <w:r>
        <w:rPr>
          <w:sz w:val="20"/>
          <w:szCs w:val="20"/>
          <w:color w:val="auto"/>
        </w:rPr>
        <w:br w:type="column"/>
      </w:r>
    </w:p>
    <w:p>
      <w:pPr>
        <w:ind w:left="13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634"/>
        </w:trPr>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3,353,369</w:t>
            </w: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1,853,929</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190,764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769,146</w:t>
            </w:r>
          </w:p>
        </w:tc>
      </w:tr>
      <w:tr>
        <w:trPr>
          <w:trHeight w:val="257"/>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472,100</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753,238</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70,035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73,736</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62,600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64,151</w:t>
            </w:r>
          </w:p>
        </w:tc>
      </w:tr>
      <w:tr>
        <w:trPr>
          <w:trHeight w:val="230"/>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34,466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133,573</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5,127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55,209</w:t>
            </w:r>
          </w:p>
        </w:tc>
      </w:tr>
      <w:tr>
        <w:trPr>
          <w:trHeight w:val="230"/>
        </w:trPr>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-1731010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-1456690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-1156335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-882015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-607695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-333375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5800" w:space="720"/>
            <w:col w:w="4720"/>
          </w:cols>
          <w:pgMar w:left="320" w:top="702" w:right="339" w:bottom="1440" w:gutter="0" w:footer="0" w:header="0"/>
          <w:type w:val="continuous"/>
        </w:sectPr>
      </w:pPr>
    </w:p>
    <w:p>
      <w:pPr>
        <w:ind w:left="760" w:hanging="104"/>
        <w:spacing w:after="0"/>
        <w:tabs>
          <w:tab w:leader="none" w:pos="760" w:val="left"/>
        </w:tabs>
        <w:numPr>
          <w:ilvl w:val="0"/>
          <w:numId w:val="60"/>
        </w:numPr>
        <w:rPr>
          <w:rFonts w:ascii="Arial" w:cs="Arial" w:eastAsia="Arial" w:hAnsi="Arial"/>
          <w:sz w:val="28"/>
          <w:szCs w:val="28"/>
          <w:color w:val="auto"/>
          <w:vertAlign w:val="superscript"/>
        </w:rPr>
      </w:pPr>
      <w:r>
        <w:rPr>
          <w:rFonts w:ascii="Arial" w:cs="Arial" w:eastAsia="Arial" w:hAnsi="Arial"/>
          <w:sz w:val="17"/>
          <w:szCs w:val="17"/>
          <w:color w:val="auto"/>
        </w:rPr>
        <w:t>Although the second indication is currently liver cancer, the Company has the right to change the indication.</w:t>
      </w:r>
    </w:p>
    <w:p>
      <w:pPr>
        <w:spacing w:after="0" w:line="20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86" w:name="page87"/>
    <w:bookmarkEnd w:id="86"/>
    <w:p>
      <w:pPr>
        <w:ind w:right="20" w:firstLine="648"/>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87"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impact of the COVID-19 pandemic on our preclinical development activities, clinical trials and other research and development activities;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qualifying for, and maintaining, adequate coverage and reimbursement by the government and other payors for any product candidate for which we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salaries and consulting fees,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87" w:name="page88"/>
    <w:bookmarkEnd w:id="87"/>
    <w:p>
      <w:pPr>
        <w:ind w:firstLine="648"/>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investor and public relations expenses associated with being a public company. Additionally, if and when we believe a regulatory approval of a product candidate appears likely, we anticipate an increase in payroll and other expense as a result of our preparation for commercial operations, especially as it relates to the sales and marketing of our product candidate.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Other income (expense) consists primarily of interest income/(expense), foreign exchange income/(loss) and, for the year ended December 31, 2019, an award given to the Company by international institutions for the successful results achieved in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We are subject to taxation in Italy. Taxes are recorded on an accrual basis. They therefore represent the allowances for taxes paid or to be paid for the year, calculated according to the current enacted rates and applicable laws. Due to the tax loss position reported, no income taxes were due for the six months ended June 30, 2021 and 2020 and the years ended December 31, 2020 and 2019 or the interim periods.</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each reporting date, we consider existing evidence, both positive and negative, that could impact our view regarding to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June 30, 2021.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statements of operations.</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open statutes of limitations for Italian tax authorities to audit our tax returns. There have been no material income tax-related interests or penalties assessed or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liability related to uncertain tax positions reported in our financial statements.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line with the legislation in force until December 31, 2019, companies in Italy that invested in eligible research and development activities, regardless of the legal form and economic sector in which they operate, could benefit from a tax credit up to 50% of the increase of annual research and development expenses compared to the median expense for the years 2012-2014, which could be used as compensation in order to reduce most taxes payable, including income tax or regional tax on productive activities, as well as of social security contributions.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2020 Italian Budget Law established that: (i) the tax credit due is up to 12% of the research and development costs incurred (up to a maximum of € 3.0 million); (ii) the actual support of eligible expenditure and its correspondence with the accounting documents must result from a specific certification issued by the person responsible for the legal audit; (iii) the tax credit due can only be used as compensation in three equal annual instalments. The 2021 Italian Budget Law established that: (i) the tax credit due is up to 20% of the costs incurred (up to a maximum of € 4.0 million); (ii) the tax credit can be used for 2021 and 2022 fiscal years; (iii) it is necessary to have, besides the audit report, a technical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to the Six Months Ended June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0" w:type="dxa"/>
            <w:vAlign w:val="bottom"/>
            <w:gridSpan w:val="6"/>
          </w:tcPr>
          <w:p>
            <w:pPr>
              <w:jc w:val="right"/>
              <w:ind w:right="901"/>
              <w:spacing w:after="0"/>
              <w:rPr>
                <w:sz w:val="20"/>
                <w:szCs w:val="20"/>
                <w:color w:val="auto"/>
              </w:rPr>
            </w:pPr>
            <w:r>
              <w:rPr>
                <w:rFonts w:ascii="Arial" w:cs="Arial" w:eastAsia="Arial" w:hAnsi="Arial"/>
                <w:sz w:val="18"/>
                <w:szCs w:val="18"/>
                <w:b w:val="1"/>
                <w:bCs w:val="1"/>
                <w:color w:val="auto"/>
              </w:rPr>
              <w:t>Six-Months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0" w:type="dxa"/>
            <w:vAlign w:val="bottom"/>
            <w:gridSpan w:val="4"/>
          </w:tcPr>
          <w:p>
            <w:pPr>
              <w:jc w:val="right"/>
              <w:ind w:right="147"/>
              <w:spacing w:after="0"/>
              <w:rPr>
                <w:sz w:val="20"/>
                <w:szCs w:val="20"/>
                <w:color w:val="auto"/>
              </w:rPr>
            </w:pPr>
            <w:r>
              <w:rPr>
                <w:rFonts w:ascii="Arial" w:cs="Arial" w:eastAsia="Arial" w:hAnsi="Arial"/>
                <w:sz w:val="18"/>
                <w:szCs w:val="18"/>
                <w:color w:val="auto"/>
              </w:rPr>
              <w:t>(Unaudited)</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3,199,234</w:t>
            </w:r>
          </w:p>
        </w:tc>
        <w:tc>
          <w:tcPr>
            <w:tcW w:w="160" w:type="dxa"/>
            <w:vAlign w:val="bottom"/>
          </w:tcPr>
          <w:p>
            <w:pPr>
              <w:spacing w:after="0"/>
              <w:rPr>
                <w:sz w:val="18"/>
                <w:szCs w:val="18"/>
                <w:color w:val="auto"/>
              </w:rPr>
            </w:pPr>
          </w:p>
        </w:tc>
        <w:tc>
          <w:tcPr>
            <w:tcW w:w="62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2,072,129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Foreign exchange loss</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6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 (Note 5)</w:t>
            </w: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3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8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Loss per share and pro forma information (unaudited):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 and pro forma loss</w:t>
            </w: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(4,047,902)</w:t>
            </w:r>
          </w:p>
        </w:tc>
        <w:tc>
          <w:tcPr>
            <w:tcW w:w="6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and pro forma loss per share - basic and diluted</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9"/>
              </w:rPr>
              <w:t>Weighted average and pro forma weighted average number of shares</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basic and diluted</w:t>
            </w:r>
          </w:p>
        </w:tc>
        <w:tc>
          <w:tcPr>
            <w:tcW w:w="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14,772,610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14,420,904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presented actual and pro forma basic and diluted loss per share at June 30, 2021 and 2020, respectively, which consists of our historical loss attributable to Genenta Science S.r.l. (and subsequently as of June 18, 2021 Genenta Science S.p.A.), divided by the weighted average and pro forma basic and diluted weighted average number of ordinary shares outstanding, on an “as converted” basis (similar to a stock split transaction) using the same conversion rate of 300 common shares per weighted average quota percentage of ownership during the six months ended June 30, 2021 and 2020, respectively, after giving effect to the Corporate Conversion. See our disclosures in this prospectus for additional information regarding the method used to calculate the pro forma basic and diluted loss per ordinary share and the pro forma weighted average number of ordinary shares used in the computation of the per share amounts.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Research and development expenses were approximately €3.2 million for the six months ended June 30, 2021, as compared to approximately €2.1 million for the six months ended June 30, 2020. The increase of approximately €1.1 million was primarily due to the increase of approximately €1.3 million related the Company’s GMB research and clinical activities (including personnel costs and related stock option exercise expenses), partially offset by €0.2 million related to the decrease of MM research and clinical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General and administrative expenses were approximately €0.8 million for the six months ended June 30, 2021, as compared to approximately €0.4 million for the six months ended June 30, 2020. The increase of approximately €0.4 million of general and administrative expenses was primarily due to €0.2 million of accounting, legal and consulting fees and €0.2 million of compensation expense (including stock-based compensation and social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Other income was approximately €2,700 for the six months ended June 30, 2021, as compared to approximately €600 for the six months ended June 30, 2020. The increase of approximately €2,100 was primarily due to the number of awards granted to the Company in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Foreign exchange loss was approximately €9,100 for the six months ended June 30, 2021, as compared to approximately €2,800 for the six months ended June 30, 2020. The increase of approximately €6,300 was primarily due to the net of exchange rate gains and losses.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Our loss was approximately €4.0 million for the year six months June 30, 2021, as compared to approximately €2.5 million for the six months ended June 30, 2020. The increase of approximately €1.5 million was primarily due to the increased spending related to our overall research and clinical activities and to the increased spending related to advisory and consulting expenses related to our fundraising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to the Year Ended December 31,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0" w:type="dxa"/>
            <w:vAlign w:val="bottom"/>
            <w:gridSpan w:val="5"/>
          </w:tcPr>
          <w:p>
            <w:pPr>
              <w:jc w:val="right"/>
              <w:ind w:right="1141"/>
              <w:spacing w:after="0"/>
              <w:rPr>
                <w:sz w:val="20"/>
                <w:szCs w:val="20"/>
                <w:color w:val="auto"/>
              </w:rPr>
            </w:pPr>
            <w:r>
              <w:rPr>
                <w:rFonts w:ascii="Arial" w:cs="Arial" w:eastAsia="Arial" w:hAnsi="Arial"/>
                <w:sz w:val="18"/>
                <w:szCs w:val="18"/>
                <w:color w:val="auto"/>
              </w:rPr>
              <w:t>Year Ended December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3"/>
          </w:tcPr>
          <w:p>
            <w:pPr>
              <w:ind w:left="1320"/>
              <w:spacing w:after="0"/>
              <w:rPr>
                <w:sz w:val="20"/>
                <w:szCs w:val="20"/>
                <w:color w:val="auto"/>
              </w:rPr>
            </w:pPr>
            <w:r>
              <w:rPr>
                <w:rFonts w:ascii="Arial" w:cs="Arial" w:eastAsia="Arial" w:hAnsi="Arial"/>
                <w:sz w:val="18"/>
                <w:szCs w:val="18"/>
                <w:color w:val="auto"/>
              </w:rPr>
              <w:t>(in Euros)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4,688,461</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901,765</w:t>
            </w:r>
          </w:p>
        </w:tc>
        <w:tc>
          <w:tcPr>
            <w:tcW w:w="5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3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(5,590,226)</w:t>
            </w:r>
          </w:p>
        </w:tc>
        <w:tc>
          <w:tcPr>
            <w:tcW w:w="5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5,966</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440" w:type="dxa"/>
            <w:vAlign w:val="bottom"/>
          </w:tcPr>
          <w:p>
            <w:pPr>
              <w:spacing w:after="0"/>
              <w:rPr>
                <w:sz w:val="20"/>
                <w:szCs w:val="20"/>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(7,754)</w:t>
            </w:r>
          </w:p>
        </w:tc>
        <w:tc>
          <w:tcPr>
            <w:tcW w:w="5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(9,552)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20"/>
                <w:szCs w:val="20"/>
                <w:color w:val="auto"/>
              </w:rPr>
            </w:pPr>
          </w:p>
        </w:tc>
        <w:tc>
          <w:tcPr>
            <w:tcW w:w="18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 forma information (unaudited):</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(5,592,014)</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Pro forma net loss per share - basic and diluted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58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3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vMerge w:val="continu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3"/>
              </w:rPr>
              <w:t>Weighted average pro forma number of shares outstanding - basic and diluted</w:t>
            </w: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14,539,534</w:t>
            </w:r>
          </w:p>
        </w:tc>
        <w:tc>
          <w:tcPr>
            <w:tcW w:w="3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12,651,158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60" w:type="dxa"/>
            <w:vAlign w:val="bottom"/>
            <w:vMerge w:val="restart"/>
          </w:tcPr>
          <w:p>
            <w:pPr>
              <w:ind w:left="4960"/>
              <w:spacing w:after="0"/>
              <w:rPr>
                <w:sz w:val="20"/>
                <w:szCs w:val="20"/>
                <w:color w:val="auto"/>
              </w:rPr>
            </w:pPr>
            <w:r>
              <w:rPr>
                <w:rFonts w:ascii="Arial" w:cs="Arial" w:eastAsia="Arial" w:hAnsi="Arial"/>
                <w:sz w:val="18"/>
                <w:szCs w:val="18"/>
                <w:color w:val="auto"/>
              </w:rPr>
              <w:t>83</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90" w:name="page91"/>
    <w:bookmarkEnd w:id="90"/>
    <w:p>
      <w:pPr>
        <w:ind w:firstLine="648"/>
        <w:spacing w:after="0" w:line="253" w:lineRule="auto"/>
        <w:rPr>
          <w:sz w:val="20"/>
          <w:szCs w:val="20"/>
          <w:color w:val="auto"/>
        </w:rPr>
      </w:pPr>
      <w:r>
        <w:rPr>
          <w:rFonts w:ascii="Arial" w:cs="Arial" w:eastAsia="Arial" w:hAnsi="Arial"/>
          <w:sz w:val="18"/>
          <w:szCs w:val="18"/>
          <w:color w:val="auto"/>
        </w:rPr>
        <w:t>We have presented pro forma basic and diluted loss per share at December 31, 2020 and 2019, respectively, which consists of our historical loss attributable to Genenta Science S.r.l., divided by the pro forma basic and diluted weighted average number of ordinary shares outstanding, on an “as converted” basis, after giving effect to the Corporate Conversion, which occurred on June 18, 2021. See our disclosures in this prospectus for additional information regarding the method used to calculate the pro forma basic and diluted loss per ordinary share and the pro forma weighted average number of ordinary shares used in the computation of the per share amounts. We did not present basic and diluted loss per share for the years ended December 31, 2020 and 2019 in our audited Statements of Operations, since we were an S.r.l. at the time and maintained classes of quota (similar to membership interests in a limited liability company in the United States) rather than shares, which it now has post-conversion to an S.p.A.,(similar to a C-corporation in the United States). The quotas represented percentage ownership in us and not actual shares. We did not believe that representing loss per quota was meaningful.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Research and development expenses were approximately €4.7 million for the year ended December 31, 2020, as compared to approximately €3.7 million for the year ended December 31, 2019. The increase of approximately €1.0 million was primarily due to the increase of approximately €1.6 million related the Company’s GBM research and clinical activities partially offset by €0.6 million related to the decrease of MM related expenses. In addition, we exercised our option with OSR for our second cancer indication, which triggered an option fee of €0.5 million; however, this was offset by a decrease of €0.3 million of personnel costs and €0.2 million of other research, development, and clinical 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General and administrative expenses were approximately €0.9 million for the year ended December 31, 2020, as compared to approximately €0.9 million for the year ended December 31, 2019. The general and administrative expenses remained essentially flat due to our ability to control expenses and focus our resources on research, development, and clinical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Other income was approximately €6,000 for the year ended December 31, 2020, as compared to approximately €36,000 for the year ended December 31, 2019. The decrease of approximately €30,000 was primarily due to the awards granted to the Company in 2019, i.e., the Company won two international prizes for its results on research programs in 2019 without a corresponding award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Finance expense was approximately €7,800 for the year ended December 31, 2020, as compared to approximately €9,600 for the year ended December 31, 2019. The increase of approximately €1,800 was primarily due to small exchange rate gains and losses.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Loss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Our loss was approximately €5.6 million for the year ended December 31, 2020, as compared to approximately €4.6 million for the year ended December 31, 2019. The increase of approximately €1.0 million was primarily due to the increased spending related to our GBM research and clinical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Since our inception, we have not generated any revenue and have incurred significant operating losses and negative cash flows from our operations. We have funded our operations to date primarily with proceeds from the sales of quotas. Through June 30, 2021, we had received gross cash proceeds of approximately €35.1 million from sales of our quotas. As of June 30, 2021, we had approximately €10.6 million in cash and cash equivalents.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2"/>
              </w:rPr>
              <w:t>For the Year Ended</w:t>
            </w:r>
          </w:p>
        </w:tc>
      </w:tr>
      <w:tr>
        <w:trPr>
          <w:trHeight w:val="241"/>
        </w:trPr>
        <w:tc>
          <w:tcPr>
            <w:tcW w:w="4740" w:type="dxa"/>
            <w:vAlign w:val="bottom"/>
            <w:gridSpan w:val="2"/>
          </w:tcPr>
          <w:p>
            <w:pPr>
              <w:ind w:left="1880"/>
              <w:spacing w:after="0"/>
              <w:rPr>
                <w:sz w:val="20"/>
                <w:szCs w:val="20"/>
                <w:color w:val="auto"/>
              </w:rPr>
            </w:pPr>
            <w:r>
              <w:rPr>
                <w:rFonts w:ascii="Arial" w:cs="Arial" w:eastAsia="Arial" w:hAnsi="Arial"/>
                <w:sz w:val="18"/>
                <w:szCs w:val="18"/>
                <w:b w:val="1"/>
                <w:bCs w:val="1"/>
                <w:color w:val="auto"/>
              </w:rPr>
              <w:t>(in Euros)</w:t>
            </w:r>
          </w:p>
        </w:tc>
        <w:tc>
          <w:tcPr>
            <w:tcW w:w="120" w:type="dxa"/>
            <w:vAlign w:val="bottom"/>
          </w:tcPr>
          <w:p>
            <w:pPr>
              <w:spacing w:after="0"/>
              <w:rPr>
                <w:sz w:val="20"/>
                <w:szCs w:val="20"/>
                <w:color w:val="auto"/>
              </w:rPr>
            </w:pPr>
          </w:p>
        </w:tc>
        <w:tc>
          <w:tcPr>
            <w:tcW w:w="3280" w:type="dxa"/>
            <w:vAlign w:val="bottom"/>
            <w:gridSpan w:val="6"/>
          </w:tcPr>
          <w:p>
            <w:pPr>
              <w:jc w:val="center"/>
              <w:ind w:right="381"/>
              <w:spacing w:after="0"/>
              <w:rPr>
                <w:sz w:val="20"/>
                <w:szCs w:val="20"/>
                <w:color w:val="auto"/>
              </w:rPr>
            </w:pPr>
            <w:r>
              <w:rPr>
                <w:rFonts w:ascii="Arial" w:cs="Arial" w:eastAsia="Arial" w:hAnsi="Arial"/>
                <w:sz w:val="18"/>
                <w:szCs w:val="18"/>
                <w:b w:val="1"/>
                <w:bCs w:val="1"/>
                <w:color w:val="auto"/>
                <w:w w:val="90"/>
              </w:rPr>
              <w:t>For the Six Months Ended June 30,</w:t>
            </w:r>
          </w:p>
        </w:tc>
        <w:tc>
          <w:tcPr>
            <w:tcW w:w="280" w:type="dxa"/>
            <w:vAlign w:val="bottom"/>
          </w:tcPr>
          <w:p>
            <w:pPr>
              <w:spacing w:after="0"/>
              <w:rPr>
                <w:sz w:val="20"/>
                <w:szCs w:val="20"/>
                <w:color w:val="auto"/>
              </w:rPr>
            </w:pPr>
          </w:p>
        </w:tc>
        <w:tc>
          <w:tcPr>
            <w:tcW w:w="180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4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gridSpan w:val="4"/>
          </w:tcPr>
          <w:p>
            <w:pPr>
              <w:jc w:val="center"/>
              <w:ind w:left="770"/>
              <w:spacing w:after="0"/>
              <w:rPr>
                <w:sz w:val="20"/>
                <w:szCs w:val="20"/>
                <w:color w:val="auto"/>
              </w:rPr>
            </w:pPr>
            <w:r>
              <w:rPr>
                <w:rFonts w:ascii="Arial" w:cs="Arial" w:eastAsia="Arial" w:hAnsi="Arial"/>
                <w:sz w:val="18"/>
                <w:szCs w:val="18"/>
                <w:color w:val="auto"/>
                <w:w w:val="91"/>
              </w:rPr>
              <w:t>(Unaudited)</w:t>
            </w: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(4,690,869</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(1,943,466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(3,727</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(13,194</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(216,741</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14,768,202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74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(4,911,337)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(1,956,524)</w:t>
            </w:r>
          </w:p>
        </w:tc>
        <w:tc>
          <w:tcPr>
            <w:tcW w:w="320" w:type="dxa"/>
            <w:vAlign w:val="bottom"/>
          </w:tcPr>
          <w:p>
            <w:pPr>
              <w:spacing w:after="0"/>
              <w:rPr>
                <w:sz w:val="17"/>
                <w:szCs w:val="17"/>
                <w:color w:val="auto"/>
              </w:rPr>
            </w:pPr>
          </w:p>
        </w:tc>
        <w:tc>
          <w:tcPr>
            <w:tcW w:w="28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9"/>
              </w:rPr>
              <w:t>12,278,015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15,465,243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20,141,379</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7,863,364</w:t>
            </w:r>
          </w:p>
        </w:tc>
        <w:tc>
          <w:tcPr>
            <w:tcW w:w="80" w:type="dxa"/>
            <w:vAlign w:val="bottom"/>
            <w:shd w:val="clear" w:color="auto" w:fill="CCEEFF"/>
          </w:tcPr>
          <w:p>
            <w:pPr>
              <w:spacing w:after="0"/>
              <w:rPr>
                <w:sz w:val="21"/>
                <w:szCs w:val="21"/>
                <w:color w:val="auto"/>
              </w:rPr>
            </w:pPr>
          </w:p>
        </w:tc>
      </w:tr>
      <w:tr>
        <w:trPr>
          <w:trHeight w:val="217"/>
        </w:trPr>
        <w:tc>
          <w:tcPr>
            <w:tcW w:w="47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10,553,906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18,184,855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20,141,379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six months ended June 30, 2021 and 2020, operating activities used approximately €4.7 million and €1.9 million, respectively of cash and cash equivalents, resulting from our loss of approximately €4.0 million and by cash used for changes in our operating assets and liabilities of approximately €1.4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December 31, 2020, operating activities used approximately €6.0 million of cash and cash equivalents, resulting from our net loss of approximately €5.6 million and by cash used for changes in our operating assets and liabilities of approximately €0.9 million and partially offset non-cash charges of approximately €0.5 million. The net changes in our operating assets and liabilities were primarily due to an increase in payment of related party research and clinical accrued expenses as well as an increase of prepaid and other current assets mainly related to a VAT (value added tax) receivable. The non-cash charges primarily included approximately €0.5 million of stock-based compensation expense and a deminimus amount of depreciation and retirement benefit obligation expense.</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2019, operating activities used approximately €2.5 million of cash and cash equivalents, resulting from our net loss of approximately €4.6 million partially offset by cash provided by changes in our operating assets and liabilities of approximately €1.4 million and non-cash charges of approximately €0.7 million. The net changes in our operating assets and liabilities were primarily due to an increase in accruals and liabilities linked to the clinical trials made in cooperation with Ospedale San Raffaele and the related clinical manufacturers. The non-cash charges relate primarily to approximately €0.7 million of share-based compensation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During the six months ended June 30, 2021 and 2020, cash flow from financing activities were €(216,741) and €136, respectively, consisting of cash proceeds from the exercise of options on our class B quota. €172 class B quota was repurchased from Drs. Naldini and Gentner at nominal value, cancelled, and allocated to the option plan as available for grant.</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approximately €1.4 million, primarily consisting of net cash proceeds from the sale of our class E quota, which raised net proceeds of approximately €1.4 million.</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approximately €14.8 million, consisting of net cash proceeds received from the rounds of equity fundraising that occurred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Outlook</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financed our operations to date primarily through proceeds from sales of our quotas to our founding quota holders and other third-party investors. We have incurred losses and generated negative cash flows from operations since inception in 2014. To date we have not generated revenue, and we do not expect to generate significant revenues from the sale of our product candidates in the near future.</w:t>
      </w:r>
    </w:p>
    <w:p>
      <w:pPr>
        <w:spacing w:after="0" w:line="16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As of June 30, 2021, our cash and cash equivalents were approximately €10.6 million. Our primary cash obligations relate to payments to OSR pursuant to our license agreement and other providers of clinical trial related services. We believe that our existing cash and cash equivalents will be sufficient to fund our projected cash requirements through the fourth quarter of 2022. Therefore, we will require significant additional financing in the future to fund our operations. As we continue to assess the effects of the COVID-19 pandemic, we do believe that it is possible that the COVID- 19 pandemic may make financing opportunities scarcer or more difficult or, if such funds are available to us, that such additional financing may not be available in an amount that is sufficient to meet our needs. Our failure to raise capital or enter into such other arrangements when needed would have a negative impact on our financial condition and could force us to delay, reduce or terminate our planned clinical trials or other operations, or grant rights to develop and commercialize product candidates that we would otherwise prefer to develop and commercialize ourselves.</w:t>
      </w:r>
    </w:p>
    <w:p>
      <w:pPr>
        <w:spacing w:after="0" w:line="16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currently anticipate that we will require approximately €5.2 million for research and development activities over the course of the next twelve months. We also anticipate that we will require approximately €3.1 million for operational expenditures over such twelve-month period, which consists primarily of expenditures for supporting preclinical studies required for obtaining approval to conduct such clinical studies for our product candidates, general and administration labor costs, and fundraising activities. In light of our financial condition, we reduced our operating expenses, including for those purposes listed above, before the start of the COVID-19 pandemic. There can be no assurance that the analysis that we have undertaken or remedial measures that have been enacted will enable us to avoid part or all of any impact from the spread of COVID-19 or its consequences.</w:t>
      </w:r>
    </w:p>
    <w:p>
      <w:pPr>
        <w:spacing w:after="0" w:line="16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This expected use of net proceeds from this offering represents our intentions based upon our current plans and business conditions, which could change in the future as our plans and business conditions evolve. We may also use a portion of the net proceeds to in-license, acquire, or invest in additional businesses, technologies, products or assets. We cannot predict with certainty all of the particular uses for the net proceeds to be received upon the closing of this offering or the amounts that we will actually spend on the uses set forth above. Predicting the cost necessary to commercialize approved products and develop product candidates can be difficult and the amounts and timing of our actual expenditures may vary significantly depending on numerous factors, including the progress of our development, our plans to develop our in-house drug product and vector manufacturing capabilities, the status of and results from clinical trials, any collaborations that we may enter into with third parties for our product candidates and any unforeseen cash needs. As a result, our management will retain broad discretion over the allocation of the net proceeds from this offering.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3" w:name="page94"/>
    <w:bookmarkEnd w:id="93"/>
    <w:p>
      <w:pPr>
        <w:ind w:firstLine="648"/>
        <w:spacing w:after="0" w:line="263"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operations and capital expenditure requirements into 2024. We have based this estimate on assumptions that may prove to be wrong, and we could use our available capital resources sooner than we currently expect.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70"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length of the COVID-19 pandemic and its impact on our planned clinical trials,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progress and costs of our preclinical studies, clinical trials and other research and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scope, prioritization and number of our clinical trials and other research and development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cost that we may incur under in- and out-licensing arrangements relating to our product candidate that we may enter into in the future;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filing, prosecuting, enforcing and defending patent claims and other intellectual property rights;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and timing for, amending current manufacturing agreements for production of sufficient clinical and commercial quantities of our product candidates, or entering into new agreement with existing or new CMOs;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potential costs of contracting with third parties to provide marketing and distribution services for us or for building such capacities internally;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Until we can generate significant revenues, if ever, we expect to satisfy our future cash needs through our existing cash, cash equivalents and short-term deposits, the net proceeds from this current offering, loans, debt or equity financings.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4" w:name="page95"/>
    <w:bookmarkEnd w:id="94"/>
    <w:p>
      <w:pPr>
        <w:ind w:right="440" w:firstLine="648"/>
        <w:spacing w:after="0" w:line="277" w:lineRule="auto"/>
        <w:rPr>
          <w:sz w:val="20"/>
          <w:szCs w:val="20"/>
          <w:color w:val="auto"/>
        </w:rPr>
      </w:pPr>
      <w:r>
        <w:rPr>
          <w:rFonts w:ascii="Arial" w:cs="Arial" w:eastAsia="Arial" w:hAnsi="Arial"/>
          <w:sz w:val="18"/>
          <w:szCs w:val="18"/>
          <w:color w:val="auto"/>
        </w:rPr>
        <w:t>We believe that the accounting policies described below are critical in order to understand the judgements and estimates used in the financial statements and to fully understand and evaluate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660" w:right="62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 especially, OSR, a co-founding quotaholder, significant related party vendor and a leading center for ex-vivo gene therapy for inherited diseases;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To reward the efforts of employees, directors, and certain consultants to promote our growth, our Board of Directors has historically approved, during its existence, various share-based awards, although no share-based awards were granted during the year ended December 31, 2020; however, during the six months ended June 30, 2021, the Board granted fully vested options on €169 quota B. In addition, the Board accelerated the vesting of other stock options on €546 quota B that were previously granted. This amounted to a total of €715 quota B that were exercised prior to the Corporate Conversion. All options were awarded with an exercise price of €1 per quota and, when exercised, were first converted to Quota B of Genenta Science S.r.l. and then to ordinary shares giving effect to our Corporate Conversion to Genenta Science S.p.A. All options have now been granted and there were no outstanding options as of June 30, 2021. The Board is implementing a new stock option plan (the Company’s “Equity Incentive Plan 2021–2025”) based on a maximum of 2.7 million of new ordinary shares (i.e., common stock) or 10% of the number of shares outstanding after the next round of financing. The new stock option plan will be implemented by the Compensation and Nominating Committee of the Board of Directors after the next round of financing.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5" w:name="page96"/>
    <w:bookmarkEnd w:id="95"/>
    <w:p>
      <w:pPr>
        <w:ind w:firstLine="648"/>
        <w:spacing w:after="0" w:line="257" w:lineRule="auto"/>
        <w:rPr>
          <w:sz w:val="20"/>
          <w:szCs w:val="20"/>
          <w:color w:val="auto"/>
        </w:rPr>
      </w:pPr>
      <w:r>
        <w:rPr>
          <w:rFonts w:ascii="Arial" w:cs="Arial" w:eastAsia="Arial" w:hAnsi="Arial"/>
          <w:sz w:val="18"/>
          <w:szCs w:val="18"/>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Quota B valuations (Pre-Conversion to S.p.A.)</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fair value of the Quota B of Genenta Science S.r.l. underlying our stock-based compensation grants prior to our Corporate Conversion has historically been determined by our board of directors, with input from management and third-party valuations. We believe that the board of directors has the relevant experience and expertise to determine the fair value of the Quota B, when also securing third-party assistance. Given the absence of a public trading market of our equity, and in accordance with the American Institute of Certified Public Accountants Practice Aid, Valuation of Privately-Held Company Equity Securities Issued as Compensation, the board of directors exercised reasonable judgment and considered numerous objective and subjective factors to determine the best estimate of the fair value of our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price of our equity to third-party, arms-length, sophisticated, and qualified investors, which was used in the OPM backsolve model;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Quota C, D, and E preferred equity classes relative to those of our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timing, progress and results of our preclinical studies and clinical trials for our programs and product candidates; including statements regarding the timing of initiation and completion of trials or studies and related preparatory work, the period during which the results of the trials will become available and our research and development programs;</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given prevailing market conditions, or other liquidation events for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sectPr>
      </w:pPr>
    </w:p>
    <w:bookmarkStart w:id="96" w:name="page97"/>
    <w:bookmarkEnd w:id="96"/>
    <w:p>
      <w:pPr>
        <w:ind w:firstLine="648"/>
        <w:spacing w:after="0" w:line="279" w:lineRule="auto"/>
        <w:rPr>
          <w:sz w:val="20"/>
          <w:szCs w:val="20"/>
          <w:color w:val="auto"/>
        </w:rPr>
      </w:pPr>
      <w:r>
        <w:rPr>
          <w:rFonts w:ascii="Arial" w:cs="Arial" w:eastAsia="Arial" w:hAnsi="Arial"/>
          <w:sz w:val="17"/>
          <w:szCs w:val="17"/>
          <w:color w:val="auto"/>
        </w:rPr>
        <w:t>In valuing the Quota B, the board of directors determined the equity value of our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 Company Equity Securities Issued as Compensation. Our option valuations were prepared using an option pricing method (“OPM”), which used market approaches to estimate our enterprise value.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OPM treats each equity class as a call options on the total equity value of a company, with exercise prices </w:t>
      </w:r>
      <w:r>
        <w:rPr>
          <w:rFonts w:ascii="Arial" w:cs="Arial" w:eastAsia="Arial" w:hAnsi="Arial"/>
          <w:sz w:val="18"/>
          <w:szCs w:val="18"/>
          <w:i w:val="1"/>
          <w:iCs w:val="1"/>
          <w:color w:val="auto"/>
        </w:rPr>
        <w:t>(i.e.</w:t>
      </w:r>
      <w:r>
        <w:rPr>
          <w:rFonts w:ascii="Arial" w:cs="Arial" w:eastAsia="Arial" w:hAnsi="Arial"/>
          <w:sz w:val="18"/>
          <w:szCs w:val="18"/>
          <w:color w:val="auto"/>
        </w:rPr>
        <w:t>,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Application of our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Quota B, and consequently, our share-based compensation expense could be materially different. For valuations after the completion of an initial public offering, the board of directors will determine the fair value of each share of underlying equity shares based on the closing price of the shares as reported on the date of grant.</w:t>
      </w:r>
    </w:p>
    <w:p>
      <w:pPr>
        <w:spacing w:after="0" w:line="19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On June 18, 2021, all Quota B were converted, with all other classes of Quota, into ordinary common stock based essentially on their ownership percentages. All previous rights and privileges of the classes of quotaholders were cancelled and all owners received their pro rata ownership in the same class of ordinary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tax credit receivables</w:t>
      </w:r>
    </w:p>
    <w:p>
      <w:pPr>
        <w:spacing w:after="0" w:line="22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6"/>
          <w:szCs w:val="16"/>
          <w:color w:val="auto"/>
        </w:rPr>
        <w:t xml:space="preserve">We account for our research and development tax credit receivable in accordance with IAS 20 </w:t>
      </w:r>
      <w:r>
        <w:rPr>
          <w:rFonts w:ascii="Arial" w:cs="Arial" w:eastAsia="Arial" w:hAnsi="Arial"/>
          <w:sz w:val="16"/>
          <w:szCs w:val="16"/>
          <w:i w:val="1"/>
          <w:iCs w:val="1"/>
          <w:color w:val="auto"/>
        </w:rPr>
        <w:t>Accounting for Government Grants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of Government Assistance</w:t>
      </w:r>
      <w:r>
        <w:rPr>
          <w:rFonts w:ascii="Arial" w:cs="Arial" w:eastAsia="Arial" w:hAnsi="Arial"/>
          <w:sz w:val="16"/>
          <w:szCs w:val="16"/>
          <w:color w:val="auto"/>
        </w:rPr>
        <w:t>. The receivable is recognized when there is reasonable assurance that: (1) the recipient will comply with the relevant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(2) the grant will be received. We elected to present the credit net of the related expenditure on the statements of operations and comprehensive loss.</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an “emerging growth company.” Under the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not engaged in any off-balance sheet arrangements, such as the use of unconsolidated subsidiaries, structured finance, special purpose entities or variable interest entities.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97" w:name="page98"/>
    <w:bookmarkEnd w:id="97"/>
    <w:p>
      <w:pPr>
        <w:ind w:right="40" w:firstLine="648"/>
        <w:spacing w:after="0" w:line="263" w:lineRule="auto"/>
        <w:rPr>
          <w:sz w:val="20"/>
          <w:szCs w:val="20"/>
          <w:color w:val="auto"/>
        </w:rPr>
      </w:pPr>
      <w:r>
        <w:rPr>
          <w:rFonts w:ascii="Arial" w:cs="Arial" w:eastAsia="Arial" w:hAnsi="Arial"/>
          <w:sz w:val="18"/>
          <w:szCs w:val="18"/>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is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results of operations and cash flow are not subject to significant fluctuations due to changes in foreign currency exchange rates. As discussed above, most of our liquid assets and our expenses are denominated in EUR. Changes of 5% and 10% in the USD/EUR exchange rate would not have significantly increased/decreased our operating expenses. As we continue to grow our business, our results of operations and cash flows might be subject to fluctuations due to changes in foreign currency exchange rates, which could adversely impact our results of operations.</w:t>
      </w:r>
    </w:p>
    <w:p>
      <w:pPr>
        <w:spacing w:after="0" w:line="17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98" w:name="page99"/>
    <w:bookmarkEnd w:id="98"/>
    <w:p>
      <w:pPr>
        <w:jc w:val="center"/>
        <w:ind w:right="-7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We are a clinical-stage biotechnology company engaged in the development of hematopoietic stem cell gene therapies for the treatment of solid tumors. We have developed a novel biologic platform that involves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spacing w:after="0" w:line="21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spacing w:after="0" w:line="214" w:lineRule="exact"/>
        <w:rPr>
          <w:sz w:val="20"/>
          <w:szCs w:val="20"/>
          <w:color w:val="auto"/>
        </w:rPr>
      </w:pPr>
    </w:p>
    <w:p>
      <w:pPr>
        <w:ind w:left="660" w:right="10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Trojan Horse Mechanism of Action (“MoA”): </w:t>
      </w:r>
      <w:r>
        <w:rPr>
          <w:rFonts w:ascii="Arial" w:cs="Arial" w:eastAsia="Arial" w:hAnsi="Arial"/>
          <w:sz w:val="18"/>
          <w:szCs w:val="18"/>
          <w:color w:val="auto"/>
        </w:rPr>
        <w:t>We use and modify TEMs, a subpopulation of tumor-associated myeloid cells, known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in tumor growth and in the inhibition of immune system response, to allow the immune system to recognize the tumor and to deliver to the cancer site a chosen therapeutic.</w:t>
      </w:r>
    </w:p>
    <w:p>
      <w:pPr>
        <w:spacing w:after="0" w:line="143"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Select Regulation of Transgene Expression: </w:t>
      </w:r>
      <w:r>
        <w:rPr>
          <w:rFonts w:ascii="Arial" w:cs="Arial" w:eastAsia="Arial" w:hAnsi="Arial"/>
          <w:sz w:val="18"/>
          <w:szCs w:val="18"/>
          <w:color w:val="auto"/>
        </w:rPr>
        <w:t>Our selected control of the chosen therapeutic gene expression is designed to avoid off-target and</w:t>
      </w:r>
      <w:r>
        <w:rPr>
          <w:rFonts w:ascii="Arial" w:cs="Arial" w:eastAsia="Arial" w:hAnsi="Arial"/>
          <w:sz w:val="18"/>
          <w:szCs w:val="18"/>
          <w:i w:val="1"/>
          <w:iCs w:val="1"/>
          <w:color w:val="auto"/>
        </w:rPr>
        <w:t xml:space="preserve"> </w:t>
      </w:r>
      <w:r>
        <w:rPr>
          <w:rFonts w:ascii="Arial" w:cs="Arial" w:eastAsia="Arial" w:hAnsi="Arial"/>
          <w:sz w:val="18"/>
          <w:szCs w:val="18"/>
          <w:color w:val="auto"/>
        </w:rPr>
        <w:t>systemic toxicity.</w:t>
      </w:r>
    </w:p>
    <w:p>
      <w:pPr>
        <w:spacing w:after="0" w:line="129"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Potential Long-Term Effect: </w:t>
      </w:r>
      <w:r>
        <w:rPr>
          <w:rFonts w:ascii="Arial" w:cs="Arial" w:eastAsia="Arial" w:hAnsi="Arial"/>
          <w:sz w:val="16"/>
          <w:szCs w:val="16"/>
          <w:color w:val="auto"/>
        </w:rPr>
        <w:t>Through the use of hematopoietic stem cells, our therapeutic candidate is designed as a “</w:t>
      </w:r>
      <w:r>
        <w:rPr>
          <w:rFonts w:ascii="Arial" w:cs="Arial" w:eastAsia="Arial" w:hAnsi="Arial"/>
          <w:sz w:val="16"/>
          <w:szCs w:val="16"/>
          <w:i w:val="1"/>
          <w:iCs w:val="1"/>
          <w:color w:val="auto"/>
        </w:rPr>
        <w:t>living therapy</w:t>
      </w:r>
      <w:r>
        <w:rPr>
          <w:rFonts w:ascii="Arial" w:cs="Arial" w:eastAsia="Arial" w:hAnsi="Arial"/>
          <w:sz w:val="16"/>
          <w:szCs w:val="16"/>
          <w:color w:val="auto"/>
        </w:rPr>
        <w:t>”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break the cancer-induced immune tolerance and to establish a competent immune surveillance throughout the life of the patient.</w:t>
      </w:r>
    </w:p>
    <w:p>
      <w:pPr>
        <w:spacing w:after="0" w:line="8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Agnostic Response</w:t>
      </w:r>
      <w:r>
        <w:rPr>
          <w:rFonts w:ascii="Arial" w:cs="Arial" w:eastAsia="Arial" w:hAnsi="Arial"/>
          <w:sz w:val="18"/>
          <w:szCs w:val="18"/>
          <w:color w:val="auto"/>
        </w:rPr>
        <w:t>: In contrast to antigen-restricted CAR-T cells, our platform is not restricted to a pre-selected tumor antigen, nor any one tumor</w:t>
      </w:r>
      <w:r>
        <w:rPr>
          <w:rFonts w:ascii="Arial" w:cs="Arial" w:eastAsia="Arial" w:hAnsi="Arial"/>
          <w:sz w:val="18"/>
          <w:szCs w:val="18"/>
          <w:i w:val="1"/>
          <w:iCs w:val="1"/>
          <w:color w:val="auto"/>
        </w:rPr>
        <w:t xml:space="preserve"> </w:t>
      </w:r>
      <w:r>
        <w:rPr>
          <w:rFonts w:ascii="Arial" w:cs="Arial" w:eastAsia="Arial" w:hAnsi="Arial"/>
          <w:sz w:val="18"/>
          <w:szCs w:val="18"/>
          <w:color w:val="auto"/>
        </w:rPr>
        <w:t>type. As such, it may be applied to a broad range of solid tumors and cancer subtypes, which would overcome one of the central unresolved challenges of immune-oncology cancer therapies.</w:t>
      </w:r>
    </w:p>
    <w:p>
      <w:pPr>
        <w:spacing w:after="0" w:line="21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lead product candidate, Temferon, was developed using our platform and carries an interferon-alpha (IFN-α) payload. IFN-α is a well-known therapeutic that was previously administered intravenously for treatment of various cancers, but it is currently rarely used because of its systemic toxicity. The Temferon</w:t>
      </w:r>
      <w:r>
        <w:rPr>
          <w:rFonts w:ascii="Arial" w:cs="Arial" w:eastAsia="Arial" w:hAnsi="Arial"/>
          <w:sz w:val="16"/>
          <w:szCs w:val="16"/>
          <w:b w:val="1"/>
          <w:bCs w:val="1"/>
          <w:color w:val="auto"/>
        </w:rPr>
        <w:t>-</w:t>
      </w:r>
      <w:r>
        <w:rPr>
          <w:rFonts w:ascii="Arial" w:cs="Arial" w:eastAsia="Arial" w:hAnsi="Arial"/>
          <w:sz w:val="16"/>
          <w:szCs w:val="16"/>
          <w:color w:val="auto"/>
        </w:rPr>
        <w:t>modified TEMs express the transgene payload, IFN-α, in the tumor microenvironment resulting in the breakdown of tumor induced immune-tolerance. As a result, the immune system can recognize the tumor, respond, and inhibit tumor growth. Because Temferon is designed to deliver the IFN-α payload directly 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spacing w:after="0" w:line="191"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We are currently developing Temferon for the treatment of glioblastoma multiforme (GBM) in patients who have an unmethylated MGMT gene promoter (uMGMT-GBM). GBM is the most common malignant primary brain tumor, accounting for more than half of all central nervous system (CNS)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We are currently conducting a Phase 1/2a clinical trial with Temferon in newly diagnosed uMGMT-GBM patients in Italy. We anticipate completing enrollment and patient dosing by the second quarter of 2022. We intend to use the preliminary results of our Phase 1/2a clinical trial to support a Clinical Trial Application to conduct in EU a multicenter Phase 2 trial in uMGMT-GBM,</w:t>
      </w:r>
    </w:p>
    <w:p>
      <w:pPr>
        <w:spacing w:after="0" w:line="5" w:lineRule="exact"/>
        <w:rPr>
          <w:sz w:val="20"/>
          <w:szCs w:val="20"/>
          <w:color w:val="auto"/>
        </w:rPr>
      </w:pPr>
    </w:p>
    <w:p>
      <w:pPr>
        <w:ind w:right="140"/>
        <w:spacing w:after="0" w:line="209" w:lineRule="auto"/>
        <w:rPr>
          <w:sz w:val="20"/>
          <w:szCs w:val="20"/>
          <w:color w:val="auto"/>
        </w:rPr>
      </w:pPr>
      <w:r>
        <w:rPr>
          <w:rFonts w:ascii="Arial" w:cs="Arial" w:eastAsia="Arial" w:hAnsi="Arial"/>
          <w:sz w:val="18"/>
          <w:szCs w:val="18"/>
          <w:color w:val="auto"/>
        </w:rPr>
        <w:t>which we currently intend to conduct primarily in Italy. As of October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have dosed a total of 15 patients. The preliminary results show that Temferon has been generally well tolerated, with no dose limiting toxicities identified so far.</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5" w:right="419" w:bottom="1440" w:gutter="0" w:footer="0" w:header="0"/>
        </w:sectPr>
      </w:pPr>
    </w:p>
    <w:bookmarkStart w:id="99" w:name="page100"/>
    <w:bookmarkEnd w:id="99"/>
    <w:p>
      <w:pPr>
        <w:ind w:firstLine="648"/>
        <w:spacing w:after="0" w:line="272" w:lineRule="auto"/>
        <w:rPr>
          <w:sz w:val="20"/>
          <w:szCs w:val="20"/>
          <w:color w:val="auto"/>
        </w:rPr>
      </w:pPr>
      <w:r>
        <w:rPr>
          <w:rFonts w:ascii="Arial" w:cs="Arial" w:eastAsia="Arial" w:hAnsi="Arial"/>
          <w:sz w:val="17"/>
          <w:szCs w:val="17"/>
          <w:color w:val="auto"/>
        </w:rPr>
        <w:t>We also intend to develop Temferon for the treatment of other solid tumor indications, and locally advanced hepatocellular carcinoma (HCC) and intra-hepatic cholangiocarcinoma (ICC) are under consideration. HCC and ICC are gastrointestinal (GI) cancers affecting the digestive system. HCC is a primary malignancy of the liver that occurs predominantly in patients with underlying chronic liver disease and cirrhosis. ICC is a biliary tract cancer and represents approximately 3% of all GI malignancies. The prognosis for patients with locally advanced HCC or ICC remains poor, with few therapeutic options, having limited clinical benefits. While we are considering development of Temferon for these liver indications for similar reasons as GBM (i.e. the high unmet need, TEMs’ role in HCC and ICC pathology, and the number of newly diagnosed patients potentially eligible for our study), we are also evaluating development of Temferon for other solid tumor indications.</w:t>
      </w:r>
    </w:p>
    <w:p>
      <w:pPr>
        <w:spacing w:after="0" w:line="20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our Temferon programs that target uMGMT-GBM or other solid tumor indications such as HCC and ICC, we have exclusive option rights to license (i) Temferon for the treatment of additional indications, and (ii) other drug candidates that are currently in the preclinical stage of development both as standalone treatments and as combination therapies.</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We were founded in 2014 by San Raffaele Hospital (Ospedale San Raffaele or OSR) in Milan, a globally recognized premier research hospital for </w:t>
      </w:r>
      <w:r>
        <w:rPr>
          <w:rFonts w:ascii="Arial" w:cs="Arial" w:eastAsia="Arial" w:hAnsi="Arial"/>
          <w:sz w:val="17"/>
          <w:szCs w:val="17"/>
          <w:i w:val="1"/>
          <w:iCs w:val="1"/>
          <w:color w:val="auto"/>
        </w:rPr>
        <w:t xml:space="preserve">ex-vivo </w:t>
      </w:r>
      <w:r>
        <w:rPr>
          <w:rFonts w:ascii="Arial" w:cs="Arial" w:eastAsia="Arial" w:hAnsi="Arial"/>
          <w:sz w:val="17"/>
          <w:szCs w:val="17"/>
          <w:color w:val="auto"/>
        </w:rPr>
        <w:t>gene therapy, with Pierluigi Paracchi (our CEO), Luigi Naldini (Chairman of our Executive Scientific Board) and Bernhard Gentner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Executive Scientific Board), to develop potential ground-breaking cell and gene cancer therapies. We leverage the vast experience in LVV technology of the San Raffaele Telethon Institute for Gene Therapy (SR-Tiget), a world leading cell and gene therapy research institution on the forefront of developing therapies for rare diseases that is a joint venture between OSR and Fondazione Telethon (Telethon). SR-Tiget has a proven track record for successful collaborative clinical research programs in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that give rise to approved products, including Strimvelis,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gammaretroviral vector-based gene therapy for adenosine deaminase severe combined immunodeficiency (ADA-SCID), and Libmeldy, an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for the treatment of early-onset metachromatic leukodystrophy (MLD) patients, both marketed by Orchard Therapeutics. Our platform was developed in the SR-Tiget laboratories of our founders, Prof. Naldini and Dr. Gentner and we hold exclusive rights, and exclusive option rights, to certain intellectual property originating there.</w:t>
      </w:r>
    </w:p>
    <w:p>
      <w:pPr>
        <w:spacing w:after="0" w:line="21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Since closing our first round of funding in May 2015, we have recruited a leading management team, established a manufacturing process for our drug product candidate, completed preclinical activities (research and Good Laboratory Practice – GLP – grades), engaged with Italian, European and U.S. Key Opinion Leaders (KOLs) to identify our clinical lead indications and submitted our first CTA.</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Our leadership team has a proven track record as biotech executives. Their expertise span from finance and venture capital to medical affairs, scientific research, clinical drug product development and clinical trial management and conduction. For example, members of our management team have been involved in the successful development of Ethical Oncology Science, which was acquired in 2013 for over $400 million, and Strimvelis the first ever approved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product that was developed under the guide of Carlo Russo, our Chief Medical Officer and Head of Development (formerly Head of Development of the Biopharm Unit and Head of Research &amp; Development of the Rare Disease Unit at GSK). Our management team members have played important roles in both large pharma companies such as Merck and GSK, and life science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Research and Development Pipeline</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Our portfolio of clinical and preclinical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HCC and ICC, as well as exclusive option rights to license all of our other programs. Specifically,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pipeline, with clinical and preclinical stage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168910</wp:posOffset>
            </wp:positionV>
            <wp:extent cx="5743575" cy="2674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435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*Genenta has options/rights on IP derived from preclinical data generated at SR-Tiget laboratories.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 xml:space="preserve">We are developing novel cancer therapeutics using our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platform, to initially address the unmet medical needs of uMGMT-GBM patients and patients suffering from another solid cancer indication such as HCC and ICC, but ultimately, we hope to broaden our platform to treat a wide variety of cancers by pursuing the following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development of our leading clinical-stage product candidate, Temferon in the U.S.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currently conducting a Phase 1/2a dose-escalation study in Italy to primarily evaluate the safety and tolerability of Temferon in up to 21 uMGMT-GBM patients who have an unmethylated MGMT promoter, following radiotherapy treatment. We plan to initiate in Europe a multicenter Phase 2 trial in uMGMT-GBM, which we currently intend to conduct primarily in Italy to evaluate the safety and efficacy of Temferon in up to 27 uMGMT-GBM patients who have an unmethylated MGMT promoter where we intend to measure progression free survival (PFS) and overall survival (OS) as endpoints.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Extend our product pipeline across multiple indications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expand our product pipeline by:</w:t>
      </w:r>
    </w:p>
    <w:p>
      <w:pPr>
        <w:spacing w:after="0" w:line="252" w:lineRule="exact"/>
        <w:rPr>
          <w:sz w:val="20"/>
          <w:szCs w:val="20"/>
          <w:color w:val="auto"/>
        </w:rPr>
      </w:pPr>
    </w:p>
    <w:p>
      <w:pPr>
        <w:ind w:left="660" w:right="120" w:hanging="328"/>
        <w:spacing w:after="0" w:line="25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Identifying additional indications suitable for Temferon. We are in the planning stages for a second study using Temferon in a second solid tumor indication and locally advanced HCC and ICC are under consideration. The Istituto Superiore di Sanità (ISS), an independent committee with oversight from the Italian Ministry of Health, must issue a positive opinion regarding our CTA before AIFA will approve it and we may start patient’s recruitment. In addition to HCC and ICC, we believe there may be additional cancer indications which actively recruit TEMs to proliferate for which Temferon may be a suitable therapy.</w:t>
      </w:r>
    </w:p>
    <w:p>
      <w:pPr>
        <w:spacing w:after="0" w:line="147"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Using our platform with different transgene payloads</w:t>
      </w:r>
      <w:r>
        <w:rPr>
          <w:rFonts w:ascii="Arial" w:cs="Arial" w:eastAsia="Arial" w:hAnsi="Arial"/>
          <w:sz w:val="18"/>
          <w:szCs w:val="18"/>
          <w:color w:val="auto"/>
        </w:rPr>
        <w:t>. Our platform technology is designed to enable us to use different transgene payloads to</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achieve therapeutic outcomes in selected cancer indications. We are currently conducting preclinical studies for two therapeutics using our platform with different payloads targeting solid tumors.</w:t>
      </w:r>
    </w:p>
    <w:p>
      <w:pPr>
        <w:spacing w:after="0" w:line="143" w:lineRule="exact"/>
        <w:rPr>
          <w:rFonts w:ascii="Arial" w:cs="Arial" w:eastAsia="Arial" w:hAnsi="Arial"/>
          <w:sz w:val="18"/>
          <w:szCs w:val="18"/>
          <w:color w:val="auto"/>
        </w:rPr>
      </w:pPr>
    </w:p>
    <w:p>
      <w:pPr>
        <w:ind w:left="660" w:right="400" w:hanging="328"/>
        <w:spacing w:after="0" w:line="311"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Developing a second-generation platform that enables the “on-demand” release of the transgene payload</w:t>
      </w:r>
      <w:r>
        <w:rPr>
          <w:rFonts w:ascii="Arial" w:cs="Arial" w:eastAsia="Arial" w:hAnsi="Arial"/>
          <w:sz w:val="16"/>
          <w:szCs w:val="16"/>
          <w:color w:val="auto"/>
        </w:rPr>
        <w:t>.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p>
      <w:pPr>
        <w:spacing w:after="0" w:line="108" w:lineRule="exact"/>
        <w:rPr>
          <w:rFonts w:ascii="Arial" w:cs="Arial" w:eastAsia="Arial" w:hAnsi="Arial"/>
          <w:sz w:val="16"/>
          <w:szCs w:val="16"/>
          <w:color w:val="auto"/>
        </w:rPr>
      </w:pPr>
    </w:p>
    <w:p>
      <w:pPr>
        <w:ind w:left="660" w:right="40" w:hanging="328"/>
        <w:spacing w:after="0" w:line="286"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Exploring combination therapies</w:t>
      </w:r>
      <w:r>
        <w:rPr>
          <w:rFonts w:ascii="Arial" w:cs="Arial" w:eastAsia="Arial" w:hAnsi="Arial"/>
          <w:sz w:val="17"/>
          <w:szCs w:val="17"/>
          <w:color w:val="auto"/>
        </w:rPr>
        <w:t>. We will seek to enter into collaborations with other companies to explore combination studies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therapeutics with other cancer therapies, such as ICI, CAR-T cell therapies and TCR therapies. We believe our product, as a result of its MoA, has the potential to enhance the durability and efficacy of the existing therapies, thus abolishing the immune tolerance to the tumor.</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Exploiting in-licensing opportunities with OSR</w:t>
      </w:r>
      <w:r>
        <w:rPr>
          <w:rFonts w:ascii="Arial" w:cs="Arial" w:eastAsia="Arial" w:hAnsi="Arial"/>
          <w:sz w:val="18"/>
          <w:szCs w:val="18"/>
          <w:color w:val="auto"/>
        </w:rPr>
        <w:t>. We intend to exploit in-licensing opportunities with OSR, a co-founding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 and maintain efficient manufacturing processes to support anticipated growth</w:t>
      </w:r>
    </w:p>
    <w:p>
      <w:pPr>
        <w:spacing w:after="0" w:line="252"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To meet our drug product supply needs for conducting larger trials after the completion of our planned Phase 2 uMGMT-GBM study in Europe, we intend to enter into a supply agreement with a US-based CMO for the manufacturing of our products. Currently, Temferon, is manufactured by AGC Biologics, a leading global contract development and manufacturing organization (CDMO), which is headquartered in Italy and specializes in the manufacturing of viral vectors and genetically engineered cells. Their facility is certified by AIFA.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 patient-centered infrastructure and strong relationships with key U.S. opinion leaders working in our disease area</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Since cell and gene-based therapies are relatively new approaches in oncology, we intend to implement programs to improve patient and physician education regarding the availability of gene therapy-based products for those cancers with a high unmet medical need. To this end, we are discussing with 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Develop opportunistic partnership(s) with pharmaceutical company(s)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may choose to partner with larger pharmaceutical companies whose core competencies and oncology strategies are in line with ours.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56"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 xml:space="preserve">We believe that our growing body of early clinical data evidencing the potential of our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spacing w:after="0" w:line="176" w:lineRule="exact"/>
        <w:rPr>
          <w:sz w:val="20"/>
          <w:szCs w:val="20"/>
          <w:color w:val="auto"/>
        </w:rPr>
      </w:pPr>
    </w:p>
    <w:p>
      <w:pPr>
        <w:ind w:left="660" w:hanging="328"/>
        <w:spacing w:after="0" w:line="288"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Unique and valuable expertise. </w:t>
      </w:r>
      <w:r>
        <w:rPr>
          <w:rFonts w:ascii="Arial" w:cs="Arial" w:eastAsia="Arial" w:hAnsi="Arial"/>
          <w:sz w:val="16"/>
          <w:szCs w:val="16"/>
          <w:color w:val="auto"/>
        </w:rPr>
        <w:t>We are conducting our clinical trials at OSR, a leading center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ex-vivo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therapy for inherited diseases. OSR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p>
      <w:pPr>
        <w:spacing w:after="0" w:line="123" w:lineRule="exact"/>
        <w:rPr>
          <w:rFonts w:ascii="Arial" w:cs="Arial" w:eastAsia="Arial" w:hAnsi="Arial"/>
          <w:sz w:val="16"/>
          <w:szCs w:val="16"/>
          <w:color w:val="auto"/>
        </w:rPr>
      </w:pPr>
    </w:p>
    <w:p>
      <w:pPr>
        <w:ind w:left="660" w:right="20" w:hanging="328"/>
        <w:spacing w:after="0" w:line="28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Deep pipeline with broad utility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the flexibility of our technology platform combined with our exclusive option rights to in-license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programs, gives us the ability to grow our pipeline by targeting a broad set of cancer diseases.</w:t>
      </w:r>
    </w:p>
    <w:p>
      <w:pPr>
        <w:spacing w:after="0" w:line="121" w:lineRule="exact"/>
        <w:rPr>
          <w:rFonts w:ascii="Arial" w:cs="Arial" w:eastAsia="Arial" w:hAnsi="Arial"/>
          <w:sz w:val="18"/>
          <w:szCs w:val="18"/>
          <w:color w:val="auto"/>
        </w:rPr>
      </w:pPr>
    </w:p>
    <w:p>
      <w:pPr>
        <w:ind w:left="660" w:right="720" w:hanging="328"/>
        <w:spacing w:after="0" w:line="282"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Durable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Preliminary interim clinical data collected from twelve treated uMGMT-GBM patients following a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of Temferon displayed modified cells at 18 months, the last measured timepoint to date.</w:t>
      </w:r>
    </w:p>
    <w:p>
      <w:pPr>
        <w:spacing w:after="0" w:line="121" w:lineRule="exact"/>
        <w:rPr>
          <w:rFonts w:ascii="Arial" w:cs="Arial" w:eastAsia="Arial" w:hAnsi="Arial"/>
          <w:sz w:val="18"/>
          <w:szCs w:val="18"/>
          <w:b w:val="1"/>
          <w:bCs w:val="1"/>
          <w:color w:val="auto"/>
        </w:rPr>
      </w:pPr>
    </w:p>
    <w:p>
      <w:pPr>
        <w:ind w:left="660" w:right="80" w:hanging="328"/>
        <w:spacing w:after="0" w:line="261"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Designed for tumor restricted therapeutic payload delivery and release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design of our transgene expression cassette is intended to restrict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p>
      <w:pPr>
        <w:spacing w:after="0" w:line="143" w:lineRule="exact"/>
        <w:rPr>
          <w:rFonts w:ascii="Arial" w:cs="Arial" w:eastAsia="Arial" w:hAnsi="Arial"/>
          <w:sz w:val="18"/>
          <w:szCs w:val="18"/>
          <w:b w:val="1"/>
          <w:bCs w:val="1"/>
          <w:color w:val="auto"/>
        </w:rPr>
      </w:pPr>
    </w:p>
    <w:p>
      <w:pPr>
        <w:ind w:left="660" w:right="380" w:hanging="328"/>
        <w:spacing w:after="0" w:line="342" w:lineRule="auto"/>
        <w:tabs>
          <w:tab w:leader="none" w:pos="66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Agnostic approach. </w:t>
      </w:r>
      <w:r>
        <w:rPr>
          <w:rFonts w:ascii="Arial" w:cs="Arial" w:eastAsia="Arial" w:hAnsi="Arial"/>
          <w:sz w:val="16"/>
          <w:szCs w:val="16"/>
          <w:color w:val="auto"/>
        </w:rPr>
        <w:t>Our immune-gene therapy approach is designed to be a tumor-agnostic immunotherapy that does not rely on any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 or tumor type, and we believe it could be successfully applied to a potentially broad range of cancers and immune contexts.</w:t>
      </w:r>
    </w:p>
    <w:p>
      <w:pPr>
        <w:spacing w:after="0" w:line="83" w:lineRule="exact"/>
        <w:rPr>
          <w:rFonts w:ascii="Arial" w:cs="Arial" w:eastAsia="Arial" w:hAnsi="Arial"/>
          <w:sz w:val="16"/>
          <w:szCs w:val="16"/>
          <w:b w:val="1"/>
          <w:bCs w:val="1"/>
          <w:color w:val="auto"/>
        </w:rPr>
      </w:pPr>
    </w:p>
    <w:p>
      <w:pPr>
        <w:ind w:left="660" w:right="100" w:hanging="328"/>
        <w:spacing w:after="0" w:line="263"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Solid tumors targeting. </w:t>
      </w:r>
      <w:r>
        <w:rPr>
          <w:rFonts w:ascii="Arial" w:cs="Arial" w:eastAsia="Arial" w:hAnsi="Arial"/>
          <w:sz w:val="18"/>
          <w:szCs w:val="18"/>
          <w:color w:val="auto"/>
        </w:rPr>
        <w:t>Our platform has the potential to efficiently target solid tumors. Solid tumors are difficult to treat, even by the most novel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leading-edge technologies such as ICIs and CAR-T cells. Our cellular carrier, TEMs, is spontaneously and actively recruited by growing tumors and is found in several human solid tumors, irrespective of location.</w:t>
      </w:r>
    </w:p>
    <w:p>
      <w:pPr>
        <w:spacing w:after="0" w:line="143" w:lineRule="exact"/>
        <w:rPr>
          <w:rFonts w:ascii="Arial" w:cs="Arial" w:eastAsia="Arial" w:hAnsi="Arial"/>
          <w:sz w:val="18"/>
          <w:szCs w:val="18"/>
          <w:b w:val="1"/>
          <w:bCs w:val="1"/>
          <w:color w:val="auto"/>
        </w:rPr>
      </w:pPr>
    </w:p>
    <w:p>
      <w:pPr>
        <w:jc w:val="both"/>
        <w:ind w:left="660" w:right="60" w:hanging="328"/>
        <w:spacing w:after="0" w:line="311"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Active and sustained tumor surveillance. </w:t>
      </w:r>
      <w:r>
        <w:rPr>
          <w:rFonts w:ascii="Arial" w:cs="Arial" w:eastAsia="Arial" w:hAnsi="Arial"/>
          <w:sz w:val="16"/>
          <w:szCs w:val="16"/>
          <w:color w:val="auto"/>
        </w:rPr>
        <w:t>Our immune-gene investigational therapy is designed to trigger the patient’s own immune response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 an active immune surveillance. Our preclinical work, which used different cancer models (B-cell acute lymphoblastic leukemia - B-ALL and GBM) as well as preliminary data collected from our uMGMT-GBM patients, suggests the occurrence of changes in the immune system.</w:t>
      </w:r>
    </w:p>
    <w:p>
      <w:pPr>
        <w:spacing w:after="0" w:line="108"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Fine dose tuning. </w:t>
      </w:r>
      <w:r>
        <w:rPr>
          <w:rFonts w:ascii="Arial" w:cs="Arial" w:eastAsia="Arial" w:hAnsi="Arial"/>
          <w:sz w:val="18"/>
          <w:szCs w:val="18"/>
          <w:color w:val="auto"/>
        </w:rPr>
        <w:t>Our platform holds promise to fine tune the dose to be administered based on individual patient characteristics.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3" w:name="page104"/>
    <w:bookmarkEnd w:id="103"/>
    <w:p>
      <w:pPr>
        <w:ind w:left="660" w:hanging="328"/>
        <w:spacing w:after="0" w:line="263"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Preliminary data indicate that our approach is feasible and well-tolerated. </w:t>
      </w:r>
      <w:r>
        <w:rPr>
          <w:rFonts w:ascii="Arial" w:cs="Arial" w:eastAsia="Arial" w:hAnsi="Arial"/>
          <w:sz w:val="18"/>
          <w:szCs w:val="18"/>
          <w:color w:val="auto"/>
        </w:rPr>
        <w:t>Temferon has been well-tolerated in the limited number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treated to date.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modification of the patient’s own HSPCs and cryopreservation allow us to formulate the patient’s drug product prior to administering the therapy.</w:t>
      </w:r>
    </w:p>
    <w:p>
      <w:pPr>
        <w:spacing w:after="0" w:line="143" w:lineRule="exact"/>
        <w:rPr>
          <w:rFonts w:ascii="Arial" w:cs="Arial" w:eastAsia="Arial" w:hAnsi="Arial"/>
          <w:sz w:val="18"/>
          <w:szCs w:val="18"/>
          <w:color w:val="auto"/>
        </w:rPr>
      </w:pPr>
    </w:p>
    <w:p>
      <w:pPr>
        <w:ind w:left="660" w:right="100" w:hanging="328"/>
        <w:spacing w:after="0" w:line="272"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LVV as transgene payload delivery vehicles. </w:t>
      </w:r>
      <w:r>
        <w:rPr>
          <w:rFonts w:ascii="Arial" w:cs="Arial" w:eastAsia="Arial" w:hAnsi="Arial"/>
          <w:sz w:val="17"/>
          <w:szCs w:val="17"/>
          <w:color w:val="auto"/>
        </w:rPr>
        <w:t>LVVs are particularly attractive for clinical applications due to their capacity to transfer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(gRV). A large number of patients have been treated both with other LVV gene therapy products approved for sale and with clinical-stage LVV gene therapy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w:t>
      </w:r>
    </w:p>
    <w:p>
      <w:pPr>
        <w:spacing w:after="0" w:line="136"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Applicability to a potentially large number of patients and indications</w:t>
      </w:r>
      <w:r>
        <w:rPr>
          <w:rFonts w:ascii="Arial" w:cs="Arial" w:eastAsia="Arial" w:hAnsi="Arial"/>
          <w:sz w:val="18"/>
          <w:szCs w:val="18"/>
          <w:color w:val="auto"/>
        </w:rPr>
        <w:t>. We believe our autologous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ex-vivo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 therapy approach has broad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therapeutic potential across a large number of malignancies.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Current IO Treatments</w:t>
      </w:r>
    </w:p>
    <w:p>
      <w:pPr>
        <w:spacing w:after="0" w:line="25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 Immuno-oncology therapy is recognized as an important type of cancer treatment in addition to more established options such as surgery, chemotherapy, targeted therapy and radiation therapy. Indeed, the number of IO therapeutics in development worldwide grew 233% from 2017 to 2020. IO therapeutics, which rely on the natural activity of the immune system to fight cancers in various ways, are grouped, by the Cancer Research Institute, in five main classes reported in the tables below.</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466090</wp:posOffset>
            </wp:positionV>
            <wp:extent cx="5743575" cy="4852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4357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Limitations of IO Approaches</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Despite significant advances, the clinical application of immunotherapy for cancer patients still faces challenges, including:</w:t>
      </w:r>
    </w:p>
    <w:p>
      <w:pPr>
        <w:spacing w:after="0" w:line="275"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Development of tumor resistance (positive selection of tumor cells bearing advantageous mutations);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Dependence on specific targets;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Poor response for many patients;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Lack of a durable response;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Side effects;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Need for multiple dosing for most IO classes;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Inability to efficiently target many solid tumors.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5" w:name="page106"/>
    <w:bookmarkEnd w:id="105"/>
    <w:p>
      <w:pPr>
        <w:ind w:right="320" w:firstLine="648"/>
        <w:spacing w:after="0" w:line="277" w:lineRule="auto"/>
        <w:rPr>
          <w:sz w:val="20"/>
          <w:szCs w:val="20"/>
          <w:color w:val="auto"/>
        </w:rPr>
      </w:pPr>
      <w:r>
        <w:rPr>
          <w:rFonts w:ascii="Arial" w:cs="Arial" w:eastAsia="Arial" w:hAnsi="Arial"/>
          <w:sz w:val="18"/>
          <w:szCs w:val="18"/>
          <w:color w:val="auto"/>
        </w:rPr>
        <w:t>In addition, manufacturing scalability of some IO approaches remains a challenge and significantly limits market penetration. The table below reports some of the main limitations for each IO class.</w:t>
      </w:r>
    </w:p>
    <w:p>
      <w:pPr>
        <w:spacing w:after="0" w:line="189" w:lineRule="exact"/>
        <w:rPr>
          <w:sz w:val="20"/>
          <w:szCs w:val="20"/>
          <w:color w:val="auto"/>
        </w:rPr>
      </w:pPr>
    </w:p>
    <w:p>
      <w:pPr>
        <w:ind w:left="480"/>
        <w:spacing w:after="0"/>
        <w:tabs>
          <w:tab w:leader="none" w:pos="6060" w:val="left"/>
        </w:tabs>
        <w:rPr>
          <w:sz w:val="20"/>
          <w:szCs w:val="20"/>
          <w:color w:val="auto"/>
        </w:rPr>
      </w:pPr>
      <w:r>
        <w:rPr>
          <w:rFonts w:ascii="Arial" w:cs="Arial" w:eastAsia="Arial" w:hAnsi="Arial"/>
          <w:sz w:val="14"/>
          <w:szCs w:val="14"/>
          <w:b w:val="1"/>
          <w:bCs w:val="1"/>
          <w:color w:val="auto"/>
        </w:rPr>
        <w:t>IO Class</w:t>
      </w:r>
      <w:r>
        <w:rPr>
          <w:sz w:val="20"/>
          <w:szCs w:val="20"/>
          <w:color w:val="auto"/>
        </w:rPr>
        <w:tab/>
      </w:r>
      <w:r>
        <w:rPr>
          <w:rFonts w:ascii="Arial" w:cs="Arial" w:eastAsia="Arial" w:hAnsi="Arial"/>
          <w:sz w:val="13"/>
          <w:szCs w:val="13"/>
          <w:b w:val="1"/>
          <w:bCs w:val="1"/>
          <w:color w:val="auto"/>
        </w:rPr>
        <w:t>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100"/>
        <w:spacing w:after="0" w:line="381" w:lineRule="auto"/>
        <w:rPr>
          <w:sz w:val="20"/>
          <w:szCs w:val="20"/>
          <w:color w:val="auto"/>
        </w:rPr>
      </w:pPr>
      <w:r>
        <w:rPr>
          <w:rFonts w:ascii="Arial" w:cs="Arial" w:eastAsia="Arial" w:hAnsi="Arial"/>
          <w:sz w:val="15"/>
          <w:szCs w:val="15"/>
          <w:b w:val="1"/>
          <w:bCs w:val="1"/>
          <w:i w:val="1"/>
          <w:iCs w:val="1"/>
          <w:color w:val="auto"/>
        </w:rPr>
        <w:t>Cell-based immunotherapies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40" w:hanging="326"/>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Graft versus host disease (GVHD)</w:t>
      </w:r>
    </w:p>
    <w:p>
      <w:pPr>
        <w:spacing w:after="0" w:line="23" w:lineRule="exact"/>
        <w:rPr>
          <w:rFonts w:ascii="Arial" w:cs="Arial" w:eastAsia="Arial" w:hAnsi="Arial"/>
          <w:sz w:val="18"/>
          <w:szCs w:val="18"/>
          <w:color w:val="auto"/>
        </w:rPr>
      </w:pPr>
    </w:p>
    <w:p>
      <w:pPr>
        <w:ind w:left="440" w:hanging="326"/>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Only a limited number of antigens may be targeted currently</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Inability to target multiple antigens at the same time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Some antigens targeting may be ineffective</w:t>
      </w:r>
    </w:p>
    <w:p>
      <w:pPr>
        <w:spacing w:after="0" w:line="9" w:lineRule="exact"/>
        <w:rPr>
          <w:rFonts w:ascii="Arial" w:cs="Arial" w:eastAsia="Arial" w:hAnsi="Arial"/>
          <w:sz w:val="18"/>
          <w:szCs w:val="18"/>
          <w:color w:val="auto"/>
        </w:rPr>
      </w:pPr>
    </w:p>
    <w:p>
      <w:pPr>
        <w:ind w:left="440" w:hanging="326"/>
        <w:spacing w:after="0"/>
        <w:tabs>
          <w:tab w:leader="none" w:pos="4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majority of TILs within the tumor microenvironment are exhausted so even tumor-specific T cells are hypo-responsive</w:t>
      </w:r>
    </w:p>
    <w:p>
      <w:pPr>
        <w:spacing w:after="0" w:line="20" w:lineRule="exact"/>
        <w:rPr>
          <w:rFonts w:ascii="Arial" w:cs="Arial" w:eastAsia="Arial" w:hAnsi="Arial"/>
          <w:sz w:val="17"/>
          <w:szCs w:val="17"/>
          <w:color w:val="auto"/>
        </w:rPr>
      </w:pPr>
    </w:p>
    <w:p>
      <w:pPr>
        <w:ind w:left="440" w:right="20" w:hanging="326"/>
        <w:spacing w:after="0" w:line="250"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CAR-T cells can only recognize antigens that are naturally expressed on the cell surface, so the range of potential antigen targets is smaller than with TCRs</w:t>
      </w:r>
    </w:p>
    <w:p>
      <w:pPr>
        <w:ind w:left="440" w:hanging="326"/>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Presence of target-negative tumor cells cause relapse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-1090930</wp:posOffset>
            </wp:positionV>
            <wp:extent cx="7132320" cy="12344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tabs>
          <w:tab w:leader="none" w:pos="420" w:val="left"/>
        </w:tabs>
        <w:rPr>
          <w:sz w:val="20"/>
          <w:szCs w:val="20"/>
          <w:color w:val="auto"/>
        </w:rPr>
      </w:pPr>
      <w:r>
        <w:rPr>
          <w:sz w:val="1"/>
          <w:szCs w:val="1"/>
          <w:color w:val="auto"/>
        </w:rPr>
        <w:drawing>
          <wp:inline distT="0" distB="0" distL="0" distR="0">
            <wp:extent cx="76835" cy="1143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14300"/>
                    </a:xfrm>
                    <a:prstGeom prst="rect">
                      <a:avLst/>
                    </a:prstGeom>
                    <a:noFill/>
                    <a:ln>
                      <a:noFill/>
                    </a:ln>
                  </pic:spPr>
                </pic:pic>
              </a:graphicData>
            </a:graphic>
          </wp:inline>
        </w:drawing>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Limited penetration and distribution into solid tumor tissues</w:t>
      </w:r>
    </w:p>
    <w:p>
      <w:pPr>
        <w:spacing w:after="0" w:line="200" w:lineRule="exact"/>
        <w:rPr>
          <w:sz w:val="20"/>
          <w:szCs w:val="20"/>
          <w:color w:val="auto"/>
        </w:rPr>
      </w:pPr>
    </w:p>
    <w:p>
      <w:pPr>
        <w:sectPr>
          <w:pgSz w:w="11900" w:h="16838" w:orient="portrait"/>
          <w:cols w:equalWidth="0" w:num="2">
            <w:col w:w="1400" w:space="100"/>
            <w:col w:w="9720"/>
          </w:cols>
          <w:pgMar w:left="320" w:top="719" w:right="35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Immunomodulators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Vaccines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0" w:right="20"/>
        <w:spacing w:after="0" w:line="381" w:lineRule="auto"/>
        <w:rPr>
          <w:sz w:val="20"/>
          <w:szCs w:val="20"/>
          <w:color w:val="auto"/>
        </w:rPr>
      </w:pPr>
      <w:r>
        <w:rPr>
          <w:rFonts w:ascii="Arial" w:cs="Arial" w:eastAsia="Arial" w:hAnsi="Arial"/>
          <w:sz w:val="15"/>
          <w:szCs w:val="15"/>
          <w:b w:val="1"/>
          <w:bCs w:val="1"/>
          <w:i w:val="1"/>
          <w:iCs w:val="1"/>
          <w:color w:val="auto"/>
        </w:rPr>
        <w:t>Antibody-based targeted therapies</w:t>
      </w:r>
    </w:p>
    <w:p>
      <w:pPr>
        <w:spacing w:after="0" w:line="20" w:lineRule="exact"/>
        <w:rPr>
          <w:sz w:val="20"/>
          <w:szCs w:val="20"/>
          <w:color w:val="auto"/>
        </w:rPr>
      </w:pPr>
      <w:r>
        <w:rPr>
          <w:sz w:val="20"/>
          <w:szCs w:val="20"/>
          <w:color w:val="auto"/>
        </w:rPr>
        <w:br w:type="column"/>
      </w: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Loss of self-tolerance (establishment of autoimmunity associated with failure of tumor rejection)</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Absence of reliable biomarkers and thresholds to identify the most likely responsive population</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w:t>
      </w:r>
    </w:p>
    <w:p>
      <w:pPr>
        <w:spacing w:after="0" w:line="210"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Absence of universal antigens (each individual’s tumor is unique and has its own distinguishing antigens)</w:t>
      </w:r>
    </w:p>
    <w:p>
      <w:pPr>
        <w:spacing w:after="0" w:line="23"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Presence of a compromised/weak/immunosuppressed immune system</w:t>
      </w:r>
    </w:p>
    <w:p>
      <w:pPr>
        <w:spacing w:after="0" w:line="210" w:lineRule="exact"/>
        <w:rPr>
          <w:rFonts w:ascii="Arial" w:cs="Arial" w:eastAsia="Arial" w:hAnsi="Arial"/>
          <w:sz w:val="18"/>
          <w:szCs w:val="18"/>
          <w:color w:val="auto"/>
        </w:rPr>
      </w:pPr>
    </w:p>
    <w:p>
      <w:pPr>
        <w:ind w:left="326" w:right="240" w:hanging="326"/>
        <w:spacing w:after="0" w:line="258" w:lineRule="auto"/>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Limited penetration and distribution into solid tumor tissues (mAbs directed against tumor-specific antigens largely remain in the blood and no more than 20% of the administered dose typically interacts with the tumor)</w:t>
      </w:r>
    </w:p>
    <w:p>
      <w:pPr>
        <w:spacing w:after="0" w:line="1"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Low binding affinity between the antibody and its receptor</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Antibody uptake limit</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Competition for target binding between the therapeutic antibodies and a patient’s antibodies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1"/>
        </w:numPr>
        <w:rPr>
          <w:rFonts w:ascii="Arial" w:cs="Arial" w:eastAsia="Arial" w:hAnsi="Arial"/>
          <w:sz w:val="16"/>
          <w:szCs w:val="16"/>
          <w:color w:val="auto"/>
        </w:rPr>
      </w:pPr>
      <w:r>
        <w:rPr>
          <w:rFonts w:ascii="Arial" w:cs="Arial" w:eastAsia="Arial" w:hAnsi="Arial"/>
          <w:sz w:val="16"/>
          <w:szCs w:val="16"/>
          <w:color w:val="auto"/>
        </w:rPr>
        <w:t>Speed of diffusion through tumors is mAb size dependent (large tumor masses may be more difficult to treat by mAb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-1213485</wp:posOffset>
            </wp:positionV>
            <wp:extent cx="7132320" cy="274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00" w:space="114"/>
            <w:col w:w="9606"/>
          </w:cols>
          <w:pgMar w:left="320" w:top="719"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Oncolytic viruses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IO for Solid Tumors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26" w:hanging="326"/>
        <w:spacing w:after="0"/>
        <w:tabs>
          <w:tab w:leader="none" w:pos="326" w:val="left"/>
        </w:tabs>
        <w:numPr>
          <w:ilvl w:val="0"/>
          <w:numId w:val="72"/>
        </w:numPr>
        <w:rPr>
          <w:rFonts w:ascii="Arial" w:cs="Arial" w:eastAsia="Arial" w:hAnsi="Arial"/>
          <w:sz w:val="16"/>
          <w:szCs w:val="16"/>
          <w:color w:val="auto"/>
        </w:rPr>
      </w:pPr>
      <w:r>
        <w:rPr>
          <w:rFonts w:ascii="Arial" w:cs="Arial" w:eastAsia="Arial" w:hAnsi="Arial"/>
          <w:sz w:val="16"/>
          <w:szCs w:val="16"/>
          <w:color w:val="auto"/>
        </w:rPr>
        <w:t>Development of neutralizing antibodies by the host, which limits the viral delivery to cancer sites and the therapeutic effect</w:t>
      </w:r>
    </w:p>
    <w:p>
      <w:pPr>
        <w:spacing w:after="0" w:line="46" w:lineRule="exact"/>
        <w:rPr>
          <w:rFonts w:ascii="Arial" w:cs="Arial" w:eastAsia="Arial" w:hAnsi="Arial"/>
          <w:sz w:val="16"/>
          <w:szCs w:val="16"/>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Limited penetration and distribution of the virus into tumor tissues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Limited viral tropism and oncolysis capacity</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Tricky dosing strategies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Induction of overactive immune responses as well off-target responses against healthy cells</w:t>
      </w:r>
    </w:p>
    <w:p>
      <w:pPr>
        <w:spacing w:after="0" w:line="9" w:lineRule="exact"/>
        <w:rPr>
          <w:rFonts w:ascii="Arial" w:cs="Arial" w:eastAsia="Arial" w:hAnsi="Arial"/>
          <w:sz w:val="18"/>
          <w:szCs w:val="18"/>
          <w:color w:val="auto"/>
        </w:rPr>
      </w:pPr>
    </w:p>
    <w:p>
      <w:pPr>
        <w:ind w:left="326" w:hanging="326"/>
        <w:spacing w:after="0"/>
        <w:tabs>
          <w:tab w:leader="none" w:pos="3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Risk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-816610</wp:posOffset>
            </wp:positionV>
            <wp:extent cx="7132320" cy="8229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1560" w:space="54"/>
            <w:col w:w="9606"/>
          </w:cols>
          <w:pgMar w:left="320" w:top="719" w:right="359" w:bottom="1440" w:gutter="0" w:footer="0" w:header="0"/>
          <w:type w:val="continuous"/>
        </w:sectPr>
      </w:pP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Despite the success of IO therapies for some hematological cancers, significant gaps remain in the development of efficacious IO therapies for solid tumors. There are still a number of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type w:val="continuous"/>
        </w:sectPr>
      </w:pPr>
    </w:p>
    <w:bookmarkStart w:id="106" w:name="page107"/>
    <w:bookmarkEnd w:id="106"/>
    <w:p>
      <w:pPr>
        <w:ind w:left="660"/>
        <w:spacing w:after="0"/>
        <w:rPr>
          <w:sz w:val="20"/>
          <w:szCs w:val="20"/>
          <w:color w:val="auto"/>
        </w:rPr>
      </w:pPr>
      <w:r>
        <w:rPr>
          <w:rFonts w:ascii="Arial" w:cs="Arial" w:eastAsia="Arial" w:hAnsi="Arial"/>
          <w:sz w:val="18"/>
          <w:szCs w:val="18"/>
          <w:color w:val="auto"/>
        </w:rPr>
        <w:t>To overcome the current limitations of IO therapies in solid tumors, a new, effective tumor therapeutic must:</w:t>
      </w:r>
    </w:p>
    <w:p>
      <w:pPr>
        <w:spacing w:after="0" w:line="252" w:lineRule="exact"/>
        <w:rPr>
          <w:sz w:val="20"/>
          <w:szCs w:val="20"/>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achieve a local and tumor-targeted delivery;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maximize on-target effects;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reach the desired therapeutic index;</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minimize the off-target side effects;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potentially provide long term results.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intravenous delivery.</w:t>
      </w:r>
    </w:p>
    <w:p>
      <w:pPr>
        <w:spacing w:after="0" w:line="19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Specifically, we adapted an autologous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method to direct the patient’s own hematopoietic stem and progenitor cells (HSPCs) by loading them with an immunotherapeutic transgene sequence, or payload, that is able to counteract cancer progression and prevent tumor relapse. We believe that by delivering a targeted therapeutic specific to cancer cells, we can reach the desired on-target anti-tumor effect while reducing off-target side effects.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technology employs the following key components:</w:t>
      </w:r>
    </w:p>
    <w:p>
      <w:pPr>
        <w:spacing w:after="0" w:line="252" w:lineRule="exact"/>
        <w:rPr>
          <w:sz w:val="20"/>
          <w:szCs w:val="20"/>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use of the patient’s own autologous HSPCs;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use of LVVs for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HSPCs transduction; and</w:t>
      </w:r>
    </w:p>
    <w:p>
      <w:pPr>
        <w:spacing w:after="0" w:line="225" w:lineRule="exact"/>
        <w:rPr>
          <w:rFonts w:ascii="Arial" w:cs="Arial" w:eastAsia="Arial" w:hAnsi="Arial"/>
          <w:sz w:val="18"/>
          <w:szCs w:val="18"/>
          <w:color w:val="auto"/>
        </w:rPr>
      </w:pPr>
    </w:p>
    <w:p>
      <w:pPr>
        <w:ind w:left="1300" w:right="60" w:hanging="320"/>
        <w:spacing w:after="0" w:line="263"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payload delivery within the tumor microenvironment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image below illustrates the steps of our </w:t>
      </w:r>
      <w:r>
        <w:rPr>
          <w:rFonts w:ascii="Arial" w:cs="Arial" w:eastAsia="Arial" w:hAnsi="Arial"/>
          <w:sz w:val="18"/>
          <w:szCs w:val="18"/>
          <w:i w:val="1"/>
          <w:iCs w:val="1"/>
          <w:color w:val="auto"/>
        </w:rPr>
        <w:t>ex-vivo</w:t>
      </w:r>
      <w:r>
        <w:rPr>
          <w:rFonts w:ascii="Arial" w:cs="Arial" w:eastAsia="Arial" w:hAnsi="Arial"/>
          <w:sz w:val="18"/>
          <w:szCs w:val="18"/>
          <w:color w:val="auto"/>
        </w:rPr>
        <w:t xml:space="preserve"> approach to transform patient’s autologous HSPCs into a therapeutic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168910</wp:posOffset>
            </wp:positionV>
            <wp:extent cx="5314950" cy="27260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1495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Illustration of our ex-vivo approach (steps 1-2-3) and treatment process (step 4)</w:t>
      </w:r>
    </w:p>
    <w:p>
      <w:pPr>
        <w:spacing w:after="0" w:line="252" w:lineRule="exact"/>
        <w:rPr>
          <w:sz w:val="20"/>
          <w:szCs w:val="20"/>
          <w:color w:val="auto"/>
        </w:rPr>
      </w:pPr>
    </w:p>
    <w:p>
      <w:pPr>
        <w:jc w:val="both"/>
        <w:ind w:firstLine="656"/>
        <w:spacing w:after="0" w:line="286" w:lineRule="auto"/>
        <w:tabs>
          <w:tab w:leader="none" w:pos="903"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Patient’s HSPCs are harvested by means of an apheresis process, and (2) </w:t>
      </w:r>
      <w:r>
        <w:rPr>
          <w:rFonts w:ascii="Arial" w:cs="Arial" w:eastAsia="Arial" w:hAnsi="Arial"/>
          <w:sz w:val="17"/>
          <w:szCs w:val="17"/>
          <w:i w:val="1"/>
          <w:iCs w:val="1"/>
          <w:color w:val="auto"/>
        </w:rPr>
        <w:t>ex-vivo</w:t>
      </w:r>
      <w:r>
        <w:rPr>
          <w:rFonts w:ascii="Arial" w:cs="Arial" w:eastAsia="Arial" w:hAnsi="Arial"/>
          <w:sz w:val="17"/>
          <w:szCs w:val="17"/>
          <w:color w:val="auto"/>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Arial" w:cs="Arial" w:eastAsia="Arial" w:hAnsi="Arial"/>
          <w:sz w:val="17"/>
          <w:szCs w:val="17"/>
          <w:i w:val="1"/>
          <w:iCs w:val="1"/>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037" w:gutter="0" w:footer="0" w:header="0"/>
        </w:sectPr>
      </w:pPr>
    </w:p>
    <w:bookmarkStart w:id="107" w:name="page108"/>
    <w:bookmarkEnd w:id="107"/>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HSPCs are the Source of the Delivery Vehicle for Our Gene Therapy Approach</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Ex-vivo LVV based Transduction</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 xml:space="preserve">After collection, a functional copy of the therapeutic gene is inserted into the patient’s own HSPCs using a non-replicating LVV. This is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process called transduction. We have chosen an </w:t>
      </w:r>
      <w:r>
        <w:rPr>
          <w:rFonts w:ascii="Arial" w:cs="Arial" w:eastAsia="Arial" w:hAnsi="Arial"/>
          <w:sz w:val="18"/>
          <w:szCs w:val="18"/>
          <w:i w:val="1"/>
          <w:iCs w:val="1"/>
          <w:color w:val="auto"/>
        </w:rPr>
        <w:t>ex-vivo</w:t>
      </w:r>
      <w:r>
        <w:rPr>
          <w:rFonts w:ascii="Arial" w:cs="Arial" w:eastAsia="Arial" w:hAnsi="Arial"/>
          <w:sz w:val="18"/>
          <w:szCs w:val="18"/>
          <w:color w:val="auto"/>
        </w:rPr>
        <w:t xml:space="preserve"> gene therapy approach because it enables us to optimize the quantity, or dose, of modified cells to be infused in each patient since we know, ahead of the administration, the drug product characteristics.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 xml:space="preserve">We believe that LVVs are the first choice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(CD-19 CAR-T,</w:t>
      </w:r>
    </w:p>
    <w:p>
      <w:pPr>
        <w:spacing w:after="0" w:line="2" w:lineRule="exact"/>
        <w:rPr>
          <w:sz w:val="20"/>
          <w:szCs w:val="20"/>
          <w:color w:val="auto"/>
        </w:rPr>
      </w:pPr>
    </w:p>
    <w:p>
      <w:pPr>
        <w:ind w:right="280"/>
        <w:spacing w:after="0" w:line="209" w:lineRule="auto"/>
        <w:rPr>
          <w:sz w:val="20"/>
          <w:szCs w:val="20"/>
          <w:color w:val="auto"/>
        </w:rPr>
      </w:pPr>
      <w:r>
        <w:rPr>
          <w:rFonts w:ascii="Arial" w:cs="Arial" w:eastAsia="Arial" w:hAnsi="Arial"/>
          <w:sz w:val="18"/>
          <w:szCs w:val="18"/>
          <w:color w:val="auto"/>
        </w:rPr>
        <w:t>Novartis Pharma) and Zynteglo</w:t>
      </w:r>
      <w:r>
        <w:rPr>
          <w:rFonts w:ascii="Arial" w:cs="Arial" w:eastAsia="Arial" w:hAnsi="Arial"/>
          <w:sz w:val="29"/>
          <w:szCs w:val="29"/>
          <w:color w:val="auto"/>
          <w:vertAlign w:val="superscript"/>
        </w:rPr>
        <w:t>®</w:t>
      </w:r>
      <w:r>
        <w:rPr>
          <w:rFonts w:ascii="Arial" w:cs="Arial" w:eastAsia="Arial" w:hAnsi="Arial"/>
          <w:sz w:val="18"/>
          <w:szCs w:val="18"/>
          <w:color w:val="auto"/>
        </w:rPr>
        <w:t xml:space="preserve"> (β-Thal, BlueBird Bio). With more than 100 clinical trials either completed or in progress using LVVs worldwide, this delivery method accounts for more than a third of </w:t>
      </w:r>
      <w:r>
        <w:rPr>
          <w:rFonts w:ascii="Arial" w:cs="Arial" w:eastAsia="Arial" w:hAnsi="Arial"/>
          <w:sz w:val="18"/>
          <w:szCs w:val="18"/>
          <w:i w:val="1"/>
          <w:iCs w:val="1"/>
          <w:color w:val="auto"/>
        </w:rPr>
        <w:t>ex-vivo</w:t>
      </w:r>
      <w:r>
        <w:rPr>
          <w:rFonts w:ascii="Arial" w:cs="Arial" w:eastAsia="Arial" w:hAnsi="Arial"/>
          <w:sz w:val="18"/>
          <w:szCs w:val="18"/>
          <w:color w:val="auto"/>
        </w:rPr>
        <w:t xml:space="preserve"> modified gene therapy clinical trials.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6"/>
          <w:szCs w:val="16"/>
          <w:color w:val="auto"/>
        </w:rPr>
        <w:t xml:space="preserve">Accordingly, extensive clinical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studies, based on LVV gene transfer, have been performed in recent years by SR-Tiget for the prevention and treatment of some severe inherited disorders, resulting in approved drugs, such as Libmeldy</w:t>
      </w:r>
      <w:r>
        <w:rPr>
          <w:rFonts w:ascii="Arial" w:cs="Arial" w:eastAsia="Arial" w:hAnsi="Arial"/>
          <w:sz w:val="26"/>
          <w:szCs w:val="26"/>
          <w:color w:val="auto"/>
          <w:vertAlign w:val="superscript"/>
        </w:rPr>
        <w:t>TM</w:t>
      </w:r>
      <w:r>
        <w:rPr>
          <w:rFonts w:ascii="Arial" w:cs="Arial" w:eastAsia="Arial" w:hAnsi="Arial"/>
          <w:sz w:val="16"/>
          <w:szCs w:val="16"/>
          <w:color w:val="auto"/>
        </w:rPr>
        <w:t>. These studies have shown that LVVs constitute a valuable and safer alternative to gamma-retroviral vectors (gRV), enabling a more efficient gene transfer into HSPCs and resulting in a robust and long-term transgene expression in their progeny. The studies also have demonstrated an alleviated risk of genotoxicity because of the vector design.</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 xml:space="preserve">Differences exist between LVVs used for </w:t>
      </w:r>
      <w:r>
        <w:rPr>
          <w:rFonts w:ascii="Arial" w:cs="Arial" w:eastAsia="Arial" w:hAnsi="Arial"/>
          <w:sz w:val="16"/>
          <w:szCs w:val="16"/>
          <w:i w:val="1"/>
          <w:iCs w:val="1"/>
          <w:color w:val="auto"/>
        </w:rPr>
        <w:t>ex-vivo</w:t>
      </w:r>
      <w:r>
        <w:rPr>
          <w:rFonts w:ascii="Arial" w:cs="Arial" w:eastAsia="Arial" w:hAnsi="Arial"/>
          <w:sz w:val="16"/>
          <w:szCs w:val="16"/>
          <w:color w:val="auto"/>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spacing w:after="0" w:line="161" w:lineRule="exact"/>
        <w:rPr>
          <w:sz w:val="20"/>
          <w:szCs w:val="20"/>
          <w:color w:val="auto"/>
        </w:rPr>
      </w:pPr>
    </w:p>
    <w:p>
      <w:pPr>
        <w:ind w:right="80" w:firstLine="648"/>
        <w:spacing w:after="0" w:line="264" w:lineRule="auto"/>
        <w:rPr>
          <w:sz w:val="20"/>
          <w:szCs w:val="20"/>
          <w:color w:val="auto"/>
        </w:rPr>
      </w:pPr>
      <w:r>
        <w:rPr>
          <w:rFonts w:ascii="Arial" w:cs="Arial" w:eastAsia="Arial" w:hAnsi="Arial"/>
          <w:sz w:val="16"/>
          <w:szCs w:val="16"/>
          <w:color w:val="auto"/>
        </w:rPr>
        <w:t>In February 2021, BlueBird Bio temporary suspended its gene therapy clinical trials for SCD (HGB-206 and HGB-210) and the marketing of Zynteglo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has placed a clinical hold on BlueBird Bio’s Lenti-D phase 3 trial for cerebral adrenoleukodystrophy (CALD).</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Tumor-Targeted Payload Delivery</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platform technology, used by all of our product candidates including Temferon, is designed to turn TEMs, which normally have an affinity for and travel to tumors, into a “Trojan Horse” to deliver a tumor-targeted payload. The technology ensures that the payload is only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130810</wp:posOffset>
            </wp:positionV>
            <wp:extent cx="5143500" cy="19030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Our transgene payload expression cassette consists of two key components: the Tie-2 promoter (RED) and miRNA-126 target sequences (LIGHT BLUE)</w:t>
      </w:r>
    </w:p>
    <w:p>
      <w:pPr>
        <w:sectPr>
          <w:pgSz w:w="11900" w:h="16845" w:orient="portrait"/>
          <w:cols w:equalWidth="0" w:num="1">
            <w:col w:w="11220"/>
          </w:cols>
          <w:pgMar w:left="320" w:top="719" w:right="359" w:bottom="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9" w:name="page110"/>
    <w:bookmarkEnd w:id="109"/>
    <w:p>
      <w:pPr>
        <w:ind w:left="660" w:hanging="328"/>
        <w:spacing w:after="0" w:line="286" w:lineRule="auto"/>
        <w:tabs>
          <w:tab w:leader="none" w:pos="660" w:val="left"/>
        </w:tabs>
        <w:numPr>
          <w:ilvl w:val="0"/>
          <w:numId w:val="7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Tie-2 promoter. </w:t>
      </w:r>
      <w:r>
        <w:rPr>
          <w:rFonts w:ascii="Arial" w:cs="Arial" w:eastAsia="Arial" w:hAnsi="Arial"/>
          <w:sz w:val="16"/>
          <w:szCs w:val="16"/>
          <w:color w:val="auto"/>
        </w:rPr>
        <w:t>The Tie-2 promoter enables the transformation of TEMs into a “Trojan Horse”, to deliver the therapeutic payload within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p>
      <w:pPr>
        <w:spacing w:after="0" w:line="173" w:lineRule="exact"/>
        <w:rPr>
          <w:rFonts w:ascii="Arial" w:cs="Arial" w:eastAsia="Arial" w:hAnsi="Arial"/>
          <w:sz w:val="16"/>
          <w:szCs w:val="16"/>
          <w:b w:val="1"/>
          <w:bCs w:val="1"/>
          <w:i w:val="1"/>
          <w:iCs w:val="1"/>
          <w:color w:val="auto"/>
        </w:rPr>
      </w:pPr>
    </w:p>
    <w:p>
      <w:pPr>
        <w:ind w:left="660" w:right="140" w:hanging="328"/>
        <w:spacing w:after="0" w:line="255" w:lineRule="auto"/>
        <w:tabs>
          <w:tab w:leader="none" w:pos="66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miRNA-126 target sequences</w:t>
      </w:r>
      <w:r>
        <w:rPr>
          <w:rFonts w:ascii="Arial" w:cs="Arial" w:eastAsia="Arial" w:hAnsi="Arial"/>
          <w:sz w:val="18"/>
          <w:szCs w:val="18"/>
          <w:color w:val="auto"/>
        </w:rPr>
        <w:t>. The miRNA-126 target sequence serves as a post-transcriptional regulation layer that allows the expression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148590</wp:posOffset>
            </wp:positionV>
            <wp:extent cx="5743575" cy="27603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4357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Post-transcriptional control mechanism of transgene expression</w:t>
      </w:r>
    </w:p>
    <w:p>
      <w:pPr>
        <w:spacing w:after="0" w:line="252" w:lineRule="exact"/>
        <w:rPr>
          <w:sz w:val="20"/>
          <w:szCs w:val="20"/>
          <w:color w:val="auto"/>
        </w:rPr>
      </w:pPr>
    </w:p>
    <w:p>
      <w:pPr>
        <w:jc w:val="center"/>
        <w:ind w:left="4140" w:right="180" w:hanging="3953"/>
        <w:spacing w:after="0" w:line="277" w:lineRule="auto"/>
        <w:tabs>
          <w:tab w:leader="none" w:pos="398" w:val="left"/>
        </w:tabs>
        <w:numPr>
          <w:ilvl w:val="1"/>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Transgene expression is allowed only in cells where miRNA-126 is not expressed; (1) mRNA is transcribed into the nucleus (2) the transgene is then translated in the cytoplasm and released.</w:t>
      </w:r>
    </w:p>
    <w:p>
      <w:pPr>
        <w:spacing w:after="0" w:line="197" w:lineRule="exact"/>
        <w:rPr>
          <w:rFonts w:ascii="Arial" w:cs="Arial" w:eastAsia="Arial" w:hAnsi="Arial"/>
          <w:sz w:val="18"/>
          <w:szCs w:val="18"/>
          <w:i w:val="1"/>
          <w:iCs w:val="1"/>
          <w:color w:val="auto"/>
        </w:rPr>
      </w:pPr>
    </w:p>
    <w:p>
      <w:pPr>
        <w:ind w:left="1560" w:hanging="1551"/>
        <w:spacing w:after="0" w:line="308" w:lineRule="auto"/>
        <w:tabs>
          <w:tab w:leader="none" w:pos="228" w:val="left"/>
        </w:tabs>
        <w:numPr>
          <w:ilvl w:val="0"/>
          <w:numId w:val="78"/>
        </w:numPr>
        <w:rPr>
          <w:rFonts w:ascii="Arial" w:cs="Arial" w:eastAsia="Arial" w:hAnsi="Arial"/>
          <w:sz w:val="17"/>
          <w:szCs w:val="17"/>
          <w:i w:val="1"/>
          <w:iCs w:val="1"/>
          <w:color w:val="auto"/>
        </w:rPr>
      </w:pPr>
      <w:r>
        <w:rPr>
          <w:rFonts w:ascii="Arial" w:cs="Arial" w:eastAsia="Arial" w:hAnsi="Arial"/>
          <w:sz w:val="17"/>
          <w:szCs w:val="17"/>
          <w:i w:val="1"/>
          <w:iCs w:val="1"/>
          <w:color w:val="auto"/>
        </w:rPr>
        <w:t>In those cells expressing miRNA-126 the payload production is prohibited; (1) mRNA is transcribed into the nucleus (2) miRNA-126 recognizes its target sequences on the mRNA and forms double strands of RNA (3) that are degraded or block the translation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1689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43575" cy="168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40"/>
        <w:spacing w:after="0" w:line="277" w:lineRule="auto"/>
        <w:rPr>
          <w:sz w:val="20"/>
          <w:szCs w:val="20"/>
          <w:color w:val="auto"/>
        </w:rPr>
      </w:pPr>
      <w:r>
        <w:rPr>
          <w:rFonts w:ascii="Arial" w:cs="Arial" w:eastAsia="Arial" w:hAnsi="Arial"/>
          <w:sz w:val="18"/>
          <w:szCs w:val="18"/>
          <w:i w:val="1"/>
          <w:iCs w:val="1"/>
          <w:color w:val="auto"/>
        </w:rPr>
        <w:t>Transgene payload expression as the result of the transcriptional (promoter) and post-transcriptional regulation (miRNA-126 target sequence) imposed by our expression cassette.</w:t>
      </w:r>
    </w:p>
    <w:p>
      <w:pPr>
        <w:spacing w:after="0" w:line="197"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We believe that combining our built-in post-transcriptional control mechanism (</w:t>
      </w:r>
      <w:r>
        <w:rPr>
          <w:rFonts w:ascii="Arial" w:cs="Arial" w:eastAsia="Arial" w:hAnsi="Arial"/>
          <w:sz w:val="17"/>
          <w:szCs w:val="17"/>
          <w:i w:val="1"/>
          <w:iCs w:val="1"/>
          <w:color w:val="auto"/>
        </w:rPr>
        <w:t>miRNA-126 target sequences</w:t>
      </w:r>
      <w:r>
        <w:rPr>
          <w:rFonts w:ascii="Arial" w:cs="Arial" w:eastAsia="Arial" w:hAnsi="Arial"/>
          <w:sz w:val="17"/>
          <w:szCs w:val="17"/>
          <w:color w:val="auto"/>
        </w:rPr>
        <w:t>), with TEMs designed as a “Trojan Horse” allows our platform to restrict transgene expression and avoid systemic toxicity while reaching the therapeutic index to drive efficacy.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33"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Our Leading Product Candidate: Temferon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lead product candidate, Temferon, consists of genetically modified HSPCs which use our platform to deliver interferon-alpha (IFN-α), within the tumor microenvironment via TEMs (HSPCs differentiated myeloid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spacing w:after="0" w:line="20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Because TEMs are associated with the growth of numerous cancer types, including solid tumors, we believe that Temferon is tumor type and tumor target agnostic and therefore may be used across a large variety of cancers. Currently, we are developing Temferon for uMGMT-GBM.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104775</wp:posOffset>
            </wp:positionV>
            <wp:extent cx="5572125" cy="29146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212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manufacturing process and mechanism of action.</w:t>
      </w:r>
    </w:p>
    <w:p>
      <w:pPr>
        <w:spacing w:after="0" w:line="252" w:lineRule="exact"/>
        <w:rPr>
          <w:sz w:val="20"/>
          <w:szCs w:val="20"/>
          <w:color w:val="auto"/>
        </w:rPr>
      </w:pPr>
    </w:p>
    <w:p>
      <w:pPr>
        <w:jc w:val="center"/>
        <w:ind w:left="340" w:right="100"/>
        <w:spacing w:after="0" w:line="263" w:lineRule="auto"/>
        <w:rPr>
          <w:sz w:val="20"/>
          <w:szCs w:val="20"/>
          <w:color w:val="auto"/>
        </w:rPr>
      </w:pPr>
      <w:r>
        <w:rPr>
          <w:rFonts w:ascii="Arial" w:cs="Arial" w:eastAsia="Arial" w:hAnsi="Arial"/>
          <w:sz w:val="18"/>
          <w:szCs w:val="18"/>
          <w:i w:val="1"/>
          <w:iCs w:val="1"/>
          <w:color w:val="auto"/>
        </w:rPr>
        <w:t xml:space="preserve">Patient’s </w:t>
      </w:r>
      <w:r>
        <w:rPr>
          <w:rFonts w:ascii="Arial" w:cs="Arial" w:eastAsia="Arial" w:hAnsi="Arial"/>
          <w:sz w:val="18"/>
          <w:szCs w:val="18"/>
          <w:b w:val="1"/>
          <w:bCs w:val="1"/>
          <w:i w:val="1"/>
          <w:iCs w:val="1"/>
          <w:color w:val="auto"/>
        </w:rPr>
        <w:t>HSPCs</w:t>
      </w:r>
      <w:r>
        <w:rPr>
          <w:rFonts w:ascii="Arial" w:cs="Arial" w:eastAsia="Arial" w:hAnsi="Arial"/>
          <w:sz w:val="18"/>
          <w:szCs w:val="18"/>
          <w:i w:val="1"/>
          <w:iCs w:val="1"/>
          <w:color w:val="auto"/>
        </w:rPr>
        <w:t xml:space="preserve"> are harvested, (1) </w:t>
      </w:r>
      <w:r>
        <w:rPr>
          <w:rFonts w:ascii="Arial" w:cs="Arial" w:eastAsia="Arial" w:hAnsi="Arial"/>
          <w:sz w:val="18"/>
          <w:szCs w:val="18"/>
          <w:b w:val="1"/>
          <w:bCs w:val="1"/>
          <w:i w:val="1"/>
          <w:iCs w:val="1"/>
          <w:color w:val="auto"/>
        </w:rPr>
        <w:t>ex-vivo</w:t>
      </w:r>
      <w:r>
        <w:rPr>
          <w:rFonts w:ascii="Arial" w:cs="Arial" w:eastAsia="Arial" w:hAnsi="Arial"/>
          <w:sz w:val="18"/>
          <w:szCs w:val="18"/>
          <w:i w:val="1"/>
          <w:iCs w:val="1"/>
          <w:color w:val="auto"/>
        </w:rPr>
        <w:t xml:space="preserve"> modified by </w:t>
      </w:r>
      <w:r>
        <w:rPr>
          <w:rFonts w:ascii="Arial" w:cs="Arial" w:eastAsia="Arial" w:hAnsi="Arial"/>
          <w:sz w:val="18"/>
          <w:szCs w:val="18"/>
          <w:b w:val="1"/>
          <w:bCs w:val="1"/>
          <w:i w:val="1"/>
          <w:iCs w:val="1"/>
          <w:color w:val="auto"/>
        </w:rPr>
        <w:t>LVVs</w:t>
      </w:r>
      <w:r>
        <w:rPr>
          <w:rFonts w:ascii="Arial" w:cs="Arial" w:eastAsia="Arial" w:hAnsi="Arial"/>
          <w:sz w:val="18"/>
          <w:szCs w:val="18"/>
          <w:i w:val="1"/>
          <w:iCs w:val="1"/>
          <w:color w:val="auto"/>
        </w:rPr>
        <w:t xml:space="preserve"> (2) and re-introduced back in patient’s blood stream (3). Once recruited within the tumor microenvironment, TEMs release IFN-α that reduces angiogenesis, counteracts tumor cells proliferation and enables the immune system to recognize the tumor.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GBM is a solid tumor affecting the brain. We have chosen this indication due to the following factors:</w:t>
      </w:r>
    </w:p>
    <w:p>
      <w:pPr>
        <w:spacing w:after="0" w:line="252"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unmet medical need. </w:t>
      </w:r>
      <w:r>
        <w:rPr>
          <w:rFonts w:ascii="Arial" w:cs="Arial" w:eastAsia="Arial" w:hAnsi="Arial"/>
          <w:sz w:val="17"/>
          <w:szCs w:val="17"/>
          <w:color w:val="auto"/>
        </w:rPr>
        <w:t>The prognosis for GBM patients remains poor with few therapeutic options having limited clinical benefits.</w:t>
      </w:r>
    </w:p>
    <w:p>
      <w:pPr>
        <w:spacing w:after="0" w:line="196" w:lineRule="exact"/>
        <w:rPr>
          <w:rFonts w:ascii="Arial" w:cs="Arial" w:eastAsia="Arial" w:hAnsi="Arial"/>
          <w:sz w:val="17"/>
          <w:szCs w:val="17"/>
          <w:color w:val="auto"/>
        </w:rPr>
      </w:pPr>
    </w:p>
    <w:p>
      <w:pPr>
        <w:ind w:left="660" w:right="20" w:hanging="328"/>
        <w:spacing w:after="0" w:line="272"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Temferon’s MoA targets TEMs which have an active role in uMGMT-GBM pathology. </w:t>
      </w:r>
      <w:r>
        <w:rPr>
          <w:rFonts w:ascii="Arial" w:cs="Arial" w:eastAsia="Arial" w:hAnsi="Arial"/>
          <w:sz w:val="17"/>
          <w:szCs w:val="17"/>
          <w:color w:val="auto"/>
        </w:rPr>
        <w:t>GBMs are highly vascularized tumors that critically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p>
      <w:pPr>
        <w:spacing w:after="0" w:line="136" w:lineRule="exact"/>
        <w:rPr>
          <w:rFonts w:ascii="Arial" w:cs="Arial" w:eastAsia="Arial" w:hAnsi="Arial"/>
          <w:sz w:val="17"/>
          <w:szCs w:val="17"/>
          <w:color w:val="auto"/>
        </w:rPr>
      </w:pPr>
    </w:p>
    <w:p>
      <w:pPr>
        <w:ind w:left="660" w:right="200" w:hanging="328"/>
        <w:spacing w:after="0" w:line="259"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Immunosuppressive tumor microenvironment. </w:t>
      </w:r>
      <w:r>
        <w:rPr>
          <w:rFonts w:ascii="Arial" w:cs="Arial" w:eastAsia="Arial" w:hAnsi="Arial"/>
          <w:sz w:val="18"/>
          <w:szCs w:val="18"/>
          <w:color w:val="000000"/>
        </w:rPr>
        <w:t>GBM is characterized by an immunosuppressive microenvironment that is mediated by tumor</w:t>
      </w:r>
      <w:r>
        <w:rPr>
          <w:rFonts w:ascii="Arial" w:cs="Arial" w:eastAsia="Arial" w:hAnsi="Arial"/>
          <w:sz w:val="18"/>
          <w:szCs w:val="18"/>
          <w:b w:val="1"/>
          <w:bCs w:val="1"/>
          <w:i w:val="1"/>
          <w:iCs w:val="1"/>
          <w:color w:val="111419"/>
        </w:rPr>
        <w:t xml:space="preserve"> </w:t>
      </w:r>
      <w:r>
        <w:rPr>
          <w:rFonts w:ascii="Arial" w:cs="Arial" w:eastAsia="Arial" w:hAnsi="Arial"/>
          <w:sz w:val="18"/>
          <w:szCs w:val="18"/>
          <w:color w:val="000000"/>
        </w:rPr>
        <w:t>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11" w:name="page112"/>
    <w:bookmarkEnd w:id="111"/>
    <w:p>
      <w:pPr>
        <w:jc w:val="both"/>
        <w:ind w:left="660" w:right="2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of a “competent” immune system. </w:t>
      </w:r>
      <w:r>
        <w:rPr>
          <w:rFonts w:ascii="Arial" w:cs="Arial" w:eastAsia="Arial" w:hAnsi="Arial"/>
          <w:sz w:val="18"/>
          <w:szCs w:val="18"/>
          <w:color w:val="auto"/>
        </w:rPr>
        <w:t>Our approach relies on a patient’s immune system being capable of providing an immune response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recognition of the tumor. Therefore, we believe newly diagnosed uMGMT-GBM patients who have relatively “competent” immune systems, not yet damaged by repeated cycles of chemotherapies, are strong candidates for our candidate.</w:t>
      </w:r>
    </w:p>
    <w:p>
      <w:pPr>
        <w:spacing w:after="0" w:line="143" w:lineRule="exact"/>
        <w:rPr>
          <w:rFonts w:ascii="Arial" w:cs="Arial" w:eastAsia="Arial" w:hAnsi="Arial"/>
          <w:sz w:val="18"/>
          <w:szCs w:val="18"/>
          <w:color w:val="auto"/>
        </w:rPr>
      </w:pPr>
    </w:p>
    <w:p>
      <w:pPr>
        <w:jc w:val="both"/>
        <w:ind w:left="660" w:right="20" w:hanging="328"/>
        <w:spacing w:after="0" w:line="279"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Compelling preclinical data. </w:t>
      </w:r>
      <w:r>
        <w:rPr>
          <w:rFonts w:ascii="Arial" w:cs="Arial" w:eastAsia="Arial" w:hAnsi="Arial"/>
          <w:sz w:val="17"/>
          <w:szCs w:val="17"/>
          <w:color w:val="auto"/>
        </w:rPr>
        <w:t>Our preclinical studies, published in peer-reviewed papers, suggest that TEMs play an active role in uMGMT-GBM,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when used as a “Trojan Horse,” significantly shrink the tumor and to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p>
      <w:pPr>
        <w:spacing w:after="0" w:line="130" w:lineRule="exact"/>
        <w:rPr>
          <w:rFonts w:ascii="Arial" w:cs="Arial" w:eastAsia="Arial" w:hAnsi="Arial"/>
          <w:sz w:val="17"/>
          <w:szCs w:val="17"/>
          <w:color w:val="auto"/>
        </w:rPr>
      </w:pPr>
    </w:p>
    <w:p>
      <w:pPr>
        <w:ind w:left="660" w:right="420" w:hanging="328"/>
        <w:spacing w:after="0" w:line="34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global market size for all GBM is projected to grow to over $1.5 billion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2026. We believe a novel therapeutic which demonstrates improvement over existing therapies would greatly increase the market size.</w:t>
      </w:r>
    </w:p>
    <w:p>
      <w:pPr>
        <w:spacing w:after="0" w:line="15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are discussing a second study using Temferon in a second solid tumor indication. Locally advanced HCC and ICC are the leading indications under consideration and, as with GBM, these liver cancer indications have been selected for similar reasons as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Temferon for uMGMT-GBM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GBM is the most common malignant primary brain tumor accounting for more than half of all central nervous system (CNS) cancers and for which there is a high unmet medical need. The incidence rate is 3.20 per 100,000 persons with over 13,000 deaths per year in the United States.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median overall survival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Landscape and Limitations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current standard of care for GBM includes surgery to remove the accessible tumor followed by radiation therapy (RTx), chemotherapy with temozolomide (TMZ) and/or tumor treating fields (TTFields).</w:t>
      </w:r>
    </w:p>
    <w:p>
      <w:pPr>
        <w:spacing w:after="0" w:line="197" w:lineRule="exact"/>
        <w:rPr>
          <w:sz w:val="20"/>
          <w:szCs w:val="20"/>
          <w:color w:val="auto"/>
        </w:rPr>
      </w:pPr>
    </w:p>
    <w:p>
      <w:pPr>
        <w:ind w:left="660" w:hanging="328"/>
        <w:spacing w:after="0" w:line="296"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Surgery </w:t>
      </w:r>
      <w:r>
        <w:rPr>
          <w:rFonts w:ascii="Arial" w:cs="Arial" w:eastAsia="Arial" w:hAnsi="Arial"/>
          <w:sz w:val="16"/>
          <w:szCs w:val="16"/>
          <w:color w:val="auto"/>
        </w:rPr>
        <w:t>remains the mainstay of initial treatment. If the tumor is located in a resectable region of the brain, it is used to histologically confirm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p>
      <w:pPr>
        <w:spacing w:after="0" w:line="120" w:lineRule="exact"/>
        <w:rPr>
          <w:rFonts w:ascii="Arial" w:cs="Arial" w:eastAsia="Arial" w:hAnsi="Arial"/>
          <w:sz w:val="16"/>
          <w:szCs w:val="16"/>
          <w:color w:val="auto"/>
        </w:rPr>
      </w:pPr>
    </w:p>
    <w:p>
      <w:pPr>
        <w:ind w:left="660" w:hanging="328"/>
        <w:spacing w:after="0" w:line="311"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Radiation therapy </w:t>
      </w:r>
      <w:r>
        <w:rPr>
          <w:rFonts w:ascii="Arial" w:cs="Arial" w:eastAsia="Arial" w:hAnsi="Arial"/>
          <w:sz w:val="16"/>
          <w:szCs w:val="16"/>
          <w:color w:val="auto"/>
        </w:rPr>
        <w:t>improves survival and is typically started approximately 3 to 4 weeks after surgery. RTx is performed daily for approximately 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weeks. RTx induces the formation of neo-antigens and a pro-inflammatory response that are key aspects for immune system mediated disease control. However, the efficacy of RTx is impaired by hypoxia and by the negative effects of RTx on tumor infiltrating immune cells.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12" w:name="page113"/>
    <w:bookmarkEnd w:id="112"/>
    <w:p>
      <w:pPr>
        <w:ind w:left="660" w:hanging="328"/>
        <w:spacing w:after="0" w:line="291"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Chemotherapy. </w:t>
      </w:r>
      <w:r>
        <w:rPr>
          <w:rFonts w:ascii="Arial" w:cs="Arial" w:eastAsia="Arial" w:hAnsi="Arial"/>
          <w:sz w:val="16"/>
          <w:szCs w:val="16"/>
          <w:color w:val="auto"/>
        </w:rPr>
        <w:t>Temozolomide, the current chemotherapeutic standard of care, is a DNA-alkylating agent that can cross the blood-brain barrier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p>
      <w:pPr>
        <w:spacing w:after="0" w:line="125" w:lineRule="exact"/>
        <w:rPr>
          <w:rFonts w:ascii="Arial" w:cs="Arial" w:eastAsia="Arial" w:hAnsi="Arial"/>
          <w:sz w:val="16"/>
          <w:szCs w:val="16"/>
          <w:color w:val="auto"/>
        </w:rPr>
      </w:pPr>
    </w:p>
    <w:p>
      <w:pPr>
        <w:jc w:val="both"/>
        <w:ind w:left="660" w:right="100" w:hanging="328"/>
        <w:spacing w:after="0" w:line="301"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Tumor-Treating Fields (TTFields)</w:t>
      </w:r>
      <w:r>
        <w:rPr>
          <w:rFonts w:ascii="Arial" w:cs="Arial" w:eastAsia="Arial" w:hAnsi="Arial"/>
          <w:sz w:val="16"/>
          <w:szCs w:val="16"/>
          <w:color w:val="auto"/>
        </w:rPr>
        <w:t>. The use of TTFields to extend temozolomide maintenance chemotherapy for newly diagnosed glioblastoma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p>
      <w:pPr>
        <w:spacing w:after="0" w:line="112" w:lineRule="exact"/>
        <w:rPr>
          <w:rFonts w:ascii="Arial" w:cs="Arial" w:eastAsia="Arial" w:hAnsi="Arial"/>
          <w:sz w:val="16"/>
          <w:szCs w:val="16"/>
          <w:color w:val="auto"/>
        </w:rPr>
      </w:pPr>
    </w:p>
    <w:p>
      <w:pPr>
        <w:ind w:left="660" w:right="20" w:hanging="328"/>
        <w:spacing w:after="0" w:line="272"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Experimental Treatments. </w:t>
      </w:r>
      <w:r>
        <w:rPr>
          <w:rFonts w:ascii="Arial" w:cs="Arial" w:eastAsia="Arial" w:hAnsi="Arial"/>
          <w:sz w:val="17"/>
          <w:szCs w:val="17"/>
          <w:color w:val="auto"/>
        </w:rPr>
        <w:t>Along with the above-mentioned treatments, the addition of the antiangiogenic agent bevacizumab (BEV) to RTx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TMZ has been explored with mixed clinical results </w:t>
      </w:r>
      <w:r>
        <w:rPr>
          <w:rFonts w:ascii="Arial" w:cs="Arial" w:eastAsia="Arial" w:hAnsi="Arial"/>
          <w:sz w:val="17"/>
          <w:szCs w:val="17"/>
          <w:color w:val="111419"/>
        </w:rPr>
        <w:t>BEV was tested both a first-line treatment together with RTx and concomitant TMZ</w:t>
      </w:r>
      <w:r>
        <w:rPr>
          <w:rFonts w:ascii="Arial" w:cs="Arial" w:eastAsia="Arial" w:hAnsi="Arial"/>
          <w:sz w:val="17"/>
          <w:szCs w:val="17"/>
          <w:color w:val="auto"/>
        </w:rPr>
        <w:t xml:space="preserve"> </w:t>
      </w:r>
      <w:r>
        <w:rPr>
          <w:rFonts w:ascii="Arial" w:cs="Arial" w:eastAsia="Arial" w:hAnsi="Arial"/>
          <w:sz w:val="17"/>
          <w:szCs w:val="17"/>
          <w:color w:val="111419"/>
        </w:rPr>
        <w:t xml:space="preserve">administration in newly diagnosed glioblastoma patients, as well as in combination with RTx in recurrent GBM patients. </w:t>
      </w:r>
      <w:r>
        <w:rPr>
          <w:rFonts w:ascii="Arial" w:cs="Arial" w:eastAsia="Arial" w:hAnsi="Arial"/>
          <w:sz w:val="17"/>
          <w:szCs w:val="17"/>
          <w:color w:val="000000"/>
        </w:rPr>
        <w:t>BEV was approved by</w:t>
      </w:r>
      <w:r>
        <w:rPr>
          <w:rFonts w:ascii="Arial" w:cs="Arial" w:eastAsia="Arial" w:hAnsi="Arial"/>
          <w:sz w:val="17"/>
          <w:szCs w:val="17"/>
          <w:color w:val="111419"/>
        </w:rPr>
        <w:t xml:space="preserve"> </w:t>
      </w:r>
      <w:r>
        <w:rPr>
          <w:rFonts w:ascii="Arial" w:cs="Arial" w:eastAsia="Arial" w:hAnsi="Arial"/>
          <w:sz w:val="17"/>
          <w:szCs w:val="17"/>
          <w:color w:val="000000"/>
        </w:rPr>
        <w:t>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progression free survival (PFS).</w:t>
      </w:r>
    </w:p>
    <w:p>
      <w:pPr>
        <w:spacing w:after="0" w:line="20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believe that our investigational product, Temferon, has the potential to address the world recognized GBM unmet need. Through a single administration, we believe Temferon may be able to provide a long-lasting immune response, minimize systemic toxicity, counteract cancer progression and prevent tumor relapse.</w:t>
      </w:r>
    </w:p>
    <w:p>
      <w:pPr>
        <w:spacing w:after="0" w:line="21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Temferon utilizes our platform and </w:t>
      </w:r>
      <w:r>
        <w:rPr>
          <w:rFonts w:ascii="Arial" w:cs="Arial" w:eastAsia="Arial" w:hAnsi="Arial"/>
          <w:sz w:val="17"/>
          <w:szCs w:val="17"/>
          <w:i w:val="1"/>
          <w:iCs w:val="1"/>
          <w:color w:val="auto"/>
        </w:rPr>
        <w:t>ex-vivo</w:t>
      </w:r>
      <w:r>
        <w:rPr>
          <w:rFonts w:ascii="Arial" w:cs="Arial" w:eastAsia="Arial" w:hAnsi="Arial"/>
          <w:sz w:val="17"/>
          <w:szCs w:val="17"/>
          <w:color w:val="auto"/>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Arial" w:cs="Arial" w:eastAsia="Arial" w:hAnsi="Arial"/>
          <w:sz w:val="17"/>
          <w:szCs w:val="17"/>
          <w:i w:val="1"/>
          <w:iCs w:val="1"/>
          <w:color w:val="auto"/>
        </w:rPr>
        <w:t>see “Our Leading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 Temferon” and “Our Platform”</w:t>
      </w:r>
      <w:r>
        <w:rPr>
          <w:rFonts w:ascii="Arial" w:cs="Arial" w:eastAsia="Arial" w:hAnsi="Arial"/>
          <w:sz w:val="17"/>
          <w:szCs w:val="17"/>
          <w:color w:val="auto"/>
        </w:rPr>
        <w:t>). Temferon is designed to colonize the patient’s bone marrow with the genetically modified HSPCs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generate TEMs containing the IFN-α payload. Since TEMs are recruited within the tumor microenvironment, IFN-α is released solely at the targeted tumor, which may result in clinical activity without inducing systemic toxicity.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13" w:name="page114"/>
    <w:bookmarkEnd w:id="113"/>
    <w:p>
      <w:pPr>
        <w:ind w:right="60" w:firstLine="648"/>
        <w:spacing w:after="0" w:line="277" w:lineRule="auto"/>
        <w:rPr>
          <w:sz w:val="20"/>
          <w:szCs w:val="20"/>
          <w:color w:val="auto"/>
        </w:rPr>
      </w:pPr>
      <w:r>
        <w:rPr>
          <w:rFonts w:ascii="Arial" w:cs="Arial" w:eastAsia="Arial" w:hAnsi="Arial"/>
          <w:sz w:val="18"/>
          <w:szCs w:val="18"/>
          <w:color w:val="auto"/>
        </w:rPr>
        <w:t xml:space="preserve">Once within the tumor microenvironment, IFN-α is expected to act both </w:t>
      </w:r>
      <w:r>
        <w:rPr>
          <w:rFonts w:ascii="Arial" w:cs="Arial" w:eastAsia="Arial" w:hAnsi="Arial"/>
          <w:sz w:val="18"/>
          <w:szCs w:val="18"/>
          <w:i w:val="1"/>
          <w:iCs w:val="1"/>
          <w:color w:val="auto"/>
        </w:rPr>
        <w:t>directly</w:t>
      </w:r>
      <w:r>
        <w:rPr>
          <w:rFonts w:ascii="Arial" w:cs="Arial" w:eastAsia="Arial" w:hAnsi="Arial"/>
          <w:sz w:val="18"/>
          <w:szCs w:val="18"/>
          <w:color w:val="auto"/>
        </w:rPr>
        <w:t xml:space="preserve"> by promoting cancer cell apoptosis and inhibiting vascularization and </w:t>
      </w:r>
      <w:r>
        <w:rPr>
          <w:rFonts w:ascii="Arial" w:cs="Arial" w:eastAsia="Arial" w:hAnsi="Arial"/>
          <w:sz w:val="18"/>
          <w:szCs w:val="18"/>
          <w:i w:val="1"/>
          <w:iCs w:val="1"/>
          <w:color w:val="auto"/>
        </w:rPr>
        <w:t>indirectly</w:t>
      </w:r>
      <w:r>
        <w:rPr>
          <w:rFonts w:ascii="Arial" w:cs="Arial" w:eastAsia="Arial" w:hAnsi="Arial"/>
          <w:sz w:val="18"/>
          <w:szCs w:val="18"/>
          <w:color w:val="auto"/>
        </w:rPr>
        <w:t xml:space="preserve"> by restoring the body’s anti-tumor immune response, as follows:</w:t>
      </w:r>
    </w:p>
    <w:p>
      <w:pPr>
        <w:spacing w:after="0" w:line="197" w:lineRule="exact"/>
        <w:rPr>
          <w:sz w:val="20"/>
          <w:szCs w:val="20"/>
          <w:color w:val="auto"/>
        </w:rPr>
      </w:pPr>
    </w:p>
    <w:p>
      <w:pPr>
        <w:ind w:left="660" w:right="280" w:hanging="328"/>
        <w:spacing w:after="0" w:line="34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Direct Effects. </w:t>
      </w:r>
      <w:r>
        <w:rPr>
          <w:rFonts w:ascii="Arial" w:cs="Arial" w:eastAsia="Arial" w:hAnsi="Arial"/>
          <w:sz w:val="16"/>
          <w:szCs w:val="16"/>
          <w:color w:val="auto"/>
        </w:rPr>
        <w:t>IFN-α suppresses tumor cell proliferation and promotes the apoptosis of tumor and stromal cells by induction of proapoptotic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genes or repression of anti-apoptotic genes. Moreover, IFN-α inhibits angiogenesis by downregulating the expression of proangiogenic factors.</w:t>
      </w:r>
    </w:p>
    <w:p>
      <w:pPr>
        <w:spacing w:after="0" w:line="83"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Indirect Effects. </w:t>
      </w:r>
      <w:r>
        <w:rPr>
          <w:rFonts w:ascii="Arial" w:cs="Arial" w:eastAsia="Arial" w:hAnsi="Arial"/>
          <w:sz w:val="17"/>
          <w:szCs w:val="17"/>
          <w:color w:val="auto"/>
        </w:rPr>
        <w:t>IFN-α stimulates early innate immune responses and the subsequent adaptive immune response via multiple pathways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(CTL) responses.</w:t>
      </w:r>
    </w:p>
    <w:p>
      <w:pPr>
        <w:spacing w:after="0" w:line="20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119380</wp:posOffset>
            </wp:positionV>
            <wp:extent cx="5743575" cy="28803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435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Overview of Temferon antitumor activity</w:t>
      </w:r>
    </w:p>
    <w:p>
      <w:pPr>
        <w:spacing w:after="0" w:line="252"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i w:val="1"/>
          <w:iCs w:val="1"/>
          <w:color w:val="auto"/>
        </w:rPr>
        <w:t>Once recruited at the tumor site, instead of fostering tumor growth and inhibiting the immune systems, TEMs start to release IFN-α that triggers cancer cell apoptosis and arms the immune cells to fight the cancer.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uMGMT-GBM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We have preclinical data, published in 2018, suggesting that TEMs play an active role in GBM disease. Further studies published in 2008 showed that when TEMs were used as a “Trojan Horse,” as utilized by Temferon, the GBM tumor volume decreased and the disease progression was controlled. In more recent, unpublished preclinical studies, we have also demonstrated, in an immunocompetent GBM mouse model, that treatment with Temferon resulted in a long-term immune response in surviving mice, even after repeated tumor challenge intended to replicate possible tumor recurrences.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466090</wp:posOffset>
            </wp:positionV>
            <wp:extent cx="3497580" cy="38830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349758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Inhibition of Human Gliomas in IFN-α Gene Therapy Treated Athymic Mice (De Palma et al., 2008).</w:t>
      </w:r>
    </w:p>
    <w:p>
      <w:pPr>
        <w:spacing w:after="0" w:line="252" w:lineRule="exact"/>
        <w:rPr>
          <w:sz w:val="20"/>
          <w:szCs w:val="20"/>
          <w:color w:val="auto"/>
        </w:rPr>
      </w:pPr>
    </w:p>
    <w:p>
      <w:pPr>
        <w:jc w:val="center"/>
        <w:ind w:left="340"/>
        <w:spacing w:after="0" w:line="271" w:lineRule="auto"/>
        <w:rPr>
          <w:sz w:val="20"/>
          <w:szCs w:val="20"/>
          <w:color w:val="auto"/>
        </w:rPr>
      </w:pPr>
      <w:r>
        <w:rPr>
          <w:rFonts w:ascii="Arial" w:cs="Arial" w:eastAsia="Arial" w:hAnsi="Arial"/>
          <w:sz w:val="17"/>
          <w:szCs w:val="17"/>
          <w:b w:val="1"/>
          <w:bCs w:val="1"/>
          <w:i w:val="1"/>
          <w:iCs w:val="1"/>
          <w:color w:val="auto"/>
        </w:rPr>
        <w:t xml:space="preserve">A-B) </w:t>
      </w:r>
      <w:r>
        <w:rPr>
          <w:rFonts w:ascii="Arial" w:cs="Arial" w:eastAsia="Arial" w:hAnsi="Arial"/>
          <w:sz w:val="17"/>
          <w:szCs w:val="17"/>
          <w:i w:val="1"/>
          <w:iCs w:val="1"/>
          <w:color w:val="auto"/>
        </w:rPr>
        <w:t>Glioma growth (mean tumor volume ± SEM, measured by MRI) in individual control and IFN-α gene therapy treated mice (Tie2-IFN) at 3 weeks post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tumor injection (PTI). Tumor volume and progression decreased in IFN-α gene therapy treated mice. </w:t>
      </w:r>
      <w:r>
        <w:rPr>
          <w:rFonts w:ascii="Arial" w:cs="Arial" w:eastAsia="Arial" w:hAnsi="Arial"/>
          <w:sz w:val="17"/>
          <w:szCs w:val="17"/>
          <w:b w:val="1"/>
          <w:bCs w:val="1"/>
          <w:i w:val="1"/>
          <w:iCs w:val="1"/>
          <w:color w:val="auto"/>
        </w:rPr>
        <w:t>C)</w:t>
      </w:r>
      <w:r>
        <w:rPr>
          <w:rFonts w:ascii="Arial" w:cs="Arial" w:eastAsia="Arial" w:hAnsi="Arial"/>
          <w:sz w:val="17"/>
          <w:szCs w:val="17"/>
          <w:i w:val="1"/>
          <w:iCs w:val="1"/>
          <w:color w:val="auto"/>
        </w:rPr>
        <w:t xml:space="preserve"> MRI images showing brain tumor growth at the indicated time points PTI in representative control (Ctrl) and Tie2-IFN mice. Intracranial gliomas are indicated by arrows and dashed line. The tumor did not progress in Tie2-IFN mice. </w:t>
      </w:r>
      <w:r>
        <w:rPr>
          <w:rFonts w:ascii="Arial" w:cs="Arial" w:eastAsia="Arial" w:hAnsi="Arial"/>
          <w:sz w:val="17"/>
          <w:szCs w:val="17"/>
          <w:b w:val="1"/>
          <w:bCs w:val="1"/>
          <w:i w:val="1"/>
          <w:iCs w:val="1"/>
          <w:color w:val="auto"/>
        </w:rPr>
        <w:t>D)</w:t>
      </w:r>
      <w:r>
        <w:rPr>
          <w:rFonts w:ascii="Arial" w:cs="Arial" w:eastAsia="Arial" w:hAnsi="Arial"/>
          <w:sz w:val="17"/>
          <w:szCs w:val="17"/>
          <w:i w:val="1"/>
          <w:iCs w:val="1"/>
          <w:color w:val="auto"/>
        </w:rPr>
        <w:t xml:space="preserve"> Measurement of tumor necrotic fraction (mean necrotic fraction, % ± SEM) by MRI in individual Ctrl and Tie2-IFN mice at 3 weeks PTI, evidencing cancer cell death.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 The Tie2-IFN tumors that grew sufficiently to be analyzed displayed decreased cell proliferation and greater apoptosis (assessed by Ki-67 and cleaved caspase-3 immunostaining, respectively a proliferation and an apoptosis marker) as compared to the control tumors. (Caspase-3 = Casp-3; green) and CD31 (marker of blood vessels; red) TO-PRO-3 (TP3; nuclear staining, blue). Arrows show Ki-67+CD31+ or caspase-3+CD31+ (ECs; dashed line indicates tumor margin).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1/2a Clinical Trial</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the second quarter of 2019, we enrolled our first patient in a single-arm, open label, dose escalation, Phase 1/2a clinical trial, in adult patients aged 18 to 70 years (“TEM-GBM 001 study”). The trial is being conducted at two clinical centers of excellence located in Milan, Italy: (i) Istituto Nazionale Neurologico “</w:t>
      </w:r>
      <w:r>
        <w:rPr>
          <w:rFonts w:ascii="Arial" w:cs="Arial" w:eastAsia="Arial" w:hAnsi="Arial"/>
          <w:sz w:val="18"/>
          <w:szCs w:val="18"/>
          <w:i w:val="1"/>
          <w:iCs w:val="1"/>
          <w:color w:val="auto"/>
        </w:rPr>
        <w:t>Carlo Besta</w:t>
      </w:r>
      <w:r>
        <w:rPr>
          <w:rFonts w:ascii="Arial" w:cs="Arial" w:eastAsia="Arial" w:hAnsi="Arial"/>
          <w:sz w:val="18"/>
          <w:szCs w:val="18"/>
          <w:color w:val="auto"/>
        </w:rPr>
        <w:t>”, an internationally recognized leading center in neuroscience, specializing in the diagnosis and treatment of neurological diseases in adults and children, and (ii) OSR, which has a recognized expertise in complex and innovative diagnostic and therapeutic approaches in onco-hematological patients and in gene therapy treatments.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ind w:right="40" w:firstLine="648"/>
        <w:spacing w:after="0" w:line="272" w:lineRule="auto"/>
        <w:rPr>
          <w:sz w:val="20"/>
          <w:szCs w:val="20"/>
          <w:color w:val="auto"/>
        </w:rPr>
      </w:pPr>
      <w:r>
        <w:rPr>
          <w:rFonts w:ascii="Arial" w:cs="Arial" w:eastAsia="Arial" w:hAnsi="Arial"/>
          <w:sz w:val="17"/>
          <w:szCs w:val="17"/>
          <w:color w:val="auto"/>
        </w:rPr>
        <w:t>The primary objective of the TEM-GBM 001 study is to evaluate the safety, tolerability, feasibility and biological activity of Temferon in uMGMT-GBM patients with an unmethylated MGMT gene, who as a result of the gene, have a poor prognosis and are expected to not respond to TMZ treatment. These patients are identified immediately after surgery, upon confirmation of the diagnosis and MGMT methylation status. After enrollment, each patient is screened for eligibility, and if eligible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After Temferon administration, each patient is followed for two years. The figure below depicts the different stages of TEM-GBM 001 study enrollment and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139065</wp:posOffset>
            </wp:positionV>
            <wp:extent cx="4526280" cy="26314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2628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001 Study Design.</w:t>
      </w:r>
    </w:p>
    <w:p>
      <w:pPr>
        <w:spacing w:after="0" w:line="252"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Our study aims to evaluate the short-term (up to 90 Days) and long-term (up to 2 years) tolerability and safety of five escalating doses of Temferon in up to 21 patients with uMGMT-GBM and an unmethylated MGMT promoter, following first line radiotherapy.</w:t>
      </w:r>
    </w:p>
    <w:p>
      <w:pPr>
        <w:spacing w:after="0" w:line="14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Initially the study was designed with a dose escalation phase in 15 patients assigned to 5 cohorts (Part A) to test three different escalating Temferon doses and two different conditioning regimens, with the aim of determining the best Temferon engraftment associated with fewer side effects to be then applied to an expansion phase (Part B) in six additional patients.</w:t>
      </w:r>
    </w:p>
    <w:p>
      <w:pPr>
        <w:spacing w:after="0" w:line="187" w:lineRule="exact"/>
        <w:rPr>
          <w:sz w:val="20"/>
          <w:szCs w:val="20"/>
          <w:color w:val="auto"/>
        </w:rPr>
      </w:pPr>
    </w:p>
    <w:p>
      <w:pPr>
        <w:jc w:val="both"/>
        <w:ind w:right="220" w:firstLine="648"/>
        <w:spacing w:after="0" w:line="227" w:lineRule="auto"/>
        <w:rPr>
          <w:sz w:val="20"/>
          <w:szCs w:val="20"/>
          <w:color w:val="auto"/>
        </w:rPr>
      </w:pPr>
      <w:r>
        <w:rPr>
          <w:rFonts w:ascii="Arial" w:cs="Arial" w:eastAsia="Arial" w:hAnsi="Arial"/>
          <w:sz w:val="16"/>
          <w:szCs w:val="16"/>
          <w:color w:val="auto"/>
        </w:rPr>
        <w:t>Patients in cohorts 1, 2 and 3 received Temferon dose escalation up to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(Dose Level 3) and 3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as unmanipulated supporter HSPCs. Patients in Cohorts 4 and 5 were infused with Temferon Dose Level 3 but received 2 x 10</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CD34+ cells/kg and were conditioned with 2 different conditioning regimens (BCNU &amp; thiotepa for Cohort 4, also utilized in Cohort 1-3 and Busulfan &amp; thiothepa for Cohort 5).</w:t>
      </w:r>
    </w:p>
    <w:p>
      <w:pPr>
        <w:spacing w:after="0" w:line="202" w:lineRule="exact"/>
        <w:rPr>
          <w:sz w:val="20"/>
          <w:szCs w:val="20"/>
          <w:color w:val="auto"/>
        </w:rPr>
      </w:pPr>
    </w:p>
    <w:p>
      <w:pPr>
        <w:ind w:firstLine="648"/>
        <w:spacing w:after="0" w:line="341" w:lineRule="auto"/>
        <w:rPr>
          <w:sz w:val="20"/>
          <w:szCs w:val="20"/>
          <w:color w:val="auto"/>
        </w:rPr>
      </w:pPr>
      <w:r>
        <w:rPr>
          <w:rFonts w:ascii="Arial" w:cs="Arial" w:eastAsia="Arial" w:hAnsi="Arial"/>
          <w:sz w:val="16"/>
          <w:szCs w:val="16"/>
          <w:color w:val="auto"/>
        </w:rPr>
        <w:t>Based on the results collected in the Part A of the study, we have amended the study to add two additional dose escalation cohorts (numbers 6 and 7). The Clinical Protocol amendment was submitted on July 20</w:t>
      </w:r>
      <w:r>
        <w:rPr>
          <w:rFonts w:ascii="Arial" w:cs="Arial" w:eastAsia="Arial" w:hAnsi="Arial"/>
          <w:sz w:val="26"/>
          <w:szCs w:val="26"/>
          <w:color w:val="auto"/>
          <w:vertAlign w:val="superscript"/>
        </w:rPr>
        <w:t>th</w:t>
      </w:r>
      <w:r>
        <w:rPr>
          <w:rFonts w:ascii="Arial" w:cs="Arial" w:eastAsia="Arial" w:hAnsi="Arial"/>
          <w:sz w:val="16"/>
          <w:szCs w:val="16"/>
          <w:color w:val="auto"/>
        </w:rPr>
        <w:t>, 2021 to the Italian Competent Authorities, and approved by AIFA in September 2021.</w:t>
      </w:r>
    </w:p>
    <w:p>
      <w:pPr>
        <w:spacing w:after="0" w:line="2" w:lineRule="exact"/>
        <w:rPr>
          <w:sz w:val="20"/>
          <w:szCs w:val="20"/>
          <w:color w:val="auto"/>
        </w:rPr>
      </w:pPr>
    </w:p>
    <w:p>
      <w:pPr>
        <w:ind w:right="100" w:firstLine="648"/>
        <w:spacing w:after="0" w:line="193" w:lineRule="auto"/>
        <w:rPr>
          <w:sz w:val="20"/>
          <w:szCs w:val="20"/>
          <w:color w:val="auto"/>
        </w:rPr>
      </w:pPr>
      <w:r>
        <w:rPr>
          <w:rFonts w:ascii="Arial" w:cs="Arial" w:eastAsia="Arial" w:hAnsi="Arial"/>
          <w:sz w:val="18"/>
          <w:szCs w:val="18"/>
          <w:color w:val="auto"/>
        </w:rPr>
        <w:t>As per the submitted clinical protocol amendment, Cohorts 6 and 7 will recruit three patients each who will be conditioned with BCNU and thiotepa and will receive 2 x 10</w:t>
      </w:r>
      <w:r>
        <w:rPr>
          <w:rFonts w:ascii="Arial" w:cs="Arial" w:eastAsia="Arial" w:hAnsi="Arial"/>
          <w:sz w:val="29"/>
          <w:szCs w:val="29"/>
          <w:color w:val="auto"/>
          <w:vertAlign w:val="superscript"/>
        </w:rPr>
        <w:t>6</w:t>
      </w:r>
      <w:r>
        <w:rPr>
          <w:rFonts w:ascii="Arial" w:cs="Arial" w:eastAsia="Arial" w:hAnsi="Arial"/>
          <w:sz w:val="18"/>
          <w:szCs w:val="18"/>
          <w:color w:val="auto"/>
        </w:rPr>
        <w:t>/kg supporter HSPCs and a Temferon dose of 3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and (Cohort 6, Dose Level 4), and 4 x 10</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cells/kg (Cohort 7, Dose Level 5), respectively.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figure below represents the amended TEM-GBM 001 study scheme with interim and anticipated milestones. The study EudraCT Number is 2018-001404-11 and can be found at clinicaltrialsregister.eu/ctr-search/trial/2018-001404-11/IT.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19" w:right="41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885190</wp:posOffset>
            </wp:positionH>
            <wp:positionV relativeFrom="page">
              <wp:posOffset>466090</wp:posOffset>
            </wp:positionV>
            <wp:extent cx="5743575" cy="32918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TEM-GBM 001 Amended Study Design.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Interim Results.</w:t>
      </w:r>
    </w:p>
    <w:p>
      <w:pPr>
        <w:spacing w:after="0" w:line="25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We designed the TEM-GBM 001 study to: (i) obtain rapid accrual of patients (ii) assess the safety profile of Temferon, (iii) identify the optimal dose, and (iv) measure the biological activity of Temferon on those patients who progress to the point of requiring a second surgery.</w:t>
      </w:r>
    </w:p>
    <w:p>
      <w:pPr>
        <w:spacing w:after="0" w:line="14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designed our study anticipating that patients receiving lower doses of Temferon could progress to the point of needing a second surgery, which is often necessary in GBM patients. A second surgery provides the only source of GBM specimens post treatment to evaluate the biological activity of</w:t>
      </w:r>
    </w:p>
    <w:p>
      <w:pPr>
        <w:jc w:val="both"/>
        <w:ind w:right="280"/>
        <w:spacing w:after="0" w:line="221" w:lineRule="auto"/>
        <w:rPr>
          <w:sz w:val="20"/>
          <w:szCs w:val="20"/>
          <w:color w:val="auto"/>
        </w:rPr>
      </w:pPr>
      <w:r>
        <w:rPr>
          <w:rFonts w:ascii="Arial" w:cs="Arial" w:eastAsia="Arial" w:hAnsi="Arial"/>
          <w:sz w:val="18"/>
          <w:szCs w:val="18"/>
          <w:color w:val="auto"/>
        </w:rPr>
        <w:t>Temferon and to evaluate its mechanism of action in patients. We enrolled our first patient in April 2019 and as of October 15</w:t>
      </w:r>
      <w:r>
        <w:rPr>
          <w:rFonts w:ascii="Arial" w:cs="Arial" w:eastAsia="Arial" w:hAnsi="Arial"/>
          <w:sz w:val="29"/>
          <w:szCs w:val="29"/>
          <w:color w:val="auto"/>
          <w:vertAlign w:val="superscript"/>
        </w:rPr>
        <w:t>th</w:t>
      </w:r>
      <w:r>
        <w:rPr>
          <w:rFonts w:ascii="Arial" w:cs="Arial" w:eastAsia="Arial" w:hAnsi="Arial"/>
          <w:sz w:val="18"/>
          <w:szCs w:val="18"/>
          <w:color w:val="auto"/>
        </w:rPr>
        <w:t>, 2021, we had dosed 15 patients, from cohort 1 to 5. We expect to complete the enrollment and the dosing of patients to be assigned to cohorts 6 and 7 by the end of the second quarter of 2022.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Overview of the current TEM-GBM 001 clinical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151765</wp:posOffset>
            </wp:positionV>
            <wp:extent cx="5743575" cy="8661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4357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There have been no dose limiting toxicities identified in our clinical study to date. All patients showed rapid engraftment and hematological recovery after administering the sub-myeloablative conditioning regimens (Busulfan BCNU + Thiotepa or Busulfan and Thiothepa). Evidence of presence and persistence of Temferon-derived differentiated cells is assessed by measuring the vector genomes in the DNA of peripheral blood and bone marrow cells (absolute number quantified by ddPCR). The vector copy number (VCN) positive cells were present within 14 days post treatment and were detectable, albeit at lower levels, in the long-term (up to 18 months, the last measured timepoint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137795</wp:posOffset>
            </wp:positionV>
            <wp:extent cx="5349240" cy="1954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Engineered myeloid cells persist in peripheral blood for up to 18 months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also detected very low concentrations of IFN-α in the plasma and cerebrospinal fluid, suggesting the transgene expression control mechanism may be working as intended by limiting systemic IFN-a exposure.</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Serious adverse events have mainly been attributed by the Investigator to the effects of the conditioning regimen (pneumonia, pulmonary embolism, febrile neutropenia, fatigue, C.diff infection, CMV reactivation, sepsis) or disease progression (worsening left hemiparesis, seizure, brain abscess, sudden death). Three instances of elevated gamma glutamyl transferase (GGT) have been observed: two mild cases attributed to chemotherapy and HSPC harvesting, each of which has resolved; and one case occurring at D+78 following Temferon administration, which was classified as a suspected unexpected serious adverse reaction (SUSAR) possibly related to Temferon, and which has also resolved. Nine deaths have been reported to date: seven at +241, +322, +340, +402, +478, +646 and +749 days after Temferon administration due to disease progression, and two deaths at +60 and +122 days which the Investigator considered not related to Temferon but possibly related to complications following the chronic steroid treatment and the conditioning regimens prior to Temferon administration.</w:t>
      </w:r>
    </w:p>
    <w:p>
      <w:pPr>
        <w:spacing w:after="0" w:line="209" w:lineRule="exact"/>
        <w:rPr>
          <w:sz w:val="20"/>
          <w:szCs w:val="20"/>
          <w:color w:val="auto"/>
        </w:rPr>
      </w:pPr>
    </w:p>
    <w:p>
      <w:pPr>
        <w:jc w:val="both"/>
        <w:ind w:right="160" w:firstLine="648"/>
        <w:spacing w:after="0" w:line="252" w:lineRule="auto"/>
        <w:rPr>
          <w:sz w:val="20"/>
          <w:szCs w:val="20"/>
          <w:color w:val="auto"/>
        </w:rPr>
      </w:pPr>
      <w:r>
        <w:rPr>
          <w:rFonts w:ascii="Arial" w:cs="Arial" w:eastAsia="Arial" w:hAnsi="Arial"/>
          <w:sz w:val="17"/>
          <w:szCs w:val="17"/>
          <w:color w:val="auto"/>
        </w:rPr>
        <w:t>The last evaluable disease status as assessed by immunotherapy response assessment for neuro-oncology (iRANO) criteria as of October 15</w:t>
      </w:r>
      <w:r>
        <w:rPr>
          <w:rFonts w:ascii="Arial" w:cs="Arial" w:eastAsia="Arial" w:hAnsi="Arial"/>
          <w:sz w:val="28"/>
          <w:szCs w:val="28"/>
          <w:color w:val="auto"/>
          <w:vertAlign w:val="superscript"/>
        </w:rPr>
        <w:t>th</w:t>
      </w:r>
      <w:r>
        <w:rPr>
          <w:rFonts w:ascii="Arial" w:cs="Arial" w:eastAsia="Arial" w:hAnsi="Arial"/>
          <w:sz w:val="17"/>
          <w:szCs w:val="17"/>
          <w:color w:val="auto"/>
        </w:rPr>
        <w:t>, 2021, the last evaluable time point for all 15 treated patients (prior to death, where applicable), was as follows: seven patients had shown stable disease (SD), three patients had demonstrated partial response, four patients had shown progressive disease (PD) and one patient had shown pseudoprogression. For reference, The iRANO guidelines specifically address interpretation of initial progressive imaging findings in the context of neuro-oncology patients with a goal of decreasing the likelihood of premature discontinuation of potentially beneficial therapies while ensuring maximum patient safety. iRANO empirically stipulates a three-month window for confirmation of progression on follow-up imaging, and further advises that progressive imaging changes beyond six months after immunotherapy initiation are more likely true tumor progression.</w:t>
      </w:r>
    </w:p>
    <w:p>
      <w:pPr>
        <w:spacing w:after="0" w:line="19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So far, eight out of the nine patients from the first three cohorts and one patient in cohort 4 progressed. The PD occurred after a median of + 123 days (range 83–239 days) following administration of Temferon. Two patients of cohort 3 progressed before Temferon administration (11 and 12 days before Temferon administration). Preliminary analyses performed on the tumor specimens belonging to patients with PD who underwent a second surgery (four patients) confirmed the presence of TEMs within the tumor, as assessed by flow cytometry, and an increased expression of IFN-responsive gene signatures compared to diagnosis, as assessed by quantitative polymerase chain reaction (PCR) tests. We believe that these findings suggest intra-tumor IFN-α release.</w:t>
      </w:r>
    </w:p>
    <w:p>
      <w:pPr>
        <w:spacing w:after="0" w:line="19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Of the four patients who underwent the second surgery, one patient had a prior lesion, which was not removed during the first surgery. When this patient underwent the second surgery following treatment with Temferon, it was observed that this lesion was stable and had not grown. In addition, this patient presented a relapsing progressing lesion that had developed at the first surgery site. Both lesions were removed and biopsied at the second surgery. Notably, as assessed by flow cytometry, the stable lesion had a higher proportion of T cells and TEMs within the myeloid infiltrate and as detected by quantitative PCR a markedly increased IFN-response signature as compared to the relapse-progressing lesion.</w:t>
      </w:r>
    </w:p>
    <w:p>
      <w:pPr>
        <w:spacing w:after="0" w:line="18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We also analyzed the peripheral blood of the patients from cohorts 1 to 3. In these patients, the peripheral blood showed, on two of the four subjects with samples at the first and second surgery, a change in the T cell immune repertoire post treatment, revealing expansion of tumor-associated clones, which suggested that changes in the immune system are occurring.</w:t>
      </w:r>
    </w:p>
    <w:p>
      <w:pPr>
        <w:spacing w:after="0" w:line="211"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We believe these results align with our preclinical data and suggest the immune activation effects of Temferon. Specifically, the preliminary interim results, including the tumor analysis conducted after second surgery described above, provide biological evidence to support the hypothesis that cellular and molecular changes were triggered by Temferon in uMGMT-GBM patients despite the low dose administered. We have yet to reach the maximum tolerated dose of Temferon and as outlined in our study protocol, we will be increasing the dose in cohorts 6 and 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TEM-GBM Clinical Development Plan</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plan to use the results of our TEM-GBM Phase 1/2a study (NCT03866109) to support a Clinical Trial Application to be conducted in Europe, a multicenter Phase 2 study in uMGMT-GBM, which we currently intend to conduct primarily in Italy. In advance of our CTA submission and not required for our European trial, we have submitted a pre-IND meeting request to the FDA and received written responses from the Agency in the third quarter of 2021 regarding the proposed Phase 2 clinical study design and drug product manufacturing strategy. The plans for the Phase 2 clinical study and drug product manufacturing strategy will be informed by the Agency comments. We anticipate submitting the CTA for a Temferon Phase 2 study for uMGMT-</w:t>
      </w:r>
    </w:p>
    <w:p>
      <w:pPr>
        <w:sectPr>
          <w:pgSz w:w="11900" w:h="16864" w:orient="portrait"/>
          <w:cols w:equalWidth="0" w:num="1">
            <w:col w:w="11220"/>
          </w:cols>
          <w:pgMar w:left="320" w:top="719" w:right="359" w:bottom="0" w:gutter="0" w:footer="0" w:header="0"/>
        </w:sectPr>
      </w:pPr>
    </w:p>
    <w:bookmarkStart w:id="118" w:name="page119"/>
    <w:bookmarkEnd w:id="118"/>
    <w:p>
      <w:pPr>
        <w:spacing w:after="0" w:line="259" w:lineRule="auto"/>
        <w:rPr>
          <w:sz w:val="20"/>
          <w:szCs w:val="20"/>
          <w:color w:val="auto"/>
        </w:rPr>
      </w:pPr>
      <w:r>
        <w:rPr>
          <w:rFonts w:ascii="Arial" w:cs="Arial" w:eastAsia="Arial" w:hAnsi="Arial"/>
          <w:sz w:val="18"/>
          <w:szCs w:val="18"/>
          <w:color w:val="auto"/>
        </w:rPr>
        <w:t>GBM patients by the second quarter of 2022. The Phase 2 study will evaluate the safety, tolerability, biological reprogramming of the tumor microenvironment in Temferon treated patients compared to the current standard of care, with primary endpoints, of PFS and mOS. We are also working with our current CMO and potentially other CMOs based in the U.S. to manufacture and to supply Temferon in the U.S. for our larger trials to be conducted after the completion of our Phase 2 study.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components of the anticipated clinical trial are as follows:</w:t>
      </w:r>
    </w:p>
    <w:p>
      <w:pPr>
        <w:spacing w:after="0" w:line="252"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Multicenter study evaluating Temferon for safety, tolerability and efficacy compared to the current standard of care;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Enrollment and treatment of up to 27 patients with newly diagnosed and recurrent uMGMT-GBM;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PFS and mOS as co-primary study endpoints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study design as discussed with FDA at the Pre-IND meeting may be subject to modifications.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Solid Tumor Indication</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are also evaluating liver cancers as a potential second solid tumor to be investigated. HCC and ICC are gastrointestinal cancers affecting the digestive system. We chose to pursue these indications for similar reasons as the uMGMT-GBM indication, namely:</w:t>
      </w:r>
    </w:p>
    <w:p>
      <w:pPr>
        <w:spacing w:after="0" w:line="193" w:lineRule="exact"/>
        <w:rPr>
          <w:sz w:val="20"/>
          <w:szCs w:val="20"/>
          <w:color w:val="auto"/>
        </w:rPr>
      </w:pPr>
    </w:p>
    <w:p>
      <w:pPr>
        <w:ind w:left="660" w:right="480" w:hanging="328"/>
        <w:spacing w:after="0" w:line="282"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High unmet medical need and market opportunity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prognosis for patients with locally advanced HCC and ICC remains poor with few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options having limited clinical benefits.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111419"/>
        </w:rPr>
        <w:t>TEMs have an active role in HCC and ICC pathology.</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Several third-party studies have shown that tumor infiltration by tumor associated myeloid cells, including TEMs, is a negative prognostic factor in HCC and ICC.</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HCC, TEMs are the most abundant proportion of tumor associated myeloid cells.</w:t>
      </w:r>
    </w:p>
    <w:p>
      <w:pPr>
        <w:spacing w:after="0" w:line="184" w:lineRule="exact"/>
        <w:rPr>
          <w:rFonts w:ascii="Arial" w:cs="Arial" w:eastAsia="Arial" w:hAnsi="Arial"/>
          <w:sz w:val="18"/>
          <w:szCs w:val="18"/>
          <w:color w:val="auto"/>
        </w:rPr>
      </w:pPr>
    </w:p>
    <w:p>
      <w:pPr>
        <w:ind w:left="980" w:right="340" w:hanging="324"/>
        <w:spacing w:after="0" w:line="342" w:lineRule="auto"/>
        <w:tabs>
          <w:tab w:leader="none" w:pos="9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Hepatitis B (HBV) infections and hepatitis C (HCV) infections, both of which predispose individuals to the development of chronic liver disease and the subsequent liver cancers, upregulate Ang-2 expression, further contributing to tumor angiogenesis and TEMs migration.</w:t>
      </w:r>
    </w:p>
    <w:p>
      <w:pPr>
        <w:spacing w:after="0" w:line="8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HCC, Ang-2 mRNA expression is significantly increased when compared to adjacent liver tissue and angiopoietins and tumor infiltrating TEMs appear to be associated with metastasis and recurrent disease.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above evidence highlights the role of TEMs in fostering liver cancer growth, by promoting angiogenesis.</w:t>
      </w:r>
    </w:p>
    <w:p>
      <w:pPr>
        <w:spacing w:after="0" w:line="252" w:lineRule="exact"/>
        <w:rPr>
          <w:sz w:val="20"/>
          <w:szCs w:val="20"/>
          <w:color w:val="auto"/>
        </w:rPr>
      </w:pPr>
    </w:p>
    <w:p>
      <w:pPr>
        <w:ind w:left="660" w:right="70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111419"/>
        </w:rPr>
        <w:t xml:space="preserve">Pro-inflammatory and immunosuppressive tumor microenvironment. </w:t>
      </w:r>
      <w:r>
        <w:rPr>
          <w:rFonts w:ascii="Arial" w:cs="Arial" w:eastAsia="Arial" w:hAnsi="Arial"/>
          <w:sz w:val="18"/>
          <w:szCs w:val="18"/>
          <w:color w:val="000000"/>
        </w:rPr>
        <w:t>Both locally advanced HCC and ICC are characterized by a pro-inflammatory and immunosuppressive tumor microenvironment with TEMs playing a key role.</w:t>
      </w:r>
    </w:p>
    <w:p>
      <w:pPr>
        <w:spacing w:after="0" w:line="12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IFN-α and liver tumors. </w:t>
      </w:r>
      <w:r>
        <w:rPr>
          <w:rFonts w:ascii="Arial" w:cs="Arial" w:eastAsia="Arial" w:hAnsi="Arial"/>
          <w:sz w:val="17"/>
          <w:szCs w:val="17"/>
          <w:color w:val="auto"/>
        </w:rPr>
        <w:t>Chronic inflammation resulting from HBV and HCV infection are key contributors for the development of HCC or ICC.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the introduction of antiviral agents in 2011, parenterally administered interferons, including IFN-α, were utilized as the standard of care in order to achieve viral clearance and/or suppression. The use of IFN-based regimens for HCV and HBV infections has been associated with a reduction in HCC risk. Evidence suggests that use of IFN-α as an adjuvant therapy in HCC patients after curative therapy may reduce the recurrence rates for up to 5 years, particularly in patients with concurrent HCV infection.</w:t>
      </w:r>
    </w:p>
    <w:p>
      <w:pPr>
        <w:spacing w:after="0" w:line="13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111419"/>
        </w:rPr>
        <w:t xml:space="preserve">Available preclinical </w:t>
      </w:r>
      <w:r>
        <w:rPr>
          <w:rFonts w:ascii="Arial" w:cs="Arial" w:eastAsia="Arial" w:hAnsi="Arial"/>
          <w:sz w:val="17"/>
          <w:szCs w:val="17"/>
          <w:b w:val="1"/>
          <w:bCs w:val="1"/>
          <w:i w:val="1"/>
          <w:iCs w:val="1"/>
          <w:color w:val="000000"/>
        </w:rPr>
        <w:t>data.</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We have preclinical data, published in peer reviewed papers suggesting that TEMs used as a “Trojan Horse” for cancer</w:t>
      </w:r>
      <w:r>
        <w:rPr>
          <w:rFonts w:ascii="Arial" w:cs="Arial" w:eastAsia="Arial" w:hAnsi="Arial"/>
          <w:sz w:val="17"/>
          <w:szCs w:val="17"/>
          <w:b w:val="1"/>
          <w:bCs w:val="1"/>
          <w:i w:val="1"/>
          <w:iCs w:val="1"/>
          <w:color w:val="111419"/>
        </w:rPr>
        <w:t xml:space="preserve"> </w:t>
      </w:r>
      <w:r>
        <w:rPr>
          <w:rFonts w:ascii="Arial" w:cs="Arial" w:eastAsia="Arial" w:hAnsi="Arial"/>
          <w:sz w:val="17"/>
          <w:szCs w:val="17"/>
          <w:color w:val="000000"/>
        </w:rPr>
        <w:t>that has metastasized to the liver were able to induce a statistically significant tumor shrinkage and control disease progression.</w:t>
      </w:r>
    </w:p>
    <w:p>
      <w:pPr>
        <w:spacing w:after="0" w:line="105" w:lineRule="exact"/>
        <w:rPr>
          <w:rFonts w:ascii="Arial" w:cs="Arial" w:eastAsia="Arial" w:hAnsi="Arial"/>
          <w:sz w:val="17"/>
          <w:szCs w:val="17"/>
          <w:color w:val="auto"/>
        </w:rPr>
      </w:pPr>
    </w:p>
    <w:p>
      <w:pPr>
        <w:ind w:left="660" w:right="120" w:hanging="328"/>
        <w:spacing w:after="0" w:line="342"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Opportunity. </w:t>
      </w:r>
      <w:r>
        <w:rPr>
          <w:rFonts w:ascii="Arial" w:cs="Arial" w:eastAsia="Arial" w:hAnsi="Arial"/>
          <w:sz w:val="16"/>
          <w:szCs w:val="16"/>
          <w:color w:val="auto"/>
        </w:rPr>
        <w:t>Based on currently available treatments, the HCC and ICC combined global market value is projected to grow to over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billion by 2026. We believe a novel therapeutic which demonstrates improvement over existing therapies would greatly grow the market size.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Disease Overview</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Liver and intrahepatic bile duct cancers are upper gastrointestinal (GI) cancers that affect the digestive system. They are the fifth most common cause of cancer deaths in men in the U.S., and the seventh most common cause of death in women. The American Cancer Society (ACS) estimates that 42,230 new cases of liver cancer (including intrahepatic bile duct cancers) will be diagnosed in 2021. Of these cases, approximately three-quarters were HCC, while less than one-quarter were bile duct cancers (both intrahepatic and extrahepatic). We are developing Temferon to treat the two tumor types listed below.</w:t>
      </w:r>
    </w:p>
    <w:p>
      <w:pPr>
        <w:spacing w:after="0" w:line="215" w:lineRule="exact"/>
        <w:rPr>
          <w:sz w:val="20"/>
          <w:szCs w:val="20"/>
          <w:color w:val="auto"/>
        </w:rPr>
      </w:pPr>
    </w:p>
    <w:p>
      <w:pPr>
        <w:ind w:left="660" w:right="40" w:hanging="328"/>
        <w:spacing w:after="0" w:line="293"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Hepatocellular carcinoma </w:t>
      </w:r>
      <w:r>
        <w:rPr>
          <w:rFonts w:ascii="Arial" w:cs="Arial" w:eastAsia="Arial" w:hAnsi="Arial"/>
          <w:sz w:val="16"/>
          <w:szCs w:val="16"/>
          <w:color w:val="auto"/>
        </w:rPr>
        <w:t>(HCC) is a primary malignancy of the liver that occurs predominantly in patients with underlying chronic liver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cirrhosis. The incidence of HCC has been rising worldwide over the last 20 years, with about eight new cases per 100,000 adults per year. The highest incidence of HCC occurs in Asia and Africa, where the endemically high prevalence of hepatitis B (HBV) and hepatitis C (HCV) strongly predisposes individuals to the development of chronic liver disease and the subsequent development of HCC. Patients with HCC have, when treated with the current standard of care, an expected median OS of only 11 months with approximately 10-40% of patients surviving 3 years. Up to 25% of HCC patients have no history of cirrhosis and do not present any risk factors for chronic liver disease, such as HBV and HCV.</w:t>
      </w:r>
    </w:p>
    <w:p>
      <w:pPr>
        <w:spacing w:after="0" w:line="12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Cholangiocarcinoma </w:t>
      </w:r>
      <w:r>
        <w:rPr>
          <w:rFonts w:ascii="Arial" w:cs="Arial" w:eastAsia="Arial" w:hAnsi="Arial"/>
          <w:sz w:val="18"/>
          <w:szCs w:val="18"/>
          <w:color w:val="auto"/>
        </w:rPr>
        <w:t>is a biliary tract cancer and represents approximately 3% of all GI malignancies. Of this 3%, ICC accounts for 5% to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cases. The incidence is 2.1 per 100,000 person years. Despite surgery, the prognosis remains poor with disease recurrence and progression occurring in approximately two-thirds of patients and a 5-year survival rate of only 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HCC Current Treatment Landscape and Limitations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general, HCC patients are asymptomatic in the early stages of the disease, and as a result, the diagnosis is usually obtained in later stages of the disease when there are no curative therapies available. The implementation of surveillance, and the improvements in imaging techniques, have enabled the diagnosis at earlier stages of HCC. In terms of first line treatment approaches, patients with very early HCC are optimal candidates for surgical resection and liver transplantation but when these options are not suitable due to tumor localization or the absence of a matched liver donor, local ablation through percutaneous ethanol injection or radiofrequency are the available alternative treatments. For late-stage HCC, the transcatheter arterial chemoembolization (TACE) is the standard of care.</w:t>
      </w:r>
    </w:p>
    <w:p>
      <w:pPr>
        <w:spacing w:after="0" w:line="219" w:lineRule="exact"/>
        <w:rPr>
          <w:sz w:val="20"/>
          <w:szCs w:val="20"/>
          <w:color w:val="auto"/>
        </w:rPr>
      </w:pPr>
    </w:p>
    <w:p>
      <w:pPr>
        <w:ind w:left="660" w:right="14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Surgical Resection </w:t>
      </w:r>
      <w:r>
        <w:rPr>
          <w:rFonts w:ascii="Arial" w:cs="Arial" w:eastAsia="Arial" w:hAnsi="Arial"/>
          <w:sz w:val="18"/>
          <w:szCs w:val="18"/>
          <w:color w:val="auto"/>
        </w:rPr>
        <w:t>is the recommended first line therapy for patients with a single HCC nodule, achieving the highest effectiveness in terms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 control and overall survival. However, despite the accurate selection of patients with early tumors and the complete tumor removal, HCC patients are at high risk of tumor recurrence.</w:t>
      </w:r>
    </w:p>
    <w:p>
      <w:pPr>
        <w:spacing w:after="0" w:line="143" w:lineRule="exact"/>
        <w:rPr>
          <w:rFonts w:ascii="Arial" w:cs="Arial" w:eastAsia="Arial" w:hAnsi="Arial"/>
          <w:sz w:val="18"/>
          <w:szCs w:val="18"/>
          <w:color w:val="auto"/>
        </w:rPr>
      </w:pPr>
    </w:p>
    <w:p>
      <w:pPr>
        <w:ind w:left="660" w:right="180" w:hanging="328"/>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Percutaneous ethanol injection </w:t>
      </w:r>
      <w:r>
        <w:rPr>
          <w:rFonts w:ascii="Arial" w:cs="Arial" w:eastAsia="Arial" w:hAnsi="Arial"/>
          <w:sz w:val="18"/>
          <w:szCs w:val="18"/>
          <w:color w:val="auto"/>
        </w:rPr>
        <w:t>(PEI) is an effective technique used for early-stage HCC with a low complication rate that induces the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necrosis of small HCC lesions. However, PEI has limitations including the need for multiple treatment sessions (4-6) and a prolonged treatment time. Although generally well tolerated, PEI can result in death and rare instances of tumor seeding. PEI-treated lesions have a high rate of local recurrence (33% - 43%).</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Radiofrequency ablation </w:t>
      </w:r>
      <w:r>
        <w:rPr>
          <w:rFonts w:ascii="Arial" w:cs="Arial" w:eastAsia="Arial" w:hAnsi="Arial"/>
          <w:sz w:val="18"/>
          <w:szCs w:val="18"/>
          <w:color w:val="auto"/>
        </w:rPr>
        <w:t>(RFA) has advantages compared to PEI including ease of performance, effectiveness similar to that of surgical resection,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 safety, and low invasiveness. RFA is the first-choice post-surgery procedure for patients with early-stage HCC. However, despite the advantages of RFA, complete tumor ablation remains difficult to achieve in some specific liver sites. Many patients treated with RFA develop atrial fibrillation on long-term follow-up.</w:t>
      </w:r>
    </w:p>
    <w:p>
      <w:pPr>
        <w:spacing w:after="0" w:line="146"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Transarterial chemoembolization </w:t>
      </w:r>
      <w:r>
        <w:rPr>
          <w:rFonts w:ascii="Arial" w:cs="Arial" w:eastAsia="Arial" w:hAnsi="Arial"/>
          <w:sz w:val="18"/>
          <w:szCs w:val="18"/>
          <w:color w:val="auto"/>
        </w:rPr>
        <w:t>(TACE) is the current standard of care for patients with intermediate/late-stage HCC and who have relatively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preserved liver function. TACE combines the “tumor embolization”, meaning the treatment blocks the vascular supply to a tumor accompanied by a local administration of chemotherapy. This permits high concentration of drugs in the tumor area, while simultaneously reducing systemic exposure. However, the technique is not standardized and there is no universal consensus as to TACE application in the clinical setting thereby limiting reliable comparison of results.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1" w:name="page122"/>
    <w:bookmarkEnd w:id="121"/>
    <w:p>
      <w:pPr>
        <w:ind w:left="660" w:right="60" w:hanging="328"/>
        <w:spacing w:after="0" w:line="301"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Sorafenib </w:t>
      </w:r>
      <w:r>
        <w:rPr>
          <w:rFonts w:ascii="Arial" w:cs="Arial" w:eastAsia="Arial" w:hAnsi="Arial"/>
          <w:sz w:val="16"/>
          <w:szCs w:val="16"/>
          <w:color w:val="auto"/>
        </w:rPr>
        <w:t>has been the first line chemotherapy standard of care for patients with advanced unresectable hepatocellular carcinoma (HCC)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and has also been found to be useful in association with TACE as an effective chemotherapeutic agent to prolong survival in inoperable HCCs. However, Sorafenib is associated with adverse events (AEs) such as hand-foot skin reaction, rash, upper and lower gastrointestinal distress (i.e. diarrhea), fatigue, and hypertension. Furthermore, a proportion of treated patients show no response to the drug.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ICC Current Treatment Landscape and Limitations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Surgery (radical excision) is the only treatment available for ICC. However, the disease will recur in 40–85% of patients who have a median survival of 36 months. Neo-adjuvant approaches have largely been unsuccessful and adjuvant therapy (radiotherapy, chemoradiotherapy or chemotherapy alone) is offered to patients only as a palliative solution. Based on a single, positive Phase 3 study, chemotherapy with gemcitabine and cisplatin is considered the standard of care and plays an established role as a palliative care solution.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w:t>
      </w:r>
    </w:p>
    <w:p>
      <w:pPr>
        <w:spacing w:after="0" w:line="252"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Similar to Temferon for GBM, we believe that Temferon may overcome the current treatment limitations of HCC and ICC that are not curative/resolutive by stopping/delaying disease progression.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Temferon in HCC and ICC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described in the study published by Giovanni Sitia’s research group at OSR in collaboration with Luigi Naldini, our IFN-α gene delivery platform was tested in a mouse model of liver metastases from colorectal cancer (CRC) resulting in a substantially delayed or complete prevention of tumor growth with prolonged long-term survival. Our approach was also effective on pre-established liver metastases that more closely mimics tumor treatment in 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144780</wp:posOffset>
            </wp:positionV>
            <wp:extent cx="5349240" cy="42176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924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vivo data on Tie2-IFN gene therapy platform in a mouse model of colorectal cancer (CRC) liver metastasis (Catarinella et. al;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IFN-α gene therapy treatment impairs the metastatic growth in the liver CRC liver metastasis.</w:t>
      </w:r>
    </w:p>
    <w:p>
      <w:pPr>
        <w:spacing w:after="0" w:line="252"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i w:val="1"/>
          <w:iCs w:val="1"/>
          <w:color w:val="auto"/>
        </w:rPr>
        <w:t>CT26 and MC38 cell line panels: Percentage and tumor volume quantification measured by MRI analysis of mice injected with CT26 cells bearing at least one CRC liver metastasis estimated by MRI analysis and Kaplan–Meier survival curves of the indicated groups. The inset images show representative macroscopic photographs of the metastatic progression in the liver. Sham i.e., mice transplanted with non-transduced HSPCs and intrasplenically injected with saline thereafter.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Solid Tumor Study Design</w:t>
      </w:r>
    </w:p>
    <w:p>
      <w:pPr>
        <w:spacing w:after="0" w:line="252"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As with the TEM-GBM 001 study, we plan to propose to the Italian regulatory bodies a non-randomized, open label, single center, Phase 1/2a, therapeutic-exploratory, prospective study, involving a single injection of Temferon administration in up to 9 patients. The study will recruit and track patients at OSR.</w:t>
      </w:r>
    </w:p>
    <w:p>
      <w:pPr>
        <w:sectPr>
          <w:pgSz w:w="11900" w:h="16838" w:orient="portrait"/>
          <w:cols w:equalWidth="0" w:num="1">
            <w:col w:w="11240"/>
          </w:cols>
          <w:pgMar w:left="320" w:top="719" w:right="339" w:bottom="0" w:gutter="0" w:footer="0" w:header="0"/>
        </w:sectPr>
      </w:pPr>
    </w:p>
    <w:bookmarkStart w:id="122" w:name="page123"/>
    <w:bookmarkEnd w:id="122"/>
    <w:p>
      <w:pPr>
        <w:ind w:right="40" w:firstLine="648"/>
        <w:spacing w:after="0" w:line="263" w:lineRule="auto"/>
        <w:rPr>
          <w:sz w:val="20"/>
          <w:szCs w:val="20"/>
          <w:color w:val="auto"/>
        </w:rPr>
      </w:pPr>
      <w:r>
        <w:rPr>
          <w:rFonts w:ascii="Arial" w:cs="Arial" w:eastAsia="Arial" w:hAnsi="Arial"/>
          <w:sz w:val="18"/>
          <w:szCs w:val="18"/>
          <w:color w:val="auto"/>
        </w:rPr>
        <w:t>Patients will be administered Temferon following the same process as our TEM-GBM trial, namely: (i) HSPCs harvesting, (ii) standard of care chemotherapy concomitant to Temferon manufacturing, (iii) administration of the conditioning regimen followed by Temferon infusion, and (iv) 2-years of follow-up.</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Pipeline Pre-Clinical Programs</w:t>
      </w:r>
    </w:p>
    <w:p>
      <w:pPr>
        <w:spacing w:after="0" w:line="24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platform technology was designed to be flexible so that it can be potentially adapted to treat a variety of cancers. We believe that Temferon lends itself to be used in combination with a variety of current existing therapeutics to potentially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Treatment</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While therapies to treat several types of cancers, such as ICI, CAR-T and TCR, are rapidly transforming the practice of medical oncology, clinical data point to the risk of late relapses after treatment with these therapeutics. Thus, the data suggest that the durability of the response to these therapies remains a significant challenge. We believe that due the potentially agnostic nature of Temferon, its potential activity, which includes the abrogation of tumor induced tolerance, and its potentially synergistic mechanism of action, makes it an ideal candidate to be considered for combination treatments. Specifically, Temferon may be a good candidate to be used in combination, for very aggressive tumors,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spacing w:after="0" w:line="21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preclinical studies conducted in the laboratories of our founders, Professor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(manuscripts in preparation). These results lead us to believe that IFN gene therapy might also boost the efficacy of other immunotherapies.</w:t>
      </w:r>
    </w:p>
    <w:p>
      <w:pPr>
        <w:spacing w:after="0" w:line="21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Specifically, in a leukemia mouse model, a CD19 CAR-T approach had detectable, but not significant effect on the tumor burden. However, when used in combination with Temferon, the combination treatment resulted in a significant inhibition of the hematological malignancy with a significant fraction of CAR-T/Temferon treated mice surviving at the latest timepoint of analysis. Similarly, the combination of IFN gene therapy to α-CTLA4, an immune check point blocker, or adoptive T cell therapy, significantly improved the survival of the mice (Escobar et al., Nature Communication 2018).</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a multiple myeloma mouse model, Temferon was administered in combination with human TCR-edited T cells directed against NY-ESO1 and anti-myeloma drugs. The combination approach showed promising additive-to-synergistic effects leading to more pronounced disease control compared to most single-agent regimens, and without exacerbating hematologic or systemic toxicities (manuscript in preparation).</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Switchable Platform</w:t>
      </w:r>
    </w:p>
    <w:p>
      <w:pPr>
        <w:spacing w:after="0" w:line="2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founders are developing a second-generation platform designed to release the therapeutic payload “on demand” to allow in vivo control of its potential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 inducible version of the IFN-a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Professor Naldini with a glioblastoma mouse model showed similar anti-tumor activity of the inducible and wild-type IFN payload. Moreover, the inducible construct allows switching of IFN release upon tumor clearance (manuscript to be submitted for publication). We plan to use our second generation platform carrying an IFN-a payload in combination with CAR T cells to target glioblastoma-associated antigens or immune checkpoint blockers in an experimental tumor model in mice.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Payloads</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platform is designed to allow the control of the expression of any payload we use. Similar to IFN-a, there are several alternative payloads with immunotherapeutic properties that were previously systemically delivered to patients, but were discontinued due to significant toxicity that prevented the drug from reaching therapeutic dosages (e.g. TNF-a). Because we believe that our first- and second-generation platforms may overcome the limitations associated with systemic administration, we are testing them with additional payloads such as IFN-g, IL-12 and TNF-a. Because each payload triggers a unique biological response, we believe our platform may enable a personalized treatment approach unique amongst the current treatment paradigms.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Additional immune activating cytokines have been tested for TEM-mediated gene-based delivery to tumor models in mice. Current pre-clinical results suggest the feasibility and specificity of tumor-targeted delivery of IFN-g and TNF-a and further support our hypothesis that the specific transcriptional and microRNA regulated expression of the payload prevents toxicity. Data generated in the laboratory of our founders in a leukemia model showed that IFN-g but not TNF-a mediate anti-tumor activity when delivered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Further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 showed enhanced anti-tumor activity upon combined delivery of two cytokines by the TEM-based platform.</w:t>
      </w:r>
    </w:p>
    <w:p>
      <w:pPr>
        <w:spacing w:after="0" w:line="21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Moreover, experiments conducted with our second-generation inducible platform expressing IL-12 supported the hypothesis that our proprietary transcriptional and microRNA regulated expression of the payload to may prevent toxicity. Indeed, IL-12 is a potent cytokine that must be kept within a therapeutic dose range to prevent toxicity. Targeted delivery and anti-tumor activity of the new inducible payload are being investigated (abstracts to be presented at EACR in June 2021; at ASGCT 2021 in May 2021; and manuscript to be submitted). The laboratory of Professor Naldini plans to test the combination of TEM-mediated gene-based delivery of inducible Il-12 or additional inducible payloads with CAR-T, TCR and ICI in experimental murine tumor models.</w:t>
      </w:r>
    </w:p>
    <w:p>
      <w:pPr>
        <w:sectPr>
          <w:pgSz w:w="11900" w:h="16838" w:orient="portrait"/>
          <w:cols w:equalWidth="0" w:num="1">
            <w:col w:w="11220"/>
          </w:cols>
          <w:pgMar w:left="320" w:top="368" w:right="359" w:bottom="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manufacturing process for our autologous cell and gene therapy approach requires the following steps:</w:t>
      </w:r>
    </w:p>
    <w:p>
      <w:pPr>
        <w:spacing w:after="0" w:line="252" w:lineRule="exact"/>
        <w:rPr>
          <w:sz w:val="20"/>
          <w:szCs w:val="20"/>
          <w:color w:val="auto"/>
        </w:rPr>
      </w:pPr>
    </w:p>
    <w:p>
      <w:pPr>
        <w:ind w:left="1300" w:hanging="320"/>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HSPCs harvesting in a specialized clinical center (leukapheresis)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Shipping of apheresis bag/s to the selected contract manufacturing organization (CMO)</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CD34+ cells enrichment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 xml:space="preserve">Ex-vivo </w:t>
      </w:r>
      <w:r>
        <w:rPr>
          <w:rFonts w:ascii="Arial" w:cs="Arial" w:eastAsia="Arial" w:hAnsi="Arial"/>
          <w:sz w:val="18"/>
          <w:szCs w:val="18"/>
          <w:color w:val="auto"/>
        </w:rPr>
        <w:t>transduction of CD34+ cells with our LVV,</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Cryopreservation, characterization and release by a Qualified Person of the obtained drug product.</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LVV manufacturing needed for the </w:t>
      </w:r>
      <w:r>
        <w:rPr>
          <w:rFonts w:ascii="Arial" w:cs="Arial" w:eastAsia="Arial" w:hAnsi="Arial"/>
          <w:sz w:val="18"/>
          <w:szCs w:val="18"/>
          <w:i w:val="1"/>
          <w:iCs w:val="1"/>
          <w:color w:val="auto"/>
        </w:rPr>
        <w:t>ex-vivo</w:t>
      </w:r>
      <w:r>
        <w:rPr>
          <w:rFonts w:ascii="Arial" w:cs="Arial" w:eastAsia="Arial" w:hAnsi="Arial"/>
          <w:sz w:val="18"/>
          <w:szCs w:val="18"/>
          <w:color w:val="auto"/>
        </w:rPr>
        <w:t xml:space="preserve"> transduction process, as well as steps from 3 to 5, are conducted by the CMO. The figure below delineates the steps and the timeline for manufacturing Temferon.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117475</wp:posOffset>
            </wp:positionV>
            <wp:extent cx="5400675" cy="26060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0067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Overview of Temferon manufacturing Process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We have entered into agreements with AGC Biologics to manufacture our LVV and drug product for our ongoing clinical programs in Italy. AGC Biologics is a leading global contract development and manufacturing organization (CDMO), providing world-class development and manufacture of mammalian and microbial-based therapeutic proteins of plasmid DNA (pDNA) and recently with the acquisition of Molecular Medicine S.p.A. (“MolMed”), of viral vectors and genetically engineered cells. MolMed S.p.A. is recognized as the leading cell and gene therapy CDMO focused on research, development, production and clinical validation of cell and gene therapies for the treatment of cancer and rare diseases. Indeed, Strimvelis, the first ever market approved </w:t>
      </w:r>
      <w:r>
        <w:rPr>
          <w:rFonts w:ascii="Arial" w:cs="Arial" w:eastAsia="Arial" w:hAnsi="Arial"/>
          <w:sz w:val="16"/>
          <w:szCs w:val="16"/>
          <w:i w:val="1"/>
          <w:iCs w:val="1"/>
          <w:color w:val="auto"/>
        </w:rPr>
        <w:t>ex-vivo</w:t>
      </w:r>
      <w:r>
        <w:rPr>
          <w:rFonts w:ascii="Arial" w:cs="Arial" w:eastAsia="Arial" w:hAnsi="Arial"/>
          <w:sz w:val="16"/>
          <w:szCs w:val="16"/>
          <w:color w:val="auto"/>
        </w:rPr>
        <w:t xml:space="preserve"> gene therapy for children, was developed and is still currently manufactured by AGC Biologics (former MolMed). Accordingly, Orchard Therapeutics (NasdaqGS: ORTX) in July 2020 renewed their collaboration agreement with AGC which will continue to support activities related to the development and manufacturing of vectors and drug products for several of Orchard’s investigational </w:t>
      </w:r>
      <w:r>
        <w:rPr>
          <w:rFonts w:ascii="Arial" w:cs="Arial" w:eastAsia="Arial" w:hAnsi="Arial"/>
          <w:sz w:val="16"/>
          <w:szCs w:val="16"/>
          <w:i w:val="1"/>
          <w:iCs w:val="1"/>
          <w:color w:val="auto"/>
        </w:rPr>
        <w:t>ex-vivo</w:t>
      </w:r>
      <w:r>
        <w:rPr>
          <w:rFonts w:ascii="Arial" w:cs="Arial" w:eastAsia="Arial" w:hAnsi="Arial"/>
          <w:sz w:val="16"/>
          <w:szCs w:val="16"/>
          <w:color w:val="auto"/>
        </w:rPr>
        <w:t xml:space="preserve"> hematopoietic stem cell (HSC) gene therapies in the upcoming years, including the recent EU market authorized gene therapy drug </w:t>
      </w:r>
      <w:r>
        <w:rPr>
          <w:rFonts w:ascii="Arial" w:cs="Arial" w:eastAsia="Arial" w:hAnsi="Arial"/>
          <w:sz w:val="16"/>
          <w:szCs w:val="16"/>
          <w:i w:val="1"/>
          <w:iCs w:val="1"/>
          <w:color w:val="auto"/>
        </w:rPr>
        <w:t>Libmeldy.</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988060</wp:posOffset>
            </wp:positionH>
            <wp:positionV relativeFrom="page">
              <wp:posOffset>466090</wp:posOffset>
            </wp:positionV>
            <wp:extent cx="5572125" cy="3497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AGC Biologics Headquarters and Capabilities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agreement with AGC (MolMed) establishes agreed-upon timelines for purchase order submissions and manufacturing date changes/cancellation. The supply agreement also sets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AGC Biologics facility in Milan,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United States and abroad. However, patent protection may not afford us with complete protection against competitors who seek to circumvent our patents.</w:t>
      </w:r>
    </w:p>
    <w:p>
      <w:pPr>
        <w:spacing w:after="0" w:line="21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Temferon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Temferon is protected by the following patents families that contain both issued and/or pending patent applications.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2320"/>
              <w:spacing w:after="0"/>
              <w:rPr>
                <w:sz w:val="20"/>
                <w:szCs w:val="20"/>
                <w:color w:val="auto"/>
              </w:rPr>
            </w:pPr>
            <w:r>
              <w:rPr>
                <w:rFonts w:ascii="Arial" w:cs="Arial" w:eastAsia="Arial" w:hAnsi="Arial"/>
                <w:sz w:val="14"/>
                <w:szCs w:val="14"/>
                <w:b w:val="1"/>
                <w:bCs w:val="1"/>
                <w:color w:val="auto"/>
              </w:rPr>
              <w:t>Focus / Family</w:t>
            </w:r>
          </w:p>
        </w:tc>
        <w:tc>
          <w:tcPr>
            <w:tcW w:w="220" w:type="dxa"/>
            <w:vAlign w:val="bottom"/>
          </w:tcPr>
          <w:p>
            <w:pPr>
              <w:spacing w:after="0"/>
              <w:rPr>
                <w:sz w:val="16"/>
                <w:szCs w:val="16"/>
                <w:color w:val="auto"/>
              </w:rPr>
            </w:pPr>
          </w:p>
        </w:tc>
        <w:tc>
          <w:tcPr>
            <w:tcW w:w="1700" w:type="dxa"/>
            <w:vAlign w:val="bottom"/>
          </w:tcPr>
          <w:p>
            <w:pPr>
              <w:ind w:left="7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6"/>
                <w:szCs w:val="16"/>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E.U.</w:t>
            </w:r>
          </w:p>
        </w:tc>
        <w:tc>
          <w:tcPr>
            <w:tcW w:w="1680" w:type="dxa"/>
            <w:vAlign w:val="bottom"/>
          </w:tcPr>
          <w:p>
            <w:pPr>
              <w:ind w:left="520"/>
              <w:spacing w:after="0"/>
              <w:rPr>
                <w:sz w:val="20"/>
                <w:szCs w:val="20"/>
                <w:color w:val="auto"/>
              </w:rPr>
            </w:pPr>
            <w:r>
              <w:rPr>
                <w:rFonts w:ascii="Arial" w:cs="Arial" w:eastAsia="Arial" w:hAnsi="Arial"/>
                <w:sz w:val="14"/>
                <w:szCs w:val="14"/>
                <w:b w:val="1"/>
                <w:bCs w:val="1"/>
                <w:color w:val="auto"/>
              </w:rPr>
              <w:t>Expiration</w:t>
            </w:r>
          </w:p>
        </w:tc>
      </w:tr>
      <w:tr>
        <w:trPr>
          <w:trHeight w:val="202"/>
        </w:trPr>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Gene Vector comprising mi-RNA</w:t>
            </w: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USP 10,000,757*</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EP 2002003 B1</w:t>
            </w:r>
          </w:p>
        </w:tc>
        <w:tc>
          <w:tcPr>
            <w:tcW w:w="220" w:type="dxa"/>
            <w:vAlign w:val="bottom"/>
          </w:tcPr>
          <w:p>
            <w:pPr>
              <w:spacing w:after="0"/>
              <w:rPr>
                <w:sz w:val="17"/>
                <w:szCs w:val="17"/>
                <w:color w:val="auto"/>
              </w:rPr>
            </w:pPr>
          </w:p>
        </w:tc>
        <w:tc>
          <w:tcPr>
            <w:tcW w:w="1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5/26/2026*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9,556,438</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PCT/IB2006/002266 (WO 2007/000668).</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16/004,394</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Gene Vector comprising mi-RNA</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10,287,579</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2424571 B1</w:t>
            </w:r>
          </w:p>
        </w:tc>
        <w:tc>
          <w:tcPr>
            <w:tcW w:w="1680" w:type="dxa"/>
            <w:vAlign w:val="bottom"/>
          </w:tcPr>
          <w:p>
            <w:pPr>
              <w:spacing w:after="0"/>
              <w:rPr>
                <w:sz w:val="20"/>
                <w:szCs w:val="20"/>
                <w:color w:val="auto"/>
              </w:rPr>
            </w:pPr>
            <w:r>
              <w:rPr>
                <w:rFonts w:ascii="Arial" w:cs="Arial" w:eastAsia="Arial" w:hAnsi="Arial"/>
                <w:sz w:val="18"/>
                <w:szCs w:val="18"/>
                <w:color w:val="auto"/>
              </w:rPr>
              <w:t>4/30/2030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9,951,328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20167404.1</w:t>
            </w:r>
          </w:p>
        </w:tc>
        <w:tc>
          <w:tcPr>
            <w:tcW w:w="168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PCT/IB2010/001166 (WO / 2010/125471)</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16/384,571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Monocyte Cell (Tie-2) activation process (composition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7,833,789</w:t>
            </w:r>
          </w:p>
        </w:tc>
        <w:tc>
          <w:tcPr>
            <w:tcW w:w="190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10/5/2027</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USP 7,833,789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Methods for Genetic Modification of Stem Cells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10,617,721*</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3060670 B1</w:t>
            </w:r>
          </w:p>
        </w:tc>
        <w:tc>
          <w:tcPr>
            <w:tcW w:w="1680" w:type="dxa"/>
            <w:vAlign w:val="bottom"/>
          </w:tcPr>
          <w:p>
            <w:pPr>
              <w:spacing w:after="0"/>
              <w:rPr>
                <w:sz w:val="20"/>
                <w:szCs w:val="20"/>
                <w:color w:val="auto"/>
              </w:rPr>
            </w:pPr>
            <w:r>
              <w:rPr>
                <w:rFonts w:ascii="Arial" w:cs="Arial" w:eastAsia="Arial" w:hAnsi="Arial"/>
                <w:sz w:val="18"/>
                <w:szCs w:val="18"/>
                <w:color w:val="auto"/>
              </w:rPr>
              <w:t>10/24/2034*</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16/827,708</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19185334</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PCT/IB2014/065594 (WO 2015/059674)</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Vector Production</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USP 10,912,824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3169788</w:t>
            </w:r>
          </w:p>
        </w:tc>
        <w:tc>
          <w:tcPr>
            <w:tcW w:w="1680" w:type="dxa"/>
            <w:vAlign w:val="bottom"/>
          </w:tcPr>
          <w:p>
            <w:pPr>
              <w:spacing w:after="0"/>
              <w:rPr>
                <w:sz w:val="20"/>
                <w:szCs w:val="20"/>
                <w:color w:val="auto"/>
              </w:rPr>
            </w:pPr>
            <w:r>
              <w:rPr>
                <w:rFonts w:ascii="Arial" w:cs="Arial" w:eastAsia="Arial" w:hAnsi="Arial"/>
                <w:sz w:val="18"/>
                <w:szCs w:val="18"/>
                <w:color w:val="auto"/>
              </w:rPr>
              <w:t>7/13/2035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(composition and 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17/143,953</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PCT/IB2015/055286 (WO 2016/009326)</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Type 1 Interferon Gene Therapy</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USSN 16/604,484</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EP 18724470.2</w:t>
            </w:r>
          </w:p>
        </w:tc>
        <w:tc>
          <w:tcPr>
            <w:tcW w:w="1680" w:type="dxa"/>
            <w:vAlign w:val="bottom"/>
          </w:tcPr>
          <w:p>
            <w:pPr>
              <w:spacing w:after="0"/>
              <w:rPr>
                <w:sz w:val="20"/>
                <w:szCs w:val="20"/>
                <w:color w:val="auto"/>
              </w:rPr>
            </w:pPr>
            <w:r>
              <w:rPr>
                <w:rFonts w:ascii="Arial" w:cs="Arial" w:eastAsia="Arial" w:hAnsi="Arial"/>
                <w:sz w:val="18"/>
                <w:szCs w:val="18"/>
                <w:color w:val="auto"/>
              </w:rPr>
              <w:t>4/20/2038**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(method of treatment claims)</w:t>
            </w:r>
          </w:p>
        </w:tc>
        <w:tc>
          <w:tcPr>
            <w:tcW w:w="1920" w:type="dxa"/>
            <w:vAlign w:val="bottom"/>
            <w:gridSpan w:val="2"/>
          </w:tcPr>
          <w:p>
            <w:pPr>
              <w:ind w:left="220"/>
              <w:spacing w:after="0"/>
              <w:rPr>
                <w:sz w:val="20"/>
                <w:szCs w:val="20"/>
                <w:color w:val="auto"/>
              </w:rPr>
            </w:pPr>
            <w:r>
              <w:rPr>
                <w:rFonts w:ascii="Arial" w:cs="Arial" w:eastAsia="Arial" w:hAnsi="Arial"/>
                <w:sz w:val="18"/>
                <w:szCs w:val="18"/>
                <w:color w:val="auto"/>
              </w:rPr>
              <w:t>(pending)</w:t>
            </w:r>
          </w:p>
        </w:tc>
        <w:tc>
          <w:tcPr>
            <w:tcW w:w="2120" w:type="dxa"/>
            <w:vAlign w:val="bottom"/>
            <w:gridSpan w:val="3"/>
          </w:tcPr>
          <w:p>
            <w:pPr>
              <w:ind w:left="220"/>
              <w:spacing w:after="0"/>
              <w:rPr>
                <w:sz w:val="20"/>
                <w:szCs w:val="20"/>
                <w:color w:val="auto"/>
              </w:rPr>
            </w:pPr>
            <w:r>
              <w:rPr>
                <w:rFonts w:ascii="Arial" w:cs="Arial" w:eastAsia="Arial" w:hAnsi="Arial"/>
                <w:sz w:val="18"/>
                <w:szCs w:val="18"/>
                <w:color w:val="auto"/>
              </w:rPr>
              <w:t>(pending)</w:t>
            </w:r>
          </w:p>
        </w:tc>
        <w:tc>
          <w:tcPr>
            <w:tcW w:w="168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PCT/EP2018/060238 (WO 2018/193119)</w:t>
            </w: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29" w:lineRule="exact"/>
        <w:rPr>
          <w:sz w:val="20"/>
          <w:szCs w:val="20"/>
          <w:color w:val="auto"/>
        </w:rPr>
      </w:pPr>
    </w:p>
    <w:p>
      <w:pPr>
        <w:ind w:left="660" w:right="3500" w:hanging="4"/>
        <w:spacing w:after="0" w:line="277" w:lineRule="auto"/>
        <w:tabs>
          <w:tab w:leader="none" w:pos="7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Later expiration for certain U.S. patents pursuant to patent term adjustment (35 U.S.C. §154(b)). ** Application pending, anticipated expiration based on 20 year patent term.</w:t>
      </w:r>
    </w:p>
    <w:p>
      <w:pPr>
        <w:spacing w:after="0" w:line="19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As discussed below, we have the option to license exclusively USP 7,833,789 and issued patents and pending applications (in the PCT/IB2014/065594 and PCT/IB2015/055286 patent families we have not yet exercised the option rights), and improvements, for other indications (fields of use) and other product candidates.</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addition to patents and patent applications that we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 Licensing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Ospedale San Raffaele</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Effective December 15, 2014, we entered into a license agreement with OSR (OSR License Agreement) pursuant to which OSR granted us an exclusive, royalty-bearing, non-transferrable (except with the prior written consent of OSR) worldwide license, subject to certain retained rights, to certain patents, patent applications and existing know-how for (1) the use in the field(s) of IFN gene therapy by lentiviral based-HSPC gene transfer with respect to</w:t>
      </w:r>
    </w:p>
    <w:p>
      <w:pPr>
        <w:spacing w:after="0" w:line="2" w:lineRule="exact"/>
        <w:rPr>
          <w:sz w:val="20"/>
          <w:szCs w:val="20"/>
          <w:color w:val="auto"/>
        </w:rPr>
      </w:pPr>
    </w:p>
    <w:p>
      <w:pPr>
        <w:ind w:right="160" w:firstLine="8"/>
        <w:spacing w:after="0" w:line="252" w:lineRule="auto"/>
        <w:tabs>
          <w:tab w:leader="none" w:pos="2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Lympho-Hematopoietic Indication and/or (b) any Solid Cancer Indication that we exercise a future option (discussed below); and (2) certain products developed during the license term for use in the aforementioned field(s) consisting of any lentivirals vector regulated by miR126 and/or miR130 and/or other miRs with the same expression pattern as miR126 and miR130 in hematopoietic cells for the expression of IFN under the control of a Tie2 promoter. Lympho-Hematopoietic Indications mean any indication related to lympho-hematopoietic malignancies and Solid Cancer Indication means any solid cancer indication (e.g., without limitation, breast, pancreas, colon cancer), wherein each affected human organ being considered as a specific Solid Cancer Indication.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443" w:gutter="0" w:footer="0" w:header="0"/>
        </w:sectPr>
      </w:pPr>
    </w:p>
    <w:bookmarkStart w:id="127" w:name="page128"/>
    <w:bookmarkEnd w:id="127"/>
    <w:p>
      <w:pPr>
        <w:ind w:firstLine="648"/>
        <w:spacing w:after="0" w:line="254" w:lineRule="auto"/>
        <w:rPr>
          <w:sz w:val="20"/>
          <w:szCs w:val="20"/>
          <w:color w:val="auto"/>
        </w:rPr>
      </w:pPr>
      <w:r>
        <w:rPr>
          <w:rFonts w:ascii="Arial" w:cs="Arial" w:eastAsia="Arial" w:hAnsi="Arial"/>
          <w:sz w:val="18"/>
          <w:szCs w:val="18"/>
          <w:color w:val="auto"/>
        </w:rPr>
        <w:t>The rights retained by OSR, and extending to its affiliates, include the right to use the licensed technology for internal research within the field(s) of use,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 of use directly, or in or with the collaboration third parties; and, for any use outside the field of use, in which case the license is sublicenseable by OSR. Finally, the world-wide rights for the field of use granted to us regarding the Lentigen know-how are non-exclusive and cannot be sublicensed due to a pre-existing nonexclusive sublicense to these rights between OSR and GlaxoSmithKline Intellectual Property Development Limited.</w:t>
      </w:r>
    </w:p>
    <w:p>
      <w:pPr>
        <w:spacing w:after="0" w:line="222"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As stated, we have an exclusive option to (i) certain additional patents and patent applications, and OSR improvements at no additional cost, which could be useful for the development and/or commercialization of licensed products in the field of use; and (ii) any Solid Cancer Indication to be included as part of the field of use, on an indication-by-indication basis, subject to the payment of specified option fees and milestone payments.</w:t>
      </w:r>
    </w:p>
    <w:p>
      <w:pPr>
        <w:spacing w:after="0" w:line="17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As consideration, we paid OSR an upfront fee of €250,000, and we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EU country, BLA acceptance by the FDA, the first commercial sale of a licensed product in the United States and certain EU countries, and achievement of certain net sales levels.</w:t>
      </w:r>
    </w:p>
    <w:p>
      <w:pPr>
        <w:spacing w:after="0" w:line="19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part of the license,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are also obligated to carry out our development activities using highly skilled professionals and sufficient level of resources and, specifically, to invest (a) at least €5,425,000 with respect to the development of the licensed products, and (b) at least €2,420,000 with respect to the manufacturing of such licensed products (subject to certain adjustments).</w:t>
      </w:r>
    </w:p>
    <w:p>
      <w:pPr>
        <w:spacing w:after="0" w:line="20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OSR maintains control of the preparation, prosecution and maintenance of the patents licensed. We are obligated to pay those costs unless additional licensees benefit from these rights, in which case the cost will be shared </w:t>
      </w:r>
      <w:r>
        <w:rPr>
          <w:rFonts w:ascii="Arial" w:cs="Arial" w:eastAsia="Arial" w:hAnsi="Arial"/>
          <w:sz w:val="17"/>
          <w:szCs w:val="17"/>
          <w:i w:val="1"/>
          <w:iCs w:val="1"/>
          <w:color w:val="auto"/>
        </w:rPr>
        <w:t>pro rata</w:t>
      </w:r>
      <w:r>
        <w:rPr>
          <w:rFonts w:ascii="Arial" w:cs="Arial" w:eastAsia="Arial" w:hAnsi="Arial"/>
          <w:sz w:val="17"/>
          <w:szCs w:val="17"/>
          <w:color w:val="auto"/>
        </w:rPr>
        <w:t>. OSR controls enforcement of the patents and know-how rights, at its own expense. In the event that OSR fails to file suit to enforce such rights after notice from Genenta, we have the right to enforce the licensed technology within the field of use. Both us and OSR must consent to settlement of any such litigation, and all monies recovered will be shared equally between the parties after reimbursement for costs, or failing a bona fide agreement between us and OSR, on a 50% - 50% basis.</w:t>
      </w:r>
    </w:p>
    <w:p>
      <w:pPr>
        <w:spacing w:after="0" w:line="20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OSR License expires upon the expiry of the “Royalty Term” for all licensed products in all countries, unless terminated earlier. The Royalty Term begins on the first commercial sale of a licensed product and ends upon the later of the (a) expiration of the commercial exclusivity for such product (wherein the commercial exclusivity refers to any remaining valid licensed patent claims covering such licensed product, or any remaining regulatory data exclusivity for such licensed product), and (b) 10 years from the first commercial sale of such licensed product. 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sublicensing income or milestone payments within 30 days of due dates for each.</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addition, OSR may terminate our rights as to certain fields of use for our failure to develop (a) with respect to a solid cancer indication, upon third anniversary of the date we exercised such option, if we have not filed an IND with respect to such optioned solid cancer indication specifically, as to GBM, we are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March 2017, the OSR License Agreement was amended to provide us with additional exclusive option to expand the license to include the use of lentiviral based-HSPC gene therapy platform to use tumor necrosis factor (TNF) as an alternative payload (rather than IFN) and for the use of that product alone or in combination with other products and committed to spend €500,000 on such product should the option be exercised. We have until September 30, 2022 to exercise this option, upon the payment of specified option fees, as further amended by the third amendment to the OSR License Agreement described below.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8" w:name="page129"/>
    <w:bookmarkEnd w:id="128"/>
    <w:p>
      <w:pPr>
        <w:ind w:right="100" w:firstLine="648"/>
        <w:spacing w:after="0" w:line="279" w:lineRule="auto"/>
        <w:rPr>
          <w:sz w:val="20"/>
          <w:szCs w:val="20"/>
          <w:color w:val="auto"/>
        </w:rPr>
      </w:pPr>
      <w:r>
        <w:rPr>
          <w:rFonts w:ascii="Arial" w:cs="Arial" w:eastAsia="Arial" w:hAnsi="Arial"/>
          <w:sz w:val="17"/>
          <w:szCs w:val="17"/>
          <w:color w:val="auto"/>
        </w:rPr>
        <w:t>In February 2019, we entered into a second amendment to the OSR License Agreement, whereby we exercised an option with respect to GBM as the first solid cancer indication. We agreed to pay OSR a GBM option fee of €1.0 million upon the dosing of the tenth patient in a specified clinical trial of GBM. We also agreed to extend the period to exercise the option rights set forth by the license agreement until September 30, 2021. This date has been extended to September 30, 2022 pursuant to the fourth amendment to the to the OSR License Agreement described below.</w:t>
      </w:r>
    </w:p>
    <w:p>
      <w:pPr>
        <w:spacing w:after="0" w:line="19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December 2020, we entered into a third amendment to the OSR License Agreement, whereby the GBM option fee included in the second amendment was reduced to €500,000 pursuant to an agreement to enter into a sponsored research agreement (SRA) within forty-five (45) days (and later amended to seventy (70) days) from the effective date of the third amendment (discussed below) in relation to research programs aimed at further studies regarding Temferon, with all intellectual property generated by such SRA being owned by OSR/Telethon subject to the grant by OSR to us of exclusive option rights with respect to such intellectual property. With the third amendment we also exercised an option with respect to a second solid cancer indication, namely solid liver cancer (LC). We agreed to pay OSR an LC option fee of €500,000 upon the earlier of (i) June 30, 2021 and (ii) the enrollment of the first patient within the Phase I clinical study for an LC licensed product. Under the terms of the third amendment, if we are unable to obtain regulatory approval to initiate human clinical trial with respect to solid liver cancer within nine (9) months from the third amendment effective date, we have the right, at no additional cost, to convert the option exercise for the second solid liver cancer indication to an alternative indication. In addition, pursuant to the third amendment, the option period for us to exercise an option with respect to any other solid cancer indication is extended until the second anniversary of the third amendment effective date, or December 23, 2022. The aggregate amount paid to date under the OSR License Agreement is €0.75 million. In addition, €0.5 million is currently due under the OSR License Agreement. Future potential payments that are not yet considered probable under this agreement include €53 million relating to GBM, €47.5 million relating to LC and €0.3 million relating to the license fee option for the third indication, if exercised. In addition, the OSR agreement was amended to extend the exclusive option as to Alternative Payload/Competing Product to September 30, 2022, as noted above.</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February 2021, we entered into a Sponsored Research Agreement (“SRA”) with OSR to conduct certain research projects related to Temferon. Unless terminated earlier or extended by mutual agreement, the SRA ends upon the earlier of (a) the date of completion of all activities relating to the sponsored research and (b) December 31, 2022. The total consideration to be paid by the Company under the SRA will be €1.0 million with payments scheduled quarterly over 2021 and 2022. The aggregate amount paid in 2021 to date under the SRA is €0.25 million.</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2021, the OSR License Agreement was amended to extend the exclusive option. Specifically, if Genenta is not able to obtain approval of the Regulatory Authorities to initiate a human clinical trial in any country with respect to solid liver cancer on or before September 30, 2022, then Genenta has the right, at no additional cost, to convert the option exercise for the second Solid Cancer Indication to an indication other than solid liver cancer. We now have until September 30, 2022 to exercise this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Know-How License Agreement with Fondazione Telethon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The parties may terminate the agreement in the event the other party breaches its obligations therein, which termination shall become effective sixty (60) business days following written notice thereof to the breaching party.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Coverage, Reimbursement, Pricing</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29" w:name="page130"/>
    <w:bookmarkEnd w:id="129"/>
    <w:p>
      <w:pPr>
        <w:ind w:right="20" w:firstLine="648"/>
        <w:spacing w:after="0" w:line="308" w:lineRule="auto"/>
        <w:rPr>
          <w:sz w:val="20"/>
          <w:szCs w:val="20"/>
          <w:color w:val="auto"/>
        </w:rPr>
      </w:pPr>
      <w:r>
        <w:rPr>
          <w:rFonts w:ascii="Arial" w:cs="Arial" w:eastAsia="Arial" w:hAnsi="Arial"/>
          <w:sz w:val="17"/>
          <w:szCs w:val="17"/>
          <w:color w:val="auto"/>
        </w:rPr>
        <w:t>In the United States, all of our product candidates are regulated by the FDA as biologics. Biologics require the submission of a BLA and approval by the FDA prior to being marketed in the United States. Manufacturers of biologics may also be subject to state and local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steps required before a biologic may be marketed in the United States generally include:</w:t>
      </w:r>
    </w:p>
    <w:p>
      <w:pPr>
        <w:spacing w:after="0" w:line="252" w:lineRule="exact"/>
        <w:rPr>
          <w:sz w:val="20"/>
          <w:szCs w:val="20"/>
          <w:color w:val="auto"/>
        </w:rPr>
      </w:pPr>
    </w:p>
    <w:p>
      <w:pPr>
        <w:ind w:left="660" w:right="420" w:hanging="328"/>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0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(“IND”), which must become effective before human clinical trials may commence;</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approval of the protocol and related documentation by an independent IRB or ethics committee at each clinical trial site before each trial may be initiated;</w:t>
      </w:r>
    </w:p>
    <w:p>
      <w:pPr>
        <w:spacing w:after="0" w:line="129" w:lineRule="exact"/>
        <w:rPr>
          <w:rFonts w:ascii="Arial" w:cs="Arial" w:eastAsia="Arial" w:hAnsi="Arial"/>
          <w:sz w:val="18"/>
          <w:szCs w:val="18"/>
          <w:color w:val="auto"/>
        </w:rPr>
      </w:pPr>
    </w:p>
    <w:p>
      <w:pPr>
        <w:ind w:left="660" w:right="380" w:hanging="328"/>
        <w:spacing w:after="0" w:line="311"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08" w:lineRule="exact"/>
        <w:rPr>
          <w:rFonts w:ascii="Arial" w:cs="Arial" w:eastAsia="Arial" w:hAnsi="Arial"/>
          <w:sz w:val="16"/>
          <w:szCs w:val="16"/>
          <w:color w:val="auto"/>
        </w:rPr>
      </w:pPr>
    </w:p>
    <w:p>
      <w:pPr>
        <w:ind w:left="660" w:right="320" w:hanging="328"/>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accept and file the application;</w:t>
      </w:r>
    </w:p>
    <w:p>
      <w:pPr>
        <w:spacing w:after="0" w:line="184"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potential FDA audit of the preclinical study and clinical trial sites that generated the data in support of the BLA in accordance with any applicable expedited programs or designations;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FDA review and approval, or licensure, of the BLA to permit commercial marketing of the product for particular indications for use in the U.S.;</w:t>
      </w:r>
    </w:p>
    <w:p>
      <w:pPr>
        <w:spacing w:after="0" w:line="207"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facilities at which the biologic is produced to assess compliance with current Good Manufacturing Practices (“cGMP”) and to assure that the facilities, methods and controls are adequate;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FDA review and approval of the BLA.</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Preclinical Studies and the IND Process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spacing w:after="0" w:line="21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0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clinical trial program for a product candidate is generally divided into three phases. Although the phases are usually conducted sequentially, they may overlap or be combined. The three phases are as follows:</w:t>
      </w:r>
    </w:p>
    <w:p>
      <w:pPr>
        <w:spacing w:after="0" w:line="197" w:lineRule="exact"/>
        <w:rPr>
          <w:sz w:val="20"/>
          <w:szCs w:val="20"/>
          <w:color w:val="auto"/>
        </w:rPr>
      </w:pPr>
    </w:p>
    <w:p>
      <w:pPr>
        <w:ind w:left="660" w:hanging="328"/>
        <w:spacing w:after="0" w:line="255"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Phase 1 involves the initial introduction of a product candidate into humans. Phase 1 clinical trials are typically conducted in healthy</w:t>
      </w:r>
      <w:r>
        <w:rPr>
          <w:rFonts w:ascii="Arial" w:cs="Arial" w:eastAsia="Arial" w:hAnsi="Arial"/>
          <w:sz w:val="18"/>
          <w:szCs w:val="18"/>
          <w:i w:val="1"/>
          <w:iCs w:val="1"/>
          <w:color w:val="auto"/>
        </w:rPr>
        <w:t xml:space="preserve"> </w:t>
      </w:r>
      <w:r>
        <w:rPr>
          <w:rFonts w:ascii="Arial" w:cs="Arial" w:eastAsia="Arial" w:hAnsi="Arial"/>
          <w:sz w:val="18"/>
          <w:szCs w:val="18"/>
          <w:color w:val="auto"/>
        </w:rPr>
        <w:t>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1" w:name="page132"/>
    <w:bookmarkEnd w:id="131"/>
    <w:p>
      <w:pPr>
        <w:ind w:left="660" w:hanging="328"/>
        <w:spacing w:after="0" w:line="259"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Phase 2 includes the controlled clinical trials conducted to obtain initial evidence of effectiveness of the product candidate for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pacing w:after="0" w:line="146" w:lineRule="exact"/>
        <w:rPr>
          <w:rFonts w:ascii="Arial" w:cs="Arial" w:eastAsia="Arial" w:hAnsi="Arial"/>
          <w:sz w:val="18"/>
          <w:szCs w:val="18"/>
          <w:color w:val="auto"/>
        </w:rPr>
      </w:pPr>
    </w:p>
    <w:p>
      <w:pPr>
        <w:jc w:val="both"/>
        <w:ind w:left="660" w:right="40" w:hanging="328"/>
        <w:spacing w:after="0" w:line="296"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Phase 3 clinical trials are clinical trials conducted in an expanded patient population at geographically dispersed clinical trial sites.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18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spacing w:after="0" w:line="17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32" w:name="page133"/>
    <w:bookmarkEnd w:id="132"/>
    <w:p>
      <w:pPr>
        <w:ind w:right="20" w:firstLine="648"/>
        <w:spacing w:after="0" w:line="272" w:lineRule="auto"/>
        <w:rPr>
          <w:sz w:val="20"/>
          <w:szCs w:val="20"/>
          <w:color w:val="auto"/>
        </w:rPr>
      </w:pPr>
      <w:r>
        <w:rPr>
          <w:rFonts w:ascii="Arial" w:cs="Arial" w:eastAsia="Arial" w:hAnsi="Arial"/>
          <w:sz w:val="17"/>
          <w:szCs w:val="17"/>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204"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 xml:space="preserve">In addition, there are requirements for the registration of certain clinical trials of product candidates on public registries, such as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and the submission of certain information pertaining to these trials, including clinical trial results, after trial completion.</w:t>
      </w:r>
    </w:p>
    <w:p>
      <w:pPr>
        <w:spacing w:after="0" w:line="1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spacing w:after="0" w:line="22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20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3" w:name="page134"/>
    <w:bookmarkEnd w:id="133"/>
    <w:p>
      <w:pPr>
        <w:ind w:right="60" w:firstLine="648"/>
        <w:spacing w:after="0" w:line="268" w:lineRule="auto"/>
        <w:rPr>
          <w:sz w:val="20"/>
          <w:szCs w:val="20"/>
          <w:color w:val="auto"/>
        </w:rPr>
      </w:pPr>
      <w:r>
        <w:rPr>
          <w:rFonts w:ascii="Arial" w:cs="Arial" w:eastAsia="Arial" w:hAnsi="Arial"/>
          <w:sz w:val="17"/>
          <w:szCs w:val="17"/>
          <w:color w:val="auto"/>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spacing w:after="0" w:line="21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spacing w:after="0" w:line="21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FDA may grant orphan drug designation to biologics intended to treat a rare disease or condition that affects fewer than 200,000 individuals in the United States or a disease or condition that affects 200,000 or more individuals in the United States but there is no reasonable expectation that the cost of developing and making the biologic would be recovered from sales in the United States.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4" w:name="page135"/>
    <w:bookmarkEnd w:id="134"/>
    <w:p>
      <w:pPr>
        <w:ind w:firstLine="648"/>
        <w:spacing w:after="0" w:line="285" w:lineRule="auto"/>
        <w:rPr>
          <w:sz w:val="20"/>
          <w:szCs w:val="20"/>
          <w:color w:val="auto"/>
        </w:rPr>
      </w:pPr>
      <w:r>
        <w:rPr>
          <w:rFonts w:ascii="Arial" w:cs="Arial" w:eastAsia="Arial" w:hAnsi="Arial"/>
          <w:sz w:val="16"/>
          <w:szCs w:val="16"/>
          <w:color w:val="auto"/>
        </w:rPr>
        <w:t>In the EEA, the criteria for designating an “orphan medicinal product” are similar in principle to those in the United States.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Programs in the United States and Other Jurisdictions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the United States,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With fast track designation, the sponsor may be eligible for more frequent opportunities to obtain the FDA’s feedback. Another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spacing w:after="0" w:line="20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spacing w:after="0" w:line="16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35" w:name="page136"/>
    <w:bookmarkEnd w:id="135"/>
    <w:p>
      <w:pPr>
        <w:ind w:right="40" w:firstLine="648"/>
        <w:spacing w:after="0" w:line="296" w:lineRule="auto"/>
        <w:rPr>
          <w:sz w:val="20"/>
          <w:szCs w:val="20"/>
          <w:color w:val="auto"/>
        </w:rPr>
      </w:pPr>
      <w:r>
        <w:rPr>
          <w:rFonts w:ascii="Arial" w:cs="Arial" w:eastAsia="Arial" w:hAnsi="Arial"/>
          <w:sz w:val="16"/>
          <w:szCs w:val="16"/>
          <w:color w:val="auto"/>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spacing w:after="0" w:line="16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(“HCT/P’s”)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spacing w:after="0" w:line="1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 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case-by-case basis for individual patients, intermediate-size patient populations, and larger populations for use of the drug under a treatment protocol or Treatment IND Application.</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spacing w:after="0" w:line="19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market exclusivity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37" w:name="page138"/>
    <w:bookmarkEnd w:id="137"/>
    <w:p>
      <w:pPr>
        <w:ind w:right="100" w:firstLine="648"/>
        <w:spacing w:after="0" w:line="269"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7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2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21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25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98" w:lineRule="exact"/>
        <w:rPr>
          <w:sz w:val="20"/>
          <w:szCs w:val="20"/>
          <w:color w:val="auto"/>
        </w:rPr>
      </w:pPr>
    </w:p>
    <w:p>
      <w:pPr>
        <w:ind w:left="660" w:hanging="328"/>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4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46"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43"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139" w:name="page140"/>
    <w:bookmarkEnd w:id="139"/>
    <w:p>
      <w:pPr>
        <w:ind w:left="660" w:right="38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w:t>
      </w:r>
    </w:p>
    <w:p>
      <w:pPr>
        <w:spacing w:after="0" w:line="129" w:lineRule="exact"/>
        <w:rPr>
          <w:rFonts w:ascii="Arial" w:cs="Arial" w:eastAsia="Arial" w:hAnsi="Arial"/>
          <w:sz w:val="18"/>
          <w:szCs w:val="18"/>
          <w:color w:val="auto"/>
        </w:rPr>
      </w:pPr>
    </w:p>
    <w:p>
      <w:pPr>
        <w:ind w:left="660" w:right="280" w:hanging="328"/>
        <w:spacing w:after="0" w:line="301"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16"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9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21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20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0" w:name="page141"/>
    <w:bookmarkEnd w:id="140"/>
    <w:p>
      <w:pPr>
        <w:ind w:right="140" w:firstLine="648"/>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21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In March 2010, the United States Congress enacted the PPACA, which, among other things, included changes to the coverage and payment for drug products under government health care programs. The PPACA effected the following changes of importance to our potential product candidates:</w:t>
      </w:r>
    </w:p>
    <w:p>
      <w:pPr>
        <w:spacing w:after="0" w:line="151" w:lineRule="exact"/>
        <w:rPr>
          <w:sz w:val="20"/>
          <w:szCs w:val="20"/>
          <w:color w:val="auto"/>
        </w:rPr>
      </w:pPr>
    </w:p>
    <w:p>
      <w:pPr>
        <w:ind w:left="660" w:right="42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29"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5" w:lineRule="exact"/>
        <w:rPr>
          <w:rFonts w:ascii="Arial" w:cs="Arial" w:eastAsia="Arial" w:hAnsi="Arial"/>
          <w:sz w:val="17"/>
          <w:szCs w:val="17"/>
          <w:color w:val="auto"/>
        </w:rPr>
      </w:pPr>
    </w:p>
    <w:p>
      <w:pPr>
        <w:jc w:val="both"/>
        <w:ind w:left="660" w:right="560" w:hanging="328"/>
        <w:spacing w:after="0" w:line="263"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84"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4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1" w:name="page142"/>
    <w:bookmarkEnd w:id="141"/>
    <w:p>
      <w:pPr>
        <w:ind w:right="60" w:firstLine="648"/>
        <w:spacing w:after="0" w:line="287" w:lineRule="auto"/>
        <w:rPr>
          <w:sz w:val="20"/>
          <w:szCs w:val="20"/>
          <w:color w:val="auto"/>
        </w:rPr>
      </w:pPr>
      <w:r>
        <w:rPr>
          <w:rFonts w:ascii="Arial" w:cs="Arial" w:eastAsia="Arial" w:hAnsi="Arial"/>
          <w:sz w:val="16"/>
          <w:szCs w:val="16"/>
          <w:color w:val="auto"/>
        </w:rPr>
        <w:t>The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presidential administration announced that it will discontinue the payment of cost-sharing reduction, or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spacing w:after="0" w:line="19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spacing w:after="0" w:line="20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Europe</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order to market any medicinal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United States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 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which is currently expected to occur in December 2021.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Clinical Trial Regulations in Italy</w:t>
      </w:r>
    </w:p>
    <w:p>
      <w:pPr>
        <w:spacing w:after="0" w:line="25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spacing w:after="0" w:line="21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currently conducting or planning Phase I/II clinical trials on Temferon in Italy, in accordance with the specific regulations applicable to such early-phase trials. As discussed elsewhere in this prospectus, we are currently conducting our TEM-GBM 001 study on UMGMT-GBM patients and plan to start new ones on hepatic tumor (HCC and IHC) in the near future by means of appropriate application to the Italian Regulatory Authority (“AIFA”).</w:t>
      </w:r>
    </w:p>
    <w:p>
      <w:pPr>
        <w:spacing w:after="0" w:line="21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spacing w:after="0" w:line="19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Arial" w:cs="Arial" w:eastAsia="Arial" w:hAnsi="Arial"/>
          <w:sz w:val="17"/>
          <w:szCs w:val="17"/>
          <w:i w:val="1"/>
          <w:iCs w:val="1"/>
          <w:color w:val="auto"/>
        </w:rPr>
        <w:t>Parere Unico</w:t>
      </w:r>
      <w:r>
        <w:rPr>
          <w:rFonts w:ascii="Arial" w:cs="Arial" w:eastAsia="Arial" w:hAnsi="Arial"/>
          <w:sz w:val="17"/>
          <w:szCs w:val="17"/>
          <w:color w:val="auto"/>
        </w:rPr>
        <w:t>, lit. “sole opinion” (“PU”) - and then the IECs of the other participating centers accept or refuse the PU in its entirety (they may seek amendment to the ICF on the basis of local operating circumstances).</w:t>
      </w:r>
    </w:p>
    <w:p>
      <w:pPr>
        <w:spacing w:after="0" w:line="20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Arial" w:cs="Arial" w:eastAsia="Arial" w:hAnsi="Arial"/>
          <w:sz w:val="16"/>
          <w:szCs w:val="16"/>
          <w:i w:val="1"/>
          <w:iCs w:val="1"/>
          <w:color w:val="auto"/>
        </w:rPr>
        <w:t>con riserva</w:t>
      </w:r>
      <w:r>
        <w:rPr>
          <w:rFonts w:ascii="Arial" w:cs="Arial" w:eastAsia="Arial" w:hAnsi="Arial"/>
          <w:sz w:val="16"/>
          <w:szCs w:val="16"/>
          <w:color w:val="auto"/>
        </w:rPr>
        <w:t>”) and can be loaded in advance accordingly, under the assumption that the documents subjected to evaluation - protocol (updated) version, ICF and the rest – coincide exactly.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 Application for Biologic Medicinal Products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To obtain regulatory approval to commercialize a new drug in the EEA (comprising the E.U. Member States plus Iceland, Liechtenstein and Norway, we must submit a marketing authorization application.</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3" w:name="page144"/>
    <w:bookmarkEnd w:id="143"/>
    <w:p>
      <w:pPr>
        <w:ind w:firstLine="648"/>
        <w:spacing w:after="0" w:line="269" w:lineRule="auto"/>
        <w:rPr>
          <w:sz w:val="20"/>
          <w:szCs w:val="20"/>
          <w:color w:val="auto"/>
        </w:rPr>
      </w:pPr>
      <w:r>
        <w:rPr>
          <w:rFonts w:ascii="Arial" w:cs="Arial" w:eastAsia="Arial" w:hAnsi="Arial"/>
          <w:sz w:val="17"/>
          <w:szCs w:val="17"/>
          <w:color w:val="auto"/>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spacing w:after="0" w:line="1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16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Promotion and Compliance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spacing w:after="0" w:line="16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Protection in the EEA</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spacing w:after="0" w:line="146" w:lineRule="exact"/>
        <w:rPr>
          <w:sz w:val="20"/>
          <w:szCs w:val="20"/>
          <w:color w:val="auto"/>
        </w:rPr>
      </w:pPr>
    </w:p>
    <w:p>
      <w:pPr>
        <w:ind w:left="660" w:right="46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APIs, including the manufacture of API outside of the EU with the intention to import the API into the EU.</w:t>
      </w:r>
    </w:p>
    <w:p>
      <w:pPr>
        <w:spacing w:after="0" w:line="147"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June 23, 2016, the electorate in the United Kingdom voted in favor of Brexit. Thereafter, on March 29, 2017, the country formally notified the EU of its intention to withdraw pursuant to Article 50 of the Lisbon Treaty. The withdrawal of the United Kingdom from the EU took effect on January 31, 2020, however, there was a transition period until December 31, 2020 during which EU laws, including in respect of medicinal products, continued to be applicable in the United Kingdom.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drug products and the approval of product candidates in the United Kingdom, now that the United Kingdom legislation has the potential to diverge from EU legislation. It remains to be seen how Brexit will impact regulatory requirements for product candidates and approved drug products in the United Kingdom in the long term. The MHRA, the United Kingdom’s medicines and medical devices regulator, has recently published detailed guidance for industry and organizations to follow from January 1, 2021 now the transition period is over, which will be updated as the United Kingdom’s regulatory position on medicinal products evolves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252"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collection, use, disclosure, transfer or other processing of personal data of individuals in the EU, including personal health data, is governed by the GDPR, which became effective on May 25, 2018. After effectiveness of GDPR, the European data protection law background has been constantly implemented through the activity of the European Data Protection Board (EDPB) concerning the correct interpretation and application of GDPR, as well as through the ruling of the Court of Justice of the European Union (CJEU). The GDPR and EU Member States national data protection legislation, including Italy, are wide-ranging in scope and impose numerous requirements on companies that process personal data, including requirements relating to processing health and other sensitive data, obtaining consent of the individuals to whom the personal data relates, providing notice to individuals regarding data processing activities, implementing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United States and now – after Brexit – the United Kingdom, and permits data protection authorities to impose large penalties for violations of the GDPR, including potential fines of up to €20 million or 4% of annual global revenues, whichever is greater. Concerning the transfer of (pseudonymized) personal data to the United States, the recent CJEU case C-3111/18, also known as Schremes II, invalidated the European Commission’s adequacy decision for the EU-U.S. Privacy Shield Framework, on which the majority of U.S. companies relied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Regarding the transfer of personal data to United Kingdom, the EU / UK agreement regulating the transition period after Brexit (“Statement on the end of the Brexit transition period”) provides that, until June 2021, “all data flows of personal data between stakeholders subject to GDPR and UK organizations will not be considered as transfers to a third country”, thus implying the adoption of appropriate legal basis and safeguards provided for in the GDPR for any communication of personal data to a third party, such as Data Processing Agreement containing Standard Contractual Clauses.</w:t>
      </w:r>
    </w:p>
    <w:p>
      <w:pPr>
        <w:spacing w:after="0" w:line="16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GDPR also confers a private right of action on data subjects and consumer associations to lodge complaints with supervisory authorities, seek judicial remedies and obtain compensation for damages.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Compliance with the GDPR and all relevant EU data protection rules will be a rigorous and time-intensive process that may increase our cost of doing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Drug Products</w:t>
      </w:r>
    </w:p>
    <w:p>
      <w:pPr>
        <w:spacing w:after="0" w:line="25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consultants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September 15, 2021, we had four full-time employees, all located in Milan, Italy and we rely on consultants and a large number of collaborators at SR-TIGET and OSR. Our full-time employees and consultants are engaged in clinical, research and development, product development and quality assurance activities. We consider our relationship with our employees to be good.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091"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Property and Facilities</w:t>
      </w:r>
    </w:p>
    <w:p>
      <w:pPr>
        <w:spacing w:after="0" w:line="256"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Our corporate headquarters is located in Milan, Via Olgettina 58 within San Raffaele Hospital, Italy, where we lease approximately 51 square meters of office space (3 offices). The lease commenced in January 2020 and has a 6-year initial term. It will expire on December 1, 2025 and may be</w:t>
      </w:r>
    </w:p>
    <w:p>
      <w:pPr>
        <w:ind w:right="140"/>
        <w:spacing w:after="0" w:line="221" w:lineRule="auto"/>
        <w:rPr>
          <w:sz w:val="20"/>
          <w:szCs w:val="20"/>
          <w:color w:val="auto"/>
        </w:rPr>
      </w:pPr>
      <w:r>
        <w:rPr>
          <w:rFonts w:ascii="Arial" w:cs="Arial" w:eastAsia="Arial" w:hAnsi="Arial"/>
          <w:sz w:val="18"/>
          <w:szCs w:val="18"/>
          <w:color w:val="auto"/>
        </w:rPr>
        <w:t>renewed for additional 6 years. We also have an office in a co-working space located in Alexandria Center - LaunchLabs, 430 East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New York, NY. We believe that our existing facilities are adequate for our near-term needs, and we believe that suitable additional or alternative office will be available as required in the future on commercially reasonable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 other than as set forth below:</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By letter dated February 25, 2019, Theravectys notified the Company of the possible infringement by Genenta of Theravectys’ exclusive license to patents no. EP 1071804 (and of the corresponding US patent US 6,682,907), EP 1224314, and EP 1222300 (and of the corresponding US patent US 7,968,332) granted from the owner of the patents Institut Pasteur. Theravectys requested Genenta engage in discussions as to possible contractual arrangements including the opportunity to either enter into (i) a manufacturing and supply agreement; or (ii) a non-exclusive license for Genenta’s use of the technologies allegedly protected under the patent(s). Each of these patents is now expired, having each reached the end of it its patent term on April 23, 2019 for EP1071804 and October 10, 2020 for EP 1224314, and EP 1222300.</w:t>
      </w:r>
    </w:p>
    <w:p>
      <w:pPr>
        <w:spacing w:after="0" w:line="2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 date, Genenta has not engaged in any such discussions with Theravectys nor has Genenta received any further claim/request from Theravectys in relation to the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following table sets forth the name, age as of the date of this prospectus, and position of the individuals who will serve as directors and executive officers of Genenta Science S.p.A. following the Corporate Conversion in May 2021 and the closing of this offering.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360" w:type="dxa"/>
            <w:vAlign w:val="bottom"/>
            <w:gridSpan w:val="2"/>
          </w:tcPr>
          <w:p>
            <w:pPr>
              <w:ind w:left="182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532"/>
              <w:spacing w:after="0"/>
              <w:rPr>
                <w:sz w:val="20"/>
                <w:szCs w:val="20"/>
                <w:color w:val="auto"/>
              </w:rPr>
            </w:pPr>
            <w:r>
              <w:rPr>
                <w:rFonts w:ascii="Arial" w:cs="Arial" w:eastAsia="Arial" w:hAnsi="Arial"/>
                <w:sz w:val="14"/>
                <w:szCs w:val="14"/>
                <w:b w:val="1"/>
                <w:bCs w:val="1"/>
                <w:color w:val="auto"/>
              </w:rPr>
              <w:t>Year elected or appointed</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Squinto, Ph.D.</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7"/>
                <w:szCs w:val="17"/>
                <w:color w:val="auto"/>
              </w:rPr>
            </w:pPr>
          </w:p>
        </w:tc>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Directors(1)(2)</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2"/>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9"/>
              </w:rPr>
              <w:t>Chief Executive Officer, Vice Chairman of the Board of</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2014</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Directors and General Manager *</w:t>
            </w:r>
          </w:p>
        </w:tc>
        <w:tc>
          <w:tcPr>
            <w:tcW w:w="280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Richard B. Slansky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Carlo Russo, M.D.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Chief Medical Officer, Head of Development</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Roger Abravanel</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Daniela Bellomo,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2019</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Guido Guidi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Director(1)(2)</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2017</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Luca Guidotti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2018</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Director(1)</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2021</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Stefania Mazzoleni, Ph.D.</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98"/>
              </w:rPr>
              <w:t>Scientific Project Manager and Communications Officer</w:t>
            </w:r>
          </w:p>
        </w:tc>
        <w:tc>
          <w:tcPr>
            <w:tcW w:w="2800" w:type="dxa"/>
            <w:vAlign w:val="bottom"/>
          </w:tcPr>
          <w:p>
            <w:pPr>
              <w:jc w:val="right"/>
              <w:ind w:right="2352"/>
              <w:spacing w:after="0"/>
              <w:rPr>
                <w:sz w:val="20"/>
                <w:szCs w:val="20"/>
                <w:color w:val="auto"/>
              </w:rPr>
            </w:pPr>
            <w:r>
              <w:rPr>
                <w:rFonts w:ascii="Arial" w:cs="Arial" w:eastAsia="Arial" w:hAnsi="Arial"/>
                <w:sz w:val="18"/>
                <w:szCs w:val="18"/>
                <w:color w:val="auto"/>
                <w:w w:val="84"/>
              </w:rPr>
              <w:t>2016</w:t>
            </w: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Role of General Manager effective upon listing</w:t>
      </w:r>
    </w:p>
    <w:p>
      <w:pPr>
        <w:spacing w:after="0" w:line="252"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Independent Director (as defined under Nasdaq Stock Market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Member of the Compensation, Nomination and Governance Committee</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directors above were elected at the Company’s general shareholders’ meeting held on May 20, 2021, for a three-year term. The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consists of 7 (seven) members.</w:t>
      </w:r>
    </w:p>
    <w:p>
      <w:pPr>
        <w:spacing w:after="0" w:line="2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term will expire with the Shareholders’ Meeting called to approve the financial statements for the year ending December 31, 2023.</w:t>
      </w:r>
    </w:p>
    <w:p>
      <w:pPr>
        <w:spacing w:after="0" w:line="19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Following the expiration of the above board of directors,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directors are to be elected, such eligibility to be established by filing an appropriate certification to that effect. The board of directors will be appointed as follows: (a) candidates for election as directors equal to the number of seats on the board of directors minus 1 (one) will be drawn from the slate that has obtained the highest number of votes cast on the shareholders’ meeting (the Majority Slate), based on the progressive order in which they are listed on the slate, while (b) the first candidate listed on the slate that receives the second greatest number of votes cast (the Minority Slate) will be elected as director so long as the Minority Slate has no connection in any way, whether directly or indirectly, with the shareholders who have submitted or voted the Majority Slate.</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Each shareholder and shareholders belonging to the same group shall not submit, or contribute to submit, or cast their vote for more than one slate, including through a nominee. Each candidate may only be listed on a single slate or, otherwise, will be ineligible for election if named on multiple slates.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48" w:name="page149"/>
    <w:bookmarkEnd w:id="148"/>
    <w:p>
      <w:pPr>
        <w:ind w:right="34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Pierluigi Paracchi, Chief Executive Officer, Vice Chairman of the Board of Directors and General Manager</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Pierluigi Paracchi is a member of the Assobiotec Steering Committee, the Italian Association for the development of biotechnology. He also serves on the Board of Directors of the autoimmune disease and cancer company Altheia Science, as non-executive Chairman at medical device company Lipogems International and is a venture partner with AurorA Science, an independent biotech investment vehicle.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Richard B. Slansky, Chief Financial Officer</w:t>
      </w:r>
    </w:p>
    <w:p>
      <w:pPr>
        <w:spacing w:after="0" w:line="25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Mr. Slansky is a senior financial executive with more than 30 years of experience as Chief Financial Officer in various biopharmaceutical, diagnostic and life science companies, including OncoSec Medical, Biological Dynamics and GenMark Diagnostics. His experience spans across public and private healthcare and technology companies at various stages of growth, pre-revenue to commercial. He has been responsible for strategic vision and oversight of financial and operational teams, organizational leadership and creating maximum stakeholder value. He also serves on the Board of Directors of several private companies, including Nuclear RNA Networks, an early-stage RNA gene transcription therapeutics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 Russo, M.D., Chief Medical Officer &amp; Head of Development</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Dr. Russo has extensive experience as a biotech executive focused on medical affairs and research and development.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a number of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Stefania Mazzoleni, Ph.D., Scientific Project Manager and Communications Officer</w:t>
      </w:r>
    </w:p>
    <w:p>
      <w:pPr>
        <w:spacing w:after="0" w:line="252"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4 years of drug development and cell and gene therapy experience acquired while working at various academic institutions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in Pharmacy and Pharmaceutical Oncology and is a member of the European Academy of Tumor Immunology.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Squinto, Ph.D., Chairman of the Board of Directors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Dr. Squinto has more than 25 years’ experience in the biotech industry and is an Executive Partner of the healthcare investment company OrbiMed Advisors. He was previously CEO of the gene therapy company, Passage Bio, and co-founded Alexion Pharmaceuticals, where he served as Chief Global Operations Officer and Global Head of Research, and held several senior leadership positions at Regeneron Pharmaceuticals. Dr Squinto currently serves on the Board of Directors of several biotech and healthcare companies and has received numerous honors and awards from academic and professional organizations for his scientific 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Abravanel, Director</w:t>
      </w:r>
    </w:p>
    <w:p>
      <w:pPr>
        <w:spacing w:after="0" w:line="25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Mr. Abravanel worked at McKinsey &amp; Company for 34 years as a consultant for Italian and multinational corporations in Europe, the United States and the Far East, and is now an emeritus director. He is a former board member of Luxottica, COFIDE, Teva and Admiral, is currently Chairman of the INSEAD’s advisory group in Italy and is the author of several best-selling business books.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Daniela Bellomo, Ph.D., Director</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Dr. Bellomo is Head of Business Development at San Raffaele Hospital, where she oversees technology transfer, development and value generation of research in biotech, medical technology and digital health. Dr. Bellomo is a board member of San Raffaele’s spin off Genespire and has previously been on the boards of Parco Tecnologico Padano and BiovelocITA, as well as an advisor to several life science start-ups, venture capital and incubators in the biotech and medical technology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Guido Guidi, Director</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Mr. Guidi has 35 years of experience in top global roles in large pharmaceuticals companies, managing up to 7,000 employees and a turnover of more than €7 billion. He was previously Head of Pharma EU at Novartis, Head of Oncology at Novartis EU, overseeing major products including Cosentyx, Entresto, Lucentis, Gilenya, Xolair, Ultibro, Seebri, Galvus and Exforge.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Luca Guidotti, MD, PhD., Director</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Dr. Guidotti is an experimental pathologist renowned internationally in the field of viral hepatitis. Dr. Guidotti spent more than 20 years as a Faculty of the Scripps Research Institute in La Jolla, California and he currently serves as Deputy Scientific Director of San Raffaele Hospital, Milan. He has published works in prestigious scientific journals including Cell, Nature, Science, Nature Medicine, Journal of Clinical Investigation and Journal of Experimental Medicine.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Anthony Marucci, Director</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Mr. Marucci is a seasoned life sciences and public company leader who has raised $1.7 billion in capital in multiple organizations over his 30 years’ experience. He is currently President and CEO of Celldex Therapeutics, the company he co-founded in 2004 and which develops targeted therapeutics, including immunotherapies and other targeted biologics. Prior to founding Celldex, he was Treasurer at Medarex, from which Celldex was spun out, and he holds an MBA from Columbia University and a MHL from Brown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Scientific Board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Luigi Naldini, M.D., Ph.D., Chairman of the Executive Scientific Board</w:t>
      </w:r>
    </w:p>
    <w:p>
      <w:pPr>
        <w:spacing w:after="0" w:line="252"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Professor Naldini is a deeply experienced scientist and academic, considered by many to be the father of lentiviral gene therapy. Dr.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Dr. Naldini is also a scientific advisor on EMEA and WHO committees for the evaluation of novel gene transfer medicines and has authored more than 250 scientific publications.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Bernhard Gentner, M.D., Member of the Executive Scientific Board</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Dr. Gentner is a physician scientist, serving as Group Leader of the Translational Stem Cell and Leukemia Research Unit at the San Raffaele-Telethon Institute for Gene Therapy in Milan and Staff Hematologist in the Hematology and Bone Marrow Transplantation Unit of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Advisors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Advisors to the Company include:</w:t>
      </w:r>
    </w:p>
    <w:p>
      <w:pPr>
        <w:spacing w:after="0" w:line="225" w:lineRule="exact"/>
        <w:rPr>
          <w:sz w:val="20"/>
          <w:szCs w:val="20"/>
          <w:color w:val="auto"/>
        </w:rPr>
      </w:pPr>
    </w:p>
    <w:p>
      <w:pPr>
        <w:jc w:val="both"/>
        <w:ind w:left="1300" w:right="260" w:hanging="644"/>
        <w:spacing w:after="0" w:line="287" w:lineRule="auto"/>
        <w:tabs>
          <w:tab w:leader="none" w:pos="13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Gaurav Shah, M.D.: co-founder of Rocket Pharma (NASDAQ: RCKT) and serves as its Chief Executive Officer and Corporate Board Member. Prior to this role Dr. Shah was a Global Program Head in the Cell &amp; Gene Therapies Unit at Novartis, where he had strategic oversight of 12 functions and helped spearhead pivotal trials with CART-19 for patients with leukemia and lymphoma.</w:t>
      </w:r>
    </w:p>
    <w:p>
      <w:pPr>
        <w:spacing w:after="0" w:line="2" w:lineRule="exact"/>
        <w:rPr>
          <w:rFonts w:ascii="Arial" w:cs="Arial" w:eastAsia="Arial" w:hAnsi="Arial"/>
          <w:sz w:val="16"/>
          <w:szCs w:val="16"/>
          <w:color w:val="auto"/>
        </w:rPr>
      </w:pPr>
    </w:p>
    <w:p>
      <w:pPr>
        <w:ind w:left="1300" w:right="20" w:hanging="644"/>
        <w:spacing w:after="0" w:line="250"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Brad Loncar: Founder and Chief Executive Officer at Loncar Investments. Mr. Loncar is a biotech investor, index provider, and creator of two Nasdaq-listed exchange traded funds.</w:t>
      </w:r>
    </w:p>
    <w:p>
      <w:pPr>
        <w:ind w:left="1300" w:right="120" w:hanging="644"/>
        <w:spacing w:after="0" w:line="255"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Alexander Ross: Distinguished Visiting Professor at The University of Bologna Business School and a Board Partner at Amplo, a global venture capital firm. He is the author of New York Times–bestselling </w:t>
      </w:r>
      <w:r>
        <w:rPr>
          <w:rFonts w:ascii="Arial" w:cs="Arial" w:eastAsia="Arial" w:hAnsi="Arial"/>
          <w:sz w:val="18"/>
          <w:szCs w:val="18"/>
          <w:i w:val="1"/>
          <w:iCs w:val="1"/>
          <w:color w:val="auto"/>
        </w:rPr>
        <w:t>The Industries of the Future</w:t>
      </w:r>
      <w:r>
        <w:rPr>
          <w:rFonts w:ascii="Arial" w:cs="Arial" w:eastAsia="Arial" w:hAnsi="Arial"/>
          <w:sz w:val="18"/>
          <w:szCs w:val="18"/>
          <w:color w:val="auto"/>
        </w:rPr>
        <w:t xml:space="preserve"> and Former Senior Advisor for Innovation to the US Secretary of State (2009-2013).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Concerning Election of Directors and Members of Management</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are no arrangements or understandings with major shareholders, customers, suppliers or others pursuant to which any of our directors or members of senior management were selected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following table presents in the aggregate all compensation we paid to all of our directors and senior management as a group for the year ended December 31, 2020.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amounts reported in the table below reflect the cost to the Company, in thousands of Euros, for the year ended December 31, 2020.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9"/>
              </w:rPr>
              <w:t>Pension,</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8"/>
              </w:rPr>
              <w:t>Salary, Bonuses</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2"/>
              </w:rPr>
              <w:t>Retirement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6"/>
              </w:rPr>
              <w:t>and Other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and Related</w:t>
            </w:r>
          </w:p>
        </w:tc>
        <w:tc>
          <w:tcPr>
            <w:tcW w:w="13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4"/>
              </w:rPr>
              <w:t>Similar</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Based</w:t>
            </w: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Benefits</w:t>
            </w:r>
          </w:p>
        </w:tc>
        <w:tc>
          <w:tcPr>
            <w:tcW w:w="1320" w:type="dxa"/>
            <w:vAlign w:val="bottom"/>
          </w:tcPr>
          <w:p>
            <w:pPr>
              <w:jc w:val="center"/>
              <w:ind w:left="165"/>
              <w:spacing w:after="0"/>
              <w:rPr>
                <w:sz w:val="20"/>
                <w:szCs w:val="20"/>
                <w:color w:val="auto"/>
              </w:rPr>
            </w:pPr>
            <w:r>
              <w:rPr>
                <w:rFonts w:ascii="Arial" w:cs="Arial" w:eastAsia="Arial" w:hAnsi="Arial"/>
                <w:sz w:val="14"/>
                <w:szCs w:val="14"/>
                <w:b w:val="1"/>
                <w:bCs w:val="1"/>
                <w:color w:val="auto"/>
                <w:w w:val="86"/>
              </w:rPr>
              <w:t>Benefits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1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All directors and senior management as a group, consisting of 9 persons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617,904</w:t>
            </w:r>
          </w:p>
        </w:tc>
        <w:tc>
          <w:tcPr>
            <w:tcW w:w="3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140</w:t>
            </w:r>
          </w:p>
        </w:tc>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Differences between Italian Laws and Nasdaq Requirements</w:t>
      </w:r>
    </w:p>
    <w:p>
      <w:pPr>
        <w:spacing w:after="0" w:line="252"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following the listing of the ADSs on Nasdaq, we will be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spacing w:after="0" w:line="211" w:lineRule="exact"/>
        <w:rPr>
          <w:sz w:val="20"/>
          <w:szCs w:val="20"/>
          <w:color w:val="auto"/>
        </w:rPr>
      </w:pPr>
    </w:p>
    <w:p>
      <w:pPr>
        <w:ind w:left="660" w:right="60" w:hanging="328"/>
        <w:spacing w:after="0" w:line="291"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Composition of the board of directors</w:t>
      </w:r>
      <w:r>
        <w:rPr>
          <w:rFonts w:ascii="Arial" w:cs="Arial" w:eastAsia="Arial" w:hAnsi="Arial"/>
          <w:sz w:val="16"/>
          <w:szCs w:val="16"/>
          <w:color w:val="auto"/>
        </w:rPr>
        <w:t>. Italian law does not require that the majority of our board of directors consist of independent directors.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therefore may include fewer independent directors than would be required if we were subject to Nasdaq Listing Rule 5605(b)</w:t>
      </w:r>
    </w:p>
    <w:p>
      <w:pPr>
        <w:ind w:left="660" w:right="760"/>
        <w:spacing w:after="0" w:line="260" w:lineRule="auto"/>
        <w:rPr>
          <w:rFonts w:ascii="Arial" w:cs="Arial" w:eastAsia="Arial" w:hAnsi="Arial"/>
          <w:sz w:val="16"/>
          <w:szCs w:val="16"/>
          <w:color w:val="auto"/>
        </w:rPr>
      </w:pPr>
      <w:r>
        <w:rPr>
          <w:rFonts w:ascii="Arial" w:cs="Arial" w:eastAsia="Arial" w:hAnsi="Arial"/>
          <w:sz w:val="18"/>
          <w:szCs w:val="18"/>
          <w:color w:val="auto"/>
        </w:rPr>
        <w:t>(1). In addition, we will not be subject to Nasdaq Listing Rule 5605(b)(2), which requires that independent directors must regularly have scheduled meetings at which only independent directors are present.</w:t>
      </w:r>
    </w:p>
    <w:p>
      <w:pPr>
        <w:spacing w:after="0" w:line="144" w:lineRule="exact"/>
        <w:rPr>
          <w:rFonts w:ascii="Arial" w:cs="Arial" w:eastAsia="Arial" w:hAnsi="Arial"/>
          <w:sz w:val="16"/>
          <w:szCs w:val="16"/>
          <w:color w:val="auto"/>
        </w:rPr>
      </w:pPr>
    </w:p>
    <w:p>
      <w:pPr>
        <w:jc w:val="both"/>
        <w:ind w:left="660" w:right="160" w:hanging="328"/>
        <w:spacing w:after="0" w:line="301"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Quorum. In accordance with Italian law quorum requirements generally applicable to general meetings of shareholders are set forth in the Italian Civil Code (see “Description of Share Capital and Governing Documents”—“Meeting of shareholders”)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p>
      <w:pPr>
        <w:spacing w:after="0" w:line="157"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p>
      <w:pPr>
        <w:spacing w:after="0" w:line="192" w:lineRule="exact"/>
        <w:rPr>
          <w:rFonts w:ascii="Arial" w:cs="Arial" w:eastAsia="Arial" w:hAnsi="Arial"/>
          <w:sz w:val="16"/>
          <w:szCs w:val="16"/>
          <w:color w:val="auto"/>
        </w:rPr>
      </w:pPr>
    </w:p>
    <w:p>
      <w:pPr>
        <w:ind w:left="660" w:right="120" w:hanging="328"/>
        <w:spacing w:after="0" w:line="279"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Proxy Solicitations</w:t>
      </w:r>
      <w:r>
        <w:rPr>
          <w:rFonts w:ascii="Arial" w:cs="Arial" w:eastAsia="Arial" w:hAnsi="Arial"/>
          <w:sz w:val="17"/>
          <w:szCs w:val="17"/>
          <w:color w:val="auto"/>
        </w:rPr>
        <w:t>. Under Italian law shareholders may appoint attorneys-in-fact by delivering in writing appropriate power of attorney to</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them in an ordinary or extraordinary shareholders’ meeting of the Company. Our directors, auditors and employees may not be proxies. Italian law does not have a specific regulatory regime for the solicitation of proxies in private companies; thus our practice will vary from the requirement of Nasdaq Listing Rule 5620(b), which sets forth certain requirements regarding the solicitation of proxies.</w:t>
      </w:r>
    </w:p>
    <w:p>
      <w:pPr>
        <w:spacing w:after="0" w:line="130" w:lineRule="exact"/>
        <w:rPr>
          <w:rFonts w:ascii="Arial" w:cs="Arial" w:eastAsia="Arial" w:hAnsi="Arial"/>
          <w:sz w:val="17"/>
          <w:szCs w:val="17"/>
          <w:color w:val="auto"/>
        </w:rPr>
      </w:pPr>
    </w:p>
    <w:p>
      <w:pPr>
        <w:ind w:left="660" w:right="20" w:hanging="328"/>
        <w:spacing w:after="0" w:line="275" w:lineRule="auto"/>
        <w:tabs>
          <w:tab w:leader="none" w:pos="66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Share Issuances</w:t>
      </w:r>
      <w:r>
        <w:rPr>
          <w:rFonts w:ascii="Arial" w:cs="Arial" w:eastAsia="Arial" w:hAnsi="Arial"/>
          <w:sz w:val="17"/>
          <w:szCs w:val="17"/>
          <w:color w:val="auto"/>
        </w:rPr>
        <w:t>. Pursuant to Italian law, prior to this offering, we will opt out of shareholder approval requirements by way of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and conditional share capital (see “Description of Share Capital and Governing Documents—General —Authorization of shares”)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p>
      <w:pPr>
        <w:spacing w:after="0" w:line="135" w:lineRule="exact"/>
        <w:rPr>
          <w:rFonts w:ascii="Arial" w:cs="Arial" w:eastAsia="Arial" w:hAnsi="Arial"/>
          <w:sz w:val="17"/>
          <w:szCs w:val="17"/>
          <w:color w:val="auto"/>
        </w:rPr>
      </w:pPr>
    </w:p>
    <w:p>
      <w:pPr>
        <w:ind w:left="660" w:right="80" w:hanging="328"/>
        <w:spacing w:after="0" w:line="287"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US companies listed on Nasdaq are required to have an audit committee that satisfies the requirements of Rule 10A-3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and certain additional requirements set by the Nasdaq. In particular,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 board of statutory auditors established in accordance with Italian law which performs substantially the same functions, (see “Description of Share Capital and Governing Documents” – Statutory auditors”)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2" w:name="page153"/>
    <w:bookmarkEnd w:id="152"/>
    <w:p>
      <w:pPr>
        <w:ind w:left="1300" w:hanging="320"/>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board of statutory auditors is established and selected pursuant to Italian law expressly permitting such a board;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board of statutory auditors is required under Italian law to be separate from the Company’s board of directors;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board of statutory auditors is not elected by management of the Company and no executive officer of the Company is a member of the board of statutory auditors;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Italian law provides for standards for the independence of the board of statutory auditors from the Company and its management;</w:t>
      </w:r>
    </w:p>
    <w:p>
      <w:pPr>
        <w:spacing w:after="0" w:line="236" w:lineRule="exact"/>
        <w:rPr>
          <w:rFonts w:ascii="Arial" w:cs="Arial" w:eastAsia="Arial" w:hAnsi="Arial"/>
          <w:sz w:val="17"/>
          <w:szCs w:val="17"/>
          <w:color w:val="auto"/>
        </w:rPr>
      </w:pPr>
    </w:p>
    <w:p>
      <w:pPr>
        <w:ind w:left="1300" w:right="100" w:hanging="320"/>
        <w:spacing w:after="0" w:line="301" w:lineRule="auto"/>
        <w:tabs>
          <w:tab w:leader="none" w:pos="13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p>
      <w:pPr>
        <w:spacing w:after="0" w:line="18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Our reliance on Rule 10A-3(c)(3) does not, in our opinion, materially adversely affect the ability of its board of statutory auditors to act independently and to satisfy the other requirements of Rule 10A-3.</w:t>
      </w:r>
    </w:p>
    <w:p>
      <w:pPr>
        <w:spacing w:after="0" w:line="197" w:lineRule="exact"/>
        <w:rPr>
          <w:sz w:val="20"/>
          <w:szCs w:val="20"/>
          <w:color w:val="auto"/>
        </w:rPr>
      </w:pPr>
    </w:p>
    <w:p>
      <w:pPr>
        <w:ind w:left="660" w:right="160" w:hanging="328"/>
        <w:spacing w:after="0" w:line="291"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Compensation, Nomination and Governance Committee</w:t>
      </w:r>
      <w:r>
        <w:rPr>
          <w:rFonts w:ascii="Arial" w:cs="Arial" w:eastAsia="Arial" w:hAnsi="Arial"/>
          <w:sz w:val="16"/>
          <w:szCs w:val="16"/>
          <w:color w:val="auto"/>
        </w:rPr>
        <w:t>. Italian law does not require the appointment of a Compensation, Nomination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Committee as required by the Nasdaq Listing Rules. As a matter of Italian law applicable to Italian stock corporations whose shares are not listed on a regulated market in the European Union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intend to establish a Compensation, Nomination and Governance Committee.</w:t>
      </w:r>
    </w:p>
    <w:p>
      <w:pPr>
        <w:spacing w:after="0" w:line="166"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Code of Business</w:t>
      </w:r>
      <w:r>
        <w:rPr>
          <w:rFonts w:ascii="Arial" w:cs="Arial" w:eastAsia="Arial" w:hAnsi="Arial"/>
          <w:sz w:val="18"/>
          <w:szCs w:val="18"/>
          <w:color w:val="auto"/>
        </w:rPr>
        <w:t>. Conduct and Ethics. Pursuant to Italian law, prior to this offering, we will adopt an “Organization and Operational Model” as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Italian Legislative Decree of June 8, 2001, No. 231 (relating to administrative responsibility) that we expect will consist of: (i) a Code of Etichs; (ii) operating procedures and reporting systems applicable to all of our directors, officers and employees, which may not comply with the requirements of Nasdaq Listing Rule 5610.</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currently follow the historical Italian corporate governance system, with a board of directors (</w:t>
      </w:r>
      <w:r>
        <w:rPr>
          <w:rFonts w:ascii="Arial" w:cs="Arial" w:eastAsia="Arial" w:hAnsi="Arial"/>
          <w:sz w:val="18"/>
          <w:szCs w:val="18"/>
          <w:i w:val="1"/>
          <w:iCs w:val="1"/>
          <w:color w:val="auto"/>
        </w:rPr>
        <w:t>consiglio di amministrazione</w:t>
      </w:r>
      <w:r>
        <w:rPr>
          <w:rFonts w:ascii="Arial" w:cs="Arial" w:eastAsia="Arial" w:hAnsi="Arial"/>
          <w:sz w:val="18"/>
          <w:szCs w:val="18"/>
          <w:color w:val="auto"/>
        </w:rPr>
        <w:t>) and a separate board of statutory auditors (</w:t>
      </w:r>
      <w:r>
        <w:rPr>
          <w:rFonts w:ascii="Arial" w:cs="Arial" w:eastAsia="Arial" w:hAnsi="Arial"/>
          <w:sz w:val="18"/>
          <w:szCs w:val="18"/>
          <w:i w:val="1"/>
          <w:iCs w:val="1"/>
          <w:color w:val="auto"/>
        </w:rPr>
        <w:t>collegio sindacale</w:t>
      </w:r>
      <w:r>
        <w:rPr>
          <w:rFonts w:ascii="Arial" w:cs="Arial" w:eastAsia="Arial" w:hAnsi="Arial"/>
          <w:sz w:val="18"/>
          <w:szCs w:val="18"/>
          <w:color w:val="auto"/>
        </w:rPr>
        <w:t>) with supervisory functions. The two boards are separate and no individual may be a member of both corporate bodies. Both the members of the board of directors and the members of the board of statutory auditors owe duties of loyalty and care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During 2020, the Company’s statutory auditors received approximately €35,000 in compensation in the aggregate for their services to the Company.</w:t>
      </w:r>
    </w:p>
    <w:p>
      <w:pPr>
        <w:spacing w:after="0" w:line="19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At the Company’s annual general shareholders’ meeting held on May 20, 2021, the following individuals were elected or re-appointed to the Company’s board of statutory auditors for a three-year term. The board consists of three members, one of which is the chairman, and two alternates. The board of statutory auditors’ term will therefore expire with the Shareholders’ Meeting called to approve the financial statements for the year ending December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2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4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Position</w:t>
            </w:r>
          </w:p>
        </w:tc>
        <w:tc>
          <w:tcPr>
            <w:tcW w:w="2800" w:type="dxa"/>
            <w:vAlign w:val="bottom"/>
          </w:tcPr>
          <w:p>
            <w:pPr>
              <w:jc w:val="right"/>
              <w:ind w:right="453"/>
              <w:spacing w:after="0"/>
              <w:rPr>
                <w:sz w:val="20"/>
                <w:szCs w:val="20"/>
                <w:color w:val="auto"/>
              </w:rPr>
            </w:pPr>
            <w:r>
              <w:rPr>
                <w:rFonts w:ascii="Arial" w:cs="Arial" w:eastAsia="Arial" w:hAnsi="Arial"/>
                <w:sz w:val="14"/>
                <w:szCs w:val="14"/>
                <w:b w:val="1"/>
                <w:bCs w:val="1"/>
                <w:color w:val="auto"/>
              </w:rPr>
              <w:t>Year elected or re-appointed</w:t>
            </w:r>
          </w:p>
        </w:tc>
      </w:tr>
      <w:tr>
        <w:trPr>
          <w:trHeight w:val="202"/>
        </w:trPr>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Carlo-Alberto Nicchio</w:t>
            </w:r>
          </w:p>
        </w:tc>
        <w:tc>
          <w:tcPr>
            <w:tcW w:w="22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Chairman of the Board of Statutory Auditors</w:t>
            </w:r>
          </w:p>
        </w:tc>
        <w:tc>
          <w:tcPr>
            <w:tcW w:w="220" w:type="dxa"/>
            <w:vAlign w:val="bottom"/>
          </w:tcPr>
          <w:p>
            <w:pPr>
              <w:spacing w:after="0"/>
              <w:rPr>
                <w:sz w:val="17"/>
                <w:szCs w:val="17"/>
                <w:color w:val="auto"/>
              </w:rPr>
            </w:pPr>
          </w:p>
        </w:tc>
        <w:tc>
          <w:tcPr>
            <w:tcW w:w="2800" w:type="dxa"/>
            <w:vAlign w:val="bottom"/>
            <w:tcBorders>
              <w:top w:val="single" w:sz="8" w:color="auto"/>
            </w:tcBorders>
          </w:tcPr>
          <w:p>
            <w:pPr>
              <w:jc w:val="right"/>
              <w:ind w:right="2353"/>
              <w:spacing w:after="0" w:line="201" w:lineRule="exact"/>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Cesare Lazzaroni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Jacopo Doveri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Statutory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Lorenzo Gianluigi Grossi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Alessandro Arpiani</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5040" w:type="dxa"/>
            <w:vAlign w:val="bottom"/>
            <w:gridSpan w:val="3"/>
          </w:tcPr>
          <w:p>
            <w:pPr>
              <w:ind w:left="220"/>
              <w:spacing w:after="0"/>
              <w:rPr>
                <w:sz w:val="20"/>
                <w:szCs w:val="20"/>
                <w:color w:val="auto"/>
              </w:rPr>
            </w:pPr>
            <w:r>
              <w:rPr>
                <w:rFonts w:ascii="Arial" w:cs="Arial" w:eastAsia="Arial" w:hAnsi="Arial"/>
                <w:sz w:val="18"/>
                <w:szCs w:val="18"/>
                <w:color w:val="auto"/>
              </w:rPr>
              <w:t>Alternate auditor</w:t>
            </w:r>
          </w:p>
        </w:tc>
        <w:tc>
          <w:tcPr>
            <w:tcW w:w="2800" w:type="dxa"/>
            <w:vAlign w:val="bottom"/>
          </w:tcPr>
          <w:p>
            <w:pPr>
              <w:jc w:val="right"/>
              <w:ind w:right="2353"/>
              <w:spacing w:after="0"/>
              <w:rPr>
                <w:sz w:val="20"/>
                <w:szCs w:val="20"/>
                <w:color w:val="auto"/>
              </w:rPr>
            </w:pPr>
            <w:r>
              <w:rPr>
                <w:rFonts w:ascii="Arial" w:cs="Arial" w:eastAsia="Arial" w:hAnsi="Arial"/>
                <w:sz w:val="18"/>
                <w:szCs w:val="18"/>
                <w:color w:val="auto"/>
                <w:w w:val="84"/>
              </w:rPr>
              <w:t>2021</w:t>
            </w:r>
          </w:p>
        </w:tc>
      </w:tr>
    </w:tbl>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Following the expiration of the above board of statutory auditors, future members will be appointed by means of a slate voting mechanism: slates may be submitted by the shareholders representing, individually or collectively with other shareholders joining in the submission of the slate, at least 6% of share capital eligible to vote at the shareholders’ meeting at which auditors are to be elected, such eligibility to be established by filing an appropriate certification to that effect. According to the Company’s bylaws, the board of statutory auditors will be appointed as follows: (a) candidates for election as auditors equal to two statutory auditors and one alternate auditor will be drawn from the slate that has obtained the highest number of votes on the shareholders meeting (the Majority Slate), based on the progressive order in which they are listed, while (b) the remaining statutory auditor (who will act as President of the board of statutory auditors) and alternate auditor will be drawn from the slate that has obtained the second greatest number of votes cast (the Minority Slate) so long as the Minority Slate has no connection in any way, whether directly or indirectly, with the shareholders who have submitted or voted the Majority Slate.</w:t>
      </w:r>
    </w:p>
    <w:p>
      <w:pPr>
        <w:spacing w:after="0" w:line="18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to submit, or to cast their vote for more than one slate, including through a nominee. Each candidate may only be listed on single slate or, otherwise, will be ineligible for election if named in multiple slates.</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additional information concerning the slate voting mechanism, see “Description of Share Capital and Governing Documents” – “Board of Statutory auditors”.</w:t>
      </w:r>
    </w:p>
    <w:p>
      <w:pPr>
        <w:spacing w:after="0" w:line="19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 xml:space="preserve">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 See “— </w:t>
      </w:r>
      <w:r>
        <w:rPr>
          <w:rFonts w:ascii="Arial" w:cs="Arial" w:eastAsia="Arial" w:hAnsi="Arial"/>
          <w:sz w:val="17"/>
          <w:szCs w:val="17"/>
          <w:i w:val="1"/>
          <w:iCs w:val="1"/>
          <w:color w:val="auto"/>
        </w:rPr>
        <w:t>Differences between Italian Laws and Nasdaq Requirements</w:t>
      </w:r>
      <w:r>
        <w:rPr>
          <w:rFonts w:ascii="Arial" w:cs="Arial" w:eastAsia="Arial" w:hAnsi="Arial"/>
          <w:sz w:val="17"/>
          <w:szCs w:val="17"/>
          <w:color w:val="auto"/>
        </w:rPr>
        <w:t>” for more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i w:val="1"/>
          <w:iCs w:val="1"/>
          <w:color w:val="auto"/>
        </w:rPr>
        <w:t>Additional Board Committees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Italian law does not require that we adopt a Compensation, Nomination and Governance Committee, in connection with the Corporate Conversion, we have established a Compensation, Nomination and Governance Committee according to Nasdaq Listing Rule 5615(a)(3). The members of our compensation, nomination and governance committee include Stephen Squinto, Roger Abravanel and Guido Guidi.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 2025 Equity Incentive Plan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20, 2021, our shareholders meeting approved a capital increase to allow for issuance of up to 2,700,000 ordinary shares to the service of a four-year employees’ share option plan (the “2021-2025 Equity Incentive Plan”) to be adopted by the board of directors. The purpose of the 2021-2025 Equity Incentive Plan is to motivate and reward performance of our employees, directors, non-employee directors and consultants, and in the best interests of the Company and our shareholders.</w:t>
      </w:r>
    </w:p>
    <w:p>
      <w:pPr>
        <w:spacing w:after="0" w:line="21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On May 20, 2021 our board of directors approved the specific terms (e.g., regulation) of our 2021 – 2025 Equity Incentive Plan which will become effective upon the effectiveness of the registration statement of which this prospectus is part. Under Italian law, we do not need to obtain the approval of the specific terms of our equity incentive plans by our shareholders. Except where the context indicates otherwise, reference hereunder to our ordinary shares shall be deemed to include a number of ADSs equal to the number of ordinary shares.</w:t>
      </w:r>
    </w:p>
    <w:p>
      <w:pPr>
        <w:spacing w:after="0" w:line="198"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2021 – 2025 Equity Incentive Plan is administered by our board of directors in consultation with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Nomination and Governance Committee, unless and until the board delegates administration to this latter. The board of directors has the authority to take all actions and make all determinations under the 2021 – 2025 Equity Incentive Plan, to interpret the 2021 – 2025 Equity Incentive Plan and award agreements and to adopt, amend and repeal rules for the administration of the 2021 – 2025 Equity Incentive Plan as it deems advisable, subject to certain limitations imposed under the 2021 – 2025 Equity Incentive Plan, and other applicable laws and stock exchange rules.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The board of directors jointly with the Compensation, Nomination and Governance Committee will be able to offer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at its discretion under the 2021 – 2025 Equity Incentive Plan to:</w:t>
      </w:r>
    </w:p>
    <w:p>
      <w:pPr>
        <w:spacing w:after="0" w:line="197"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employees of us or any of our subsidiaries;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non-employee directors serving on our board of directors;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consultants to us or any of our subsidiaries (the “Eligible Participants”).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Grant of Awards; Shares Available for Awards. </w:t>
      </w:r>
      <w:r>
        <w:rPr>
          <w:rFonts w:ascii="Arial" w:cs="Arial" w:eastAsia="Arial" w:hAnsi="Arial"/>
          <w:sz w:val="18"/>
          <w:szCs w:val="18"/>
          <w:color w:val="auto"/>
        </w:rPr>
        <w:t>The 2021 – 2025 Equity Incentive Plan provides for the grant of options to purchase up to a</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of 2.7 million ordinary shares (</w:t>
      </w:r>
      <w:r>
        <w:rPr>
          <w:rFonts w:ascii="Arial" w:cs="Arial" w:eastAsia="Arial" w:hAnsi="Arial"/>
          <w:sz w:val="18"/>
          <w:szCs w:val="18"/>
          <w:i w:val="1"/>
          <w:iCs w:val="1"/>
          <w:color w:val="auto"/>
        </w:rPr>
        <w:t>i.e.</w:t>
      </w:r>
      <w:r>
        <w:rPr>
          <w:rFonts w:ascii="Arial" w:cs="Arial" w:eastAsia="Arial" w:hAnsi="Arial"/>
          <w:sz w:val="18"/>
          <w:szCs w:val="18"/>
          <w:color w:val="auto"/>
        </w:rPr>
        <w:t xml:space="preserve"> approximately 10% of the issued share capital of the Company upon this offering on a fully diluted basis) in the future upon written exercise notice. This number is subject to adjustment in the event of a split-up, share dividend or other change in our capitalization. If any award expires, is cancelled, or is terminated, unexercised or is forfeited, the number of shares subject thereto is again available for grant under the 2021 – 2025 Equity Incentive Plan.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55" w:name="page156"/>
    <w:bookmarkEnd w:id="155"/>
    <w:p>
      <w:pPr>
        <w:ind w:right="560" w:firstLine="648"/>
        <w:spacing w:after="0" w:line="277" w:lineRule="auto"/>
        <w:rPr>
          <w:sz w:val="20"/>
          <w:szCs w:val="20"/>
          <w:color w:val="auto"/>
        </w:rPr>
      </w:pPr>
      <w:r>
        <w:rPr>
          <w:rFonts w:ascii="Arial" w:cs="Arial" w:eastAsia="Arial" w:hAnsi="Arial"/>
          <w:sz w:val="18"/>
          <w:szCs w:val="18"/>
          <w:color w:val="auto"/>
        </w:rPr>
        <w:t>The number of stock options to be granted to executives and directors cannot be determined at this time as the grant of stock options and/or restricted shares is dependent upon various factors such as hiring requirements and job performance.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Terms of exercise – Stock Options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Options may be granted to selected Eligible Participants (the “Optionee”) on such terms and conditions as the board of directors may determine; provided, however, that the exercise price of an option may not be less than the fair market value of a Company share as of the grant date as determined by the board of directors, or the Compensation, Nomination and Governance Committee, in its reasonable discretion and the term of the option my not exceed three years from the grant date.</w:t>
      </w:r>
    </w:p>
    <w:p>
      <w:pPr>
        <w:spacing w:after="0" w:line="21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The vesting conditions for stock options granted under the 2021 – 2025 Equity Incentive Plan are set forth in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Termination of Service and Change in Control</w:t>
      </w:r>
      <w:r>
        <w:rPr>
          <w:rFonts w:ascii="Arial" w:cs="Arial" w:eastAsia="Arial" w:hAnsi="Arial"/>
          <w:sz w:val="16"/>
          <w:szCs w:val="16"/>
          <w:color w:val="auto"/>
        </w:rPr>
        <w:t>. In the event of termination of an Optionee’s employment or service without cause or an Optionee’s</w:t>
      </w:r>
      <w:r>
        <w:rPr>
          <w:rFonts w:ascii="Arial" w:cs="Arial" w:eastAsia="Arial" w:hAnsi="Arial"/>
          <w:sz w:val="16"/>
          <w:szCs w:val="16"/>
          <w:i w:val="1"/>
          <w:iCs w:val="1"/>
          <w:color w:val="auto"/>
        </w:rPr>
        <w:t xml:space="preserve"> </w:t>
      </w:r>
      <w:r>
        <w:rPr>
          <w:rFonts w:ascii="Arial" w:cs="Arial" w:eastAsia="Arial" w:hAnsi="Arial"/>
          <w:sz w:val="16"/>
          <w:szCs w:val="16"/>
          <w:color w:val="auto"/>
        </w:rPr>
        <w:t>resignation for just cause (as defined in the 2021 – 2025 Equity Incentive Plan) following a change in control of the company (as defined in the 2021 – 2025 Equity Incentive Plan), any awards outstanding to the Optionee (unless otherwise provided in the award agreement) will immediately vest, and options will become fully exercisable during the twelve (12) months following the Change in Control of the Company, or until the date of expiration of the applicable option, if earlier. In the event of a change in control that involves a merger, acquisition or other corporate transaction, any outstanding award not assumed, substituted, replaced or continued in connection with the transaction will immediately vest, and options will become fully exercisable and upon the effectiveness of such corporate transaction, the 2021 – 2025 Equity Incentive Plan and all awards will automatically terminate.</w:t>
      </w:r>
    </w:p>
    <w:p>
      <w:pPr>
        <w:spacing w:after="0" w:line="193"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Within the limitation of the 2021 – 2025 Equity Incentive Plan, the board of directors or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and Governance Committee may amend, suspend or terminate the 2021 – 2025 Equity Incentive Plan, at any time and for any reason. The suspension or termination of the 2021 – 2025 Equity Incentive Plan, or any amendment thereof, shall not affect any option previously granted under the 2021 – 2025 Equity Incentive Plan. No option shall be granted under the 2021 – 2025 Equity Incentive Plan after its suspension or termination. An amendment of the 2021 – 2025 Equity Incentive Plan shall be subject to the approval of the Company’s shareholders only to the extent required by applicable laws or regulations.</w:t>
      </w: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i w:val="1"/>
          <w:iCs w:val="1"/>
          <w:color w:val="auto"/>
        </w:rPr>
        <w:t>Right to amend options</w:t>
      </w:r>
      <w:r>
        <w:rPr>
          <w:rFonts w:ascii="Arial" w:cs="Arial" w:eastAsia="Arial" w:hAnsi="Arial"/>
          <w:sz w:val="18"/>
          <w:szCs w:val="18"/>
          <w:color w:val="auto"/>
        </w:rPr>
        <w:t>. The board of directors at any time, and from time to time, may amend the terms of any one or more options;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the rights under any option shall not be impaired by any such amendment unless (i) the Company requests the consent of the optionee and (ii) the optionee consents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2021- 2025 Chairman Sub-Plan</w:t>
      </w:r>
    </w:p>
    <w:p>
      <w:pPr>
        <w:spacing w:after="0" w:line="25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2021 – 2025 Chairman Sub-Plan allows for the grant of options to our chairman of the board of directors, Mr. Squinto. In particular, Mr. Squinto is entitled to receive options to subscribe: (i) no. 147,783 shares at a price equal to €6.38 each upon listing; and (ii) no. 73,892 shares at a price equal to €6.38 each, during the year starting from the first anniversary of the listing.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for the above, the 2021 – 2025 Chairman Sub-Plan provides for identical terms and conditions under our 2021 – 2025 Equity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Vesting of Existing Options Represented by Class B Quotas</w:t>
      </w:r>
    </w:p>
    <w:p>
      <w:pPr>
        <w:spacing w:after="0" w:line="252" w:lineRule="exact"/>
        <w:rPr>
          <w:sz w:val="20"/>
          <w:szCs w:val="20"/>
          <w:color w:val="auto"/>
        </w:rPr>
      </w:pPr>
    </w:p>
    <w:p>
      <w:pPr>
        <w:jc w:val="both"/>
        <w:ind w:right="760" w:firstLine="648"/>
        <w:spacing w:after="0" w:line="263" w:lineRule="auto"/>
        <w:rPr>
          <w:sz w:val="20"/>
          <w:szCs w:val="20"/>
          <w:color w:val="auto"/>
        </w:rPr>
      </w:pPr>
      <w:r>
        <w:rPr>
          <w:rFonts w:ascii="Arial" w:cs="Arial" w:eastAsia="Arial" w:hAnsi="Arial"/>
          <w:sz w:val="18"/>
          <w:szCs w:val="18"/>
          <w:color w:val="auto"/>
        </w:rPr>
        <w:t>The following table summarizes, as of the date of this prospectus, previously outstanding options subject to accelerated vesting upon the occurrence of a liquidity event. Prior to the consummation of the Corporation Conversion all such options were converted into Quota B and then subsequently converted into our ordinary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Class B quotas</w:t>
            </w: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Underlying Options</w:t>
            </w:r>
          </w:p>
        </w:tc>
        <w:tc>
          <w:tcPr>
            <w:tcW w:w="16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Awarded</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(€/Share)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20"/>
                <w:szCs w:val="20"/>
                <w:color w:val="auto"/>
              </w:rPr>
            </w:pPr>
          </w:p>
        </w:tc>
        <w:tc>
          <w:tcPr>
            <w:tcW w:w="1520" w:type="dxa"/>
            <w:vAlign w:val="bottom"/>
          </w:tcPr>
          <w:p>
            <w:pPr>
              <w:jc w:val="right"/>
              <w:ind w:right="595"/>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BENEFICIAL OWNERSHIP OF PRINCIPAL SHAREHOLDERS AND MANAGEMENT</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w w:val="96"/>
              </w:rPr>
              <w:t>The following table sets forth information regarding beneficial ownership of our ordinary shares as of</w:t>
            </w:r>
          </w:p>
        </w:tc>
        <w:tc>
          <w:tcPr>
            <w:tcW w:w="1120" w:type="dxa"/>
            <w:vAlign w:val="bottom"/>
          </w:tcPr>
          <w:p>
            <w:pPr>
              <w:ind w:left="380"/>
              <w:spacing w:after="0"/>
              <w:rPr>
                <w:sz w:val="20"/>
                <w:szCs w:val="20"/>
                <w:color w:val="auto"/>
              </w:rPr>
            </w:pPr>
            <w:r>
              <w:rPr>
                <w:rFonts w:ascii="Arial" w:cs="Arial" w:eastAsia="Arial" w:hAnsi="Arial"/>
                <w:sz w:val="18"/>
                <w:szCs w:val="18"/>
                <w:color w:val="auto"/>
                <w:w w:val="91"/>
              </w:rPr>
              <w:t>, 2021 by:</w:t>
            </w:r>
          </w:p>
        </w:tc>
      </w:tr>
    </w:tbl>
    <w:p>
      <w:pPr>
        <w:spacing w:after="0" w:line="229"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person, or group of affiliated persons, known to us to be the beneficial owner of more than 5% of our outstanding ordinary shares;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shares. Percentage of shares beneficially owned before this offering is based on shares outstanding on , 2021. The number of ordinary shares deemed outstanding after this offering includes the ordinary shares being offered for sale in this offering but assumes no exercise by the representative of the underwriters of the over-allotment option.</w:t>
      </w:r>
    </w:p>
    <w:p>
      <w:pPr>
        <w:spacing w:after="0" w:line="21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Genenta Science S.p.A., Via Olgettina no. 58, 20132 Milan, Italy.</w:t>
      </w:r>
    </w:p>
    <w:p>
      <w:pPr>
        <w:spacing w:after="0" w:line="171" w:lineRule="exact"/>
        <w:rPr>
          <w:sz w:val="20"/>
          <w:szCs w:val="20"/>
          <w:color w:val="auto"/>
        </w:rPr>
      </w:pPr>
    </w:p>
    <w:tbl>
      <w:tblPr>
        <w:tblLayout w:type="fixed"/>
        <w:tblInd w:w="5940" w:type="dxa"/>
        <w:tblCellMar>
          <w:top w:w="0" w:type="dxa"/>
          <w:left w:w="0" w:type="dxa"/>
          <w:bottom w:w="0" w:type="dxa"/>
          <w:right w:w="0" w:type="dxa"/>
        </w:tblCellMar>
      </w:tblPr>
      <w:tr>
        <w:trPr>
          <w:trHeight w:val="161"/>
        </w:trPr>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No. of Shares</w:t>
            </w:r>
          </w:p>
        </w:tc>
        <w:tc>
          <w:tcPr>
            <w:tcW w:w="1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4"/>
        </w:trPr>
        <w:tc>
          <w:tcPr>
            <w:tcW w:w="1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80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Owned</w:t>
            </w: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Owned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Prior to this</w:t>
            </w: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Before this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After this</w:t>
            </w:r>
          </w:p>
        </w:tc>
        <w:tc>
          <w:tcPr>
            <w:tcW w:w="0" w:type="dxa"/>
            <w:vAlign w:val="bottom"/>
          </w:tcPr>
          <w:p>
            <w:pPr>
              <w:spacing w:after="0"/>
              <w:rPr>
                <w:sz w:val="1"/>
                <w:szCs w:val="1"/>
                <w:color w:val="auto"/>
              </w:rPr>
            </w:pPr>
          </w:p>
        </w:tc>
      </w:tr>
      <w:tr>
        <w:trPr>
          <w:trHeight w:val="183"/>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20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8"/>
              </w:rPr>
              <w:t>Offering</w:t>
            </w:r>
            <w:r>
              <w:rPr>
                <w:rFonts w:ascii="Arial" w:cs="Arial" w:eastAsia="Arial" w:hAnsi="Arial"/>
                <w:sz w:val="20"/>
                <w:szCs w:val="20"/>
                <w:b w:val="1"/>
                <w:bCs w:val="1"/>
                <w:color w:val="auto"/>
                <w:w w:val="98"/>
                <w:vertAlign w:val="superscript"/>
              </w:rPr>
              <w:t>(1)</w:t>
            </w:r>
          </w:p>
        </w:tc>
        <w:tc>
          <w:tcPr>
            <w:tcW w:w="2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b w:val="1"/>
                <w:bCs w:val="1"/>
                <w:color w:val="auto"/>
              </w:rPr>
              <w:t>Directors and executive officers</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Stephen Squinto</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2,275,516</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15.17%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Roger Abravanel</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73,729</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Daniela Bellomo</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16,357</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Guido Guidi</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61,553</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Luca Guidotti</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49,469</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Anthony Marucci</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Richard B. Slansky</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19,947</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Carlo-Russo</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598,417</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3.99%</w:t>
            </w: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Luigi Naldini</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1,386,145</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9.24%</w:t>
            </w:r>
          </w:p>
        </w:tc>
        <w:tc>
          <w:tcPr>
            <w:tcW w:w="9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Bernard Gentner</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692,871</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4.62%</w:t>
            </w: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directors and executive officers as a group (11 persons)</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5,174,004</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34.49%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5% Shareholders</w:t>
            </w:r>
          </w:p>
        </w:tc>
        <w:tc>
          <w:tcPr>
            <w:tcW w:w="2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Ospedale San Raffaele</w:t>
            </w:r>
          </w:p>
        </w:tc>
        <w:tc>
          <w:tcPr>
            <w:tcW w:w="26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1,896,730</w:t>
            </w:r>
          </w:p>
        </w:tc>
        <w:tc>
          <w:tcPr>
            <w:tcW w:w="2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12.64%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90"/>
        </w:trPr>
        <w:tc>
          <w:tcPr>
            <w:tcW w:w="5520" w:type="dxa"/>
            <w:vAlign w:val="bottom"/>
          </w:tcPr>
          <w:p>
            <w:pPr>
              <w:spacing w:after="0"/>
              <w:rPr>
                <w:sz w:val="20"/>
                <w:szCs w:val="20"/>
                <w:color w:val="auto"/>
              </w:rPr>
            </w:pPr>
            <w:r>
              <w:rPr>
                <w:rFonts w:ascii="Arial" w:cs="Arial" w:eastAsia="Arial" w:hAnsi="Arial"/>
                <w:sz w:val="18"/>
                <w:szCs w:val="18"/>
                <w:color w:val="auto"/>
              </w:rPr>
              <w:t>Spafid</w:t>
            </w:r>
            <w:r>
              <w:rPr>
                <w:rFonts w:ascii="Arial" w:cs="Arial" w:eastAsia="Arial" w:hAnsi="Arial"/>
                <w:sz w:val="29"/>
                <w:szCs w:val="29"/>
                <w:color w:val="auto"/>
                <w:vertAlign w:val="superscript"/>
              </w:rPr>
              <w:t>(2)</w:t>
            </w:r>
          </w:p>
        </w:tc>
        <w:tc>
          <w:tcPr>
            <w:tcW w:w="2680" w:type="dxa"/>
            <w:vAlign w:val="bottom"/>
          </w:tcPr>
          <w:p>
            <w:pPr>
              <w:jc w:val="right"/>
              <w:ind w:right="590"/>
              <w:spacing w:after="0"/>
              <w:rPr>
                <w:sz w:val="20"/>
                <w:szCs w:val="20"/>
                <w:color w:val="auto"/>
              </w:rPr>
            </w:pPr>
            <w:r>
              <w:rPr>
                <w:rFonts w:ascii="Arial" w:cs="Arial" w:eastAsia="Arial" w:hAnsi="Arial"/>
                <w:sz w:val="18"/>
                <w:szCs w:val="18"/>
                <w:color w:val="auto"/>
              </w:rPr>
              <w:t>3,431,482</w:t>
            </w:r>
          </w:p>
        </w:tc>
        <w:tc>
          <w:tcPr>
            <w:tcW w:w="2060" w:type="dxa"/>
            <w:vAlign w:val="bottom"/>
          </w:tcPr>
          <w:p>
            <w:pPr>
              <w:jc w:val="right"/>
              <w:ind w:right="730"/>
              <w:spacing w:after="0"/>
              <w:rPr>
                <w:sz w:val="20"/>
                <w:szCs w:val="20"/>
                <w:color w:val="auto"/>
              </w:rPr>
            </w:pPr>
            <w:r>
              <w:rPr>
                <w:rFonts w:ascii="Arial" w:cs="Arial" w:eastAsia="Arial" w:hAnsi="Arial"/>
                <w:sz w:val="18"/>
                <w:szCs w:val="18"/>
                <w:color w:val="auto"/>
              </w:rPr>
              <w:t>22.88%</w:t>
            </w:r>
          </w:p>
        </w:tc>
        <w:tc>
          <w:tcPr>
            <w:tcW w:w="980" w:type="dxa"/>
            <w:vAlign w:val="bottom"/>
          </w:tcPr>
          <w:p>
            <w:pPr>
              <w:spacing w:after="0"/>
              <w:rPr>
                <w:sz w:val="24"/>
                <w:szCs w:val="24"/>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6459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44"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30"/>
          <w:szCs w:val="30"/>
          <w:color w:val="auto"/>
          <w:vertAlign w:val="superscript"/>
        </w:rPr>
      </w:pPr>
      <w:r>
        <w:rPr>
          <w:rFonts w:ascii="Arial" w:cs="Arial" w:eastAsia="Arial" w:hAnsi="Arial"/>
          <w:sz w:val="18"/>
          <w:szCs w:val="18"/>
          <w:color w:val="auto"/>
        </w:rPr>
        <w:t>The percentages shown are based on 15,000,000 ordinary shares issued and outstanding as of June 30, 2021.</w:t>
      </w:r>
    </w:p>
    <w:p>
      <w:pPr>
        <w:spacing w:after="0" w:line="1" w:lineRule="exact"/>
        <w:rPr>
          <w:rFonts w:ascii="Arial" w:cs="Arial" w:eastAsia="Arial" w:hAnsi="Arial"/>
          <w:sz w:val="30"/>
          <w:szCs w:val="30"/>
          <w:color w:val="auto"/>
          <w:vertAlign w:val="superscript"/>
        </w:rPr>
      </w:pPr>
    </w:p>
    <w:p>
      <w:pPr>
        <w:ind w:left="340" w:right="20" w:hanging="332"/>
        <w:spacing w:after="0" w:line="236" w:lineRule="auto"/>
        <w:tabs>
          <w:tab w:leader="none" w:pos="340" w:val="left"/>
        </w:tabs>
        <w:numPr>
          <w:ilvl w:val="0"/>
          <w:numId w:val="108"/>
        </w:numPr>
        <w:rPr>
          <w:rFonts w:ascii="Arial" w:cs="Arial" w:eastAsia="Arial" w:hAnsi="Arial"/>
          <w:sz w:val="29"/>
          <w:szCs w:val="29"/>
          <w:color w:val="auto"/>
          <w:vertAlign w:val="superscript"/>
        </w:rPr>
      </w:pPr>
      <w:r>
        <w:rPr>
          <w:rFonts w:ascii="Arial" w:cs="Arial" w:eastAsia="Arial" w:hAnsi="Arial"/>
          <w:sz w:val="17"/>
          <w:szCs w:val="17"/>
          <w:color w:val="auto"/>
        </w:rPr>
        <w:t>Spafid is a public limited liability company established under the laws of Italy, having its registered office at Via Filodrammatici no. 10, 20121 Milan, Italy, and having its principal place of business at Foro Buonaparte no. 10, 20121 Milan, Italy, registered under number 00717010151, that acts pursuant to Italian Law 23 November 1939 no. 1966 on “fiduciary Activity”. Spafid is indicated as Owner Entity because identified as formal owner of the shares. As Fiduciary Company, according to Italian Rules, Spafid operates on behalf of Beneficial Owner of Fiduciary Mandate. Shares of Spafid are wholly owned by Mediobanca – Banca di Credito Finanziario S.p.A., a leading Italian investment bank. In such a capacity of Fiduciary company, Spafid owns no. 3.404.688 shares of the Company on behalf of no. 43 beneficial owners (“fiducianti”).</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shares of the Company owned by Spafid represent 22,59% of the Company’s share capital: (i) the average shareholding owned through Spafid in the Company’s share capital by each beneficial owner is equal to 0,53%; while (ii) the maximum shareholding owned through Spafid in the Company’s share capital by a single beneficial owner is equal to 2,30%. Spafid exercises - and will exercise - the relevant voting rights in the shareholders’ meeting of the Company according to voting instructions provided for by each beneficial owner.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Holders</w:t>
      </w:r>
    </w:p>
    <w:p>
      <w:pPr>
        <w:spacing w:after="0" w:line="25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As of , 2021, there was a total of 68 holders of record of our ordinary shares, none of which had, to the best of our knowledge, a registered address in the United States.</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not controlled by another corporation, by any foreign government or by any natural or legal persons except as set forth herein, and there are no arrangements known to us which would result in a change in control of the Company at a subsequent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OSR</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a longstanding relationship with OSR. Dr. Guidotti, a member of our Board of Directors, currently serves as Deputy Scientific Director of OSR. On June 4, 2015, we entered into a service agreement with OSR to provide certain services (accounting/bookkeeping and rent of spaces, the latter with an addendum effective from January 1, 2016) free of charge. Beginning in January 2020, we engaged a third-party provider to perform these services. We determined that the value of these services provided in 2019 and in prior years were not material to our financial statements. Beginning January 1, 2020, we entered into a six-year lease agreement for the use of office space in the OSR building. We paid OSR annual rent of €13,400 in 2020 with a security deposit of €3,350.</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entered into a license agreement with OSR effective December 15, 2014, pursuant to which OSR granted us an exclusive, royalty-bearing, non-transferable, worldwide license, subject to certain retained rights, to certain patents, patent applications and existing know-how in exchange for certain ongoing payment obligations. See “Business — Collaboration/Licensing.” In February 2021, we entered into a Sponsored Research Agreement (“SRA”) with OSR to conduct certain research projects related to Temferon. The total consideration to be paid by the Company under the SRA will be €1.0 million with payments scheduled quarterly during 2021 and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Consulting and Services Agreements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Dr. Russo is currently a party to a Service Agreement dated July 2017 through an affiliated company, XDG BioMed LLC, which, as amended, provides for fixed annual fees of €300,000 gross and a discretionary annual variable gross remuneration up to a minimum amount of €50,000, tax included. We entered into consulting agreements in October 2015 and April 2016 with Prof. Naldini and Dr. Gentner, which, as amended, provided for gross annual fees of €50,000 and €30,000, respectively. These agreements renew automatically each year.</w:t>
      </w:r>
    </w:p>
    <w:p>
      <w:pPr>
        <w:spacing w:after="0" w:line="21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We entered into a directorship agreement with Mr. Paracchi in December 2019, which provides for a gross annual salary of €250,000 and a discretionary €50,000 gross performance bonus payment to be approved by the Board of Directors. Such agreement will be terminated by the parties for mutual consent upon signature of the below employment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Employment Agreements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intend to enter into new employment agreements with each of Mr. Paracchi, Dr. Russo and Mr. Slansky effective upon the consummation of this offering, and in the case of Mr. Slansky, the earlier of the consummation of this offering or November 1, 2021, whichever is earlier. The forms of such proposed employment agreements have been filed as exhibits to the registration statement of which this prospectus forms a part. Pursuant to such proposed employment agreements, Mr. Paracchi, Dr. Russo and Mr. Slansky are entitled to gross annual base salaries of €420,000, $500,000 and $300,000, respectively, which is subject to annual review by and at the sole discretion of the Compensation, Nomination and Governance Committee of our board of directors. Mr. Paracchi and Dr. Russo are also eligible to receive an annual cash bonus equal to or exceeding 20% of base salary, and Mr. Slansky is eligible to receive an annual cash bonus equal to or exceeding 30% of base salary, provided that such individual achieves performance targets determined by the Compensation, Nomination and Governance Committee of the board of directors.</w:t>
      </w:r>
    </w:p>
    <w:p>
      <w:pPr>
        <w:spacing w:after="0" w:line="2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proposed employment agreements of Dr. Russo and Mr. Slansky, are governed by US Law and include the following terms and conditions, among others:</w:t>
      </w:r>
    </w:p>
    <w:p>
      <w:pPr>
        <w:spacing w:after="0" w:line="170" w:lineRule="exact"/>
        <w:rPr>
          <w:sz w:val="20"/>
          <w:szCs w:val="20"/>
          <w:color w:val="auto"/>
        </w:rPr>
      </w:pPr>
    </w:p>
    <w:p>
      <w:pPr>
        <w:ind w:left="720" w:right="20" w:hanging="712"/>
        <w:spacing w:after="0" w:line="254" w:lineRule="auto"/>
        <w:tabs>
          <w:tab w:leader="none" w:pos="720" w:val="left"/>
        </w:tabs>
        <w:numPr>
          <w:ilvl w:val="0"/>
          <w:numId w:val="109"/>
        </w:numPr>
        <w:rPr>
          <w:rFonts w:ascii="Arial" w:cs="Arial" w:eastAsia="Arial" w:hAnsi="Arial"/>
          <w:sz w:val="18"/>
          <w:szCs w:val="18"/>
          <w:i w:val="1"/>
          <w:iCs w:val="1"/>
          <w:color w:val="auto"/>
        </w:rPr>
      </w:pPr>
      <w:r>
        <w:rPr>
          <w:rFonts w:ascii="Arial" w:cs="Arial" w:eastAsia="Arial" w:hAnsi="Arial"/>
          <w:sz w:val="18"/>
          <w:szCs w:val="18"/>
          <w:color w:val="auto"/>
        </w:rPr>
        <w:t>each proposed employment agreement has a term commencing on the date of consummation of this offering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p>
      <w:pPr>
        <w:spacing w:after="0" w:line="194" w:lineRule="exact"/>
        <w:rPr>
          <w:rFonts w:ascii="Arial" w:cs="Arial" w:eastAsia="Arial" w:hAnsi="Arial"/>
          <w:sz w:val="18"/>
          <w:szCs w:val="18"/>
          <w:i w:val="1"/>
          <w:iCs w:val="1"/>
          <w:color w:val="auto"/>
        </w:rPr>
      </w:pPr>
    </w:p>
    <w:p>
      <w:pPr>
        <w:ind w:left="720" w:right="300" w:hanging="712"/>
        <w:spacing w:after="0" w:line="291" w:lineRule="auto"/>
        <w:tabs>
          <w:tab w:leader="none" w:pos="720" w:val="left"/>
        </w:tabs>
        <w:numPr>
          <w:ilvl w:val="0"/>
          <w:numId w:val="109"/>
        </w:numPr>
        <w:rPr>
          <w:rFonts w:ascii="Arial" w:cs="Arial" w:eastAsia="Arial" w:hAnsi="Arial"/>
          <w:sz w:val="16"/>
          <w:szCs w:val="16"/>
          <w:i w:val="1"/>
          <w:iCs w:val="1"/>
          <w:color w:val="auto"/>
        </w:rPr>
      </w:pPr>
      <w:r>
        <w:rPr>
          <w:rFonts w:ascii="Arial" w:cs="Arial" w:eastAsia="Arial" w:hAnsi="Arial"/>
          <w:sz w:val="16"/>
          <w:szCs w:val="16"/>
          <w:color w:val="auto"/>
        </w:rPr>
        <w:t>in the event such individual is terminated six months prior to or two years after a Change of Control (as defined in the agreement) by the Company for any reason other than cause or by such individual for good reason, then the executive shall be entitled to receive a cash payment</w:t>
      </w:r>
    </w:p>
    <w:p>
      <w:pPr>
        <w:ind w:left="720" w:right="460"/>
        <w:spacing w:after="0" w:line="260" w:lineRule="auto"/>
        <w:rPr>
          <w:sz w:val="20"/>
          <w:szCs w:val="20"/>
          <w:color w:val="auto"/>
        </w:rPr>
      </w:pPr>
      <w:r>
        <w:rPr>
          <w:rFonts w:ascii="Arial" w:cs="Arial" w:eastAsia="Arial" w:hAnsi="Arial"/>
          <w:sz w:val="18"/>
          <w:szCs w:val="18"/>
          <w:color w:val="auto"/>
        </w:rPr>
        <w:t>equal to times such individual’s then-current annual base salary, plus 1.0 times his cash bonus for the year in which the termination occurs. Such payment shall be in lieu of the severance payment described above.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proposed employment agreement of Mr. Paracchi is governed by Italian Law and include the following terms and conditions, among others:</w:t>
      </w:r>
    </w:p>
    <w:p>
      <w:pPr>
        <w:spacing w:after="0" w:line="248"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i w:val="1"/>
          <w:iCs w:val="1"/>
          <w:color w:val="auto"/>
        </w:rPr>
      </w:pPr>
      <w:r>
        <w:rPr>
          <w:rFonts w:ascii="Arial" w:cs="Arial" w:eastAsia="Arial" w:hAnsi="Arial"/>
          <w:sz w:val="18"/>
          <w:szCs w:val="18"/>
          <w:color w:val="auto"/>
        </w:rPr>
        <w:t>the duties of general manager (</w:t>
      </w:r>
      <w:r>
        <w:rPr>
          <w:rFonts w:ascii="Arial" w:cs="Arial" w:eastAsia="Arial" w:hAnsi="Arial"/>
          <w:sz w:val="18"/>
          <w:szCs w:val="18"/>
          <w:i w:val="1"/>
          <w:iCs w:val="1"/>
          <w:color w:val="auto"/>
        </w:rPr>
        <w:t>direttore generale</w:t>
      </w:r>
      <w:r>
        <w:rPr>
          <w:rFonts w:ascii="Arial" w:cs="Arial" w:eastAsia="Arial" w:hAnsi="Arial"/>
          <w:sz w:val="18"/>
          <w:szCs w:val="18"/>
          <w:color w:val="auto"/>
        </w:rPr>
        <w:t>) with direct report to the Board of Directors of the Company;</w:t>
      </w:r>
    </w:p>
    <w:p>
      <w:pPr>
        <w:spacing w:after="0" w:line="225" w:lineRule="exact"/>
        <w:rPr>
          <w:rFonts w:ascii="Arial" w:cs="Arial" w:eastAsia="Arial" w:hAnsi="Arial"/>
          <w:sz w:val="18"/>
          <w:szCs w:val="18"/>
          <w:i w:val="1"/>
          <w:iCs w:val="1"/>
          <w:color w:val="auto"/>
        </w:rPr>
      </w:pPr>
    </w:p>
    <w:p>
      <w:pPr>
        <w:ind w:left="660" w:right="360" w:hanging="652"/>
        <w:spacing w:after="0" w:line="277" w:lineRule="auto"/>
        <w:tabs>
          <w:tab w:leader="none" w:pos="660" w:val="left"/>
        </w:tabs>
        <w:numPr>
          <w:ilvl w:val="0"/>
          <w:numId w:val="110"/>
        </w:numPr>
        <w:rPr>
          <w:rFonts w:ascii="Arial" w:cs="Arial" w:eastAsia="Arial" w:hAnsi="Arial"/>
          <w:sz w:val="18"/>
          <w:szCs w:val="18"/>
          <w:i w:val="1"/>
          <w:iCs w:val="1"/>
          <w:color w:val="auto"/>
        </w:rPr>
      </w:pPr>
      <w:r>
        <w:rPr>
          <w:rFonts w:ascii="Arial" w:cs="Arial" w:eastAsia="Arial" w:hAnsi="Arial"/>
          <w:sz w:val="18"/>
          <w:szCs w:val="18"/>
          <w:color w:val="auto"/>
        </w:rPr>
        <w:t>reimbursement of reasonable expenses incurred in the performance of work duties, health benefits and, subject to the approval of the board of directors, a grant of an equity award under an equity incentive plan to be adopted after the offering;</w:t>
      </w:r>
    </w:p>
    <w:p>
      <w:pPr>
        <w:spacing w:after="0" w:line="170" w:lineRule="exact"/>
        <w:rPr>
          <w:rFonts w:ascii="Arial" w:cs="Arial" w:eastAsia="Arial" w:hAnsi="Arial"/>
          <w:sz w:val="18"/>
          <w:szCs w:val="18"/>
          <w:i w:val="1"/>
          <w:iCs w:val="1"/>
          <w:color w:val="auto"/>
        </w:rPr>
      </w:pPr>
    </w:p>
    <w:p>
      <w:pPr>
        <w:ind w:left="660" w:right="120" w:hanging="652"/>
        <w:spacing w:after="0" w:line="259" w:lineRule="auto"/>
        <w:tabs>
          <w:tab w:leader="none" w:pos="660" w:val="left"/>
        </w:tabs>
        <w:numPr>
          <w:ilvl w:val="0"/>
          <w:numId w:val="110"/>
        </w:numPr>
        <w:rPr>
          <w:rFonts w:ascii="Arial" w:cs="Arial" w:eastAsia="Arial" w:hAnsi="Arial"/>
          <w:sz w:val="18"/>
          <w:szCs w:val="18"/>
          <w:i w:val="1"/>
          <w:iCs w:val="1"/>
          <w:color w:val="auto"/>
        </w:rPr>
      </w:pPr>
      <w:r>
        <w:rPr>
          <w:rFonts w:ascii="Arial" w:cs="Arial" w:eastAsia="Arial" w:hAnsi="Arial"/>
          <w:sz w:val="18"/>
          <w:szCs w:val="18"/>
          <w:color w:val="auto"/>
        </w:rPr>
        <w:t>in case of Change of Control (as defined in the relevant agreement), in the event of termination not for “cause” by the Company or of resignation for “cause” by the executive (such terms as understood in accordance with Article 2119 of the Italian Civil Code), the executive shall be entitled to receive a cash payment equal to three times such individual’s then-current annual base salary (such indemnity will replace any indemnity provided for by the applicable National Collective Labour Agreement in case of termination);</w:t>
      </w:r>
    </w:p>
    <w:p>
      <w:pPr>
        <w:spacing w:after="0" w:line="213" w:lineRule="exact"/>
        <w:rPr>
          <w:rFonts w:ascii="Arial" w:cs="Arial" w:eastAsia="Arial" w:hAnsi="Arial"/>
          <w:sz w:val="18"/>
          <w:szCs w:val="18"/>
          <w:i w:val="1"/>
          <w:iCs w:val="1"/>
          <w:color w:val="auto"/>
        </w:rPr>
      </w:pPr>
    </w:p>
    <w:p>
      <w:pPr>
        <w:ind w:left="660" w:right="60" w:hanging="652"/>
        <w:spacing w:after="0" w:line="308" w:lineRule="auto"/>
        <w:tabs>
          <w:tab w:leader="none" w:pos="660" w:val="left"/>
        </w:tabs>
        <w:numPr>
          <w:ilvl w:val="0"/>
          <w:numId w:val="110"/>
        </w:numPr>
        <w:rPr>
          <w:rFonts w:ascii="Arial" w:cs="Arial" w:eastAsia="Arial" w:hAnsi="Arial"/>
          <w:sz w:val="17"/>
          <w:szCs w:val="17"/>
          <w:i w:val="1"/>
          <w:iCs w:val="1"/>
          <w:color w:val="auto"/>
        </w:rPr>
      </w:pPr>
      <w:r>
        <w:rPr>
          <w:rFonts w:ascii="Arial" w:cs="Arial" w:eastAsia="Arial" w:hAnsi="Arial"/>
          <w:sz w:val="17"/>
          <w:szCs w:val="17"/>
          <w:color w:val="auto"/>
        </w:rPr>
        <w:t>non-competition and non-solicitation obligations of the executive for a 12 months period after the termination of the employment in consideration for compensation equal to 12 months after termination at the executive’s then-current monthly base salary for each obligation;</w:t>
      </w:r>
    </w:p>
    <w:p>
      <w:pPr>
        <w:spacing w:after="0" w:line="146" w:lineRule="exact"/>
        <w:rPr>
          <w:rFonts w:ascii="Arial" w:cs="Arial" w:eastAsia="Arial" w:hAnsi="Arial"/>
          <w:sz w:val="17"/>
          <w:szCs w:val="17"/>
          <w:i w:val="1"/>
          <w:iCs w:val="1"/>
          <w:color w:val="auto"/>
        </w:rPr>
      </w:pPr>
    </w:p>
    <w:p>
      <w:pPr>
        <w:jc w:val="both"/>
        <w:ind w:left="660" w:right="320"/>
        <w:spacing w:after="0" w:line="342" w:lineRule="auto"/>
        <w:rPr>
          <w:rFonts w:ascii="Arial" w:cs="Arial" w:eastAsia="Arial" w:hAnsi="Arial"/>
          <w:sz w:val="17"/>
          <w:szCs w:val="17"/>
          <w:i w:val="1"/>
          <w:iCs w:val="1"/>
          <w:color w:val="auto"/>
        </w:rPr>
      </w:pPr>
      <w:r>
        <w:rPr>
          <w:rFonts w:ascii="Arial" w:cs="Arial" w:eastAsia="Arial" w:hAnsi="Arial"/>
          <w:sz w:val="16"/>
          <w:szCs w:val="16"/>
          <w:color w:val="auto"/>
        </w:rPr>
        <w:t>Such agreement has a term commencing on the date of consummation of this offering and continuing until terminated, among other things, (a) upon death of the executive, (b) for just cause, (c) with objective or subjective reason, (d) by resignation of the executive, or (e) voluntarily by</w:t>
      </w:r>
    </w:p>
    <w:p>
      <w:pPr>
        <w:sectPr>
          <w:pgSz w:w="11900" w:h="16838" w:orient="portrait"/>
          <w:cols w:equalWidth="0" w:num="1">
            <w:col w:w="11220"/>
          </w:cols>
          <w:pgMar w:left="320" w:top="715" w:right="359" w:bottom="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mutual agreement between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New Consultancy Agreements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Messrs. Squinto and Marucci have entered into consultancy agreements in connection with their appointment to the board of directors in order to support the development and growth of the Company. The agreements provide for gross compensations of $25,000 (Mr. Squinto) and $11,875 (Mr. Marucci) per quarter (pro rated for partial quarters). The consultant will be fully and solely responsible for the payment of all tax and/or social security charges and will not be entitled to expenses reimbursement. These agreements have a term of three years, but are subject to termination at the option of either party by written notice given at least 15 days prior to each anniversary of the date of effectiveness of the agreement).</w:t>
      </w:r>
    </w:p>
    <w:p>
      <w:pPr>
        <w:spacing w:after="0" w:line="19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Messrs. Alexander Ross, Brad Loncar and Gaurav Shah have entered into consultancy agreements for the activity of support the development and the growth of the Company in the US market. All agreements provide for a gross compensation of USD 30,000 for the 12-months’ period of duration of the agreements and a specific no-conflict clause towards the Company.</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25" w:right="37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or before the time of effectiveness of this registration statement, an indemnification agreement with our directors and executive officers will be entered into. The indemnification agreement requires us to indemnify our directors and executive officers to the fullest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Company and (iii) officers and directors are held liable towards the Company.</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Share Capital</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Since our founding, we have obtained equity financing in an aggregate amount of approximately €35.1 million in four separate rounds based on the credentials and reputation of our founders and management team and our relationship with SR-TIGET, OSR, and Telethon Institute for Gene Therapy.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its organization in July 2014, the Company was capitalized with €11,650 through the issuance of the following quotas: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5600" w:type="dxa"/>
            <w:vAlign w:val="bottom"/>
            <w:gridSpan w:val="2"/>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Ospedale San Raffaele</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4,754.37</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1520" w:type="dxa"/>
            <w:vAlign w:val="bottom"/>
          </w:tcPr>
          <w:p>
            <w:pPr>
              <w:jc w:val="right"/>
              <w:spacing w:after="0"/>
              <w:rPr>
                <w:sz w:val="20"/>
                <w:szCs w:val="20"/>
                <w:color w:val="auto"/>
              </w:rPr>
            </w:pPr>
            <w:r>
              <w:rPr>
                <w:rFonts w:ascii="Arial" w:cs="Arial" w:eastAsia="Arial" w:hAnsi="Arial"/>
                <w:sz w:val="18"/>
                <w:szCs w:val="18"/>
                <w:color w:val="auto"/>
              </w:rPr>
              <w:t>5,703.84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Bernhard Gentner</w:t>
            </w:r>
          </w:p>
        </w:tc>
        <w:tc>
          <w:tcPr>
            <w:tcW w:w="1520" w:type="dxa"/>
            <w:vAlign w:val="bottom"/>
          </w:tcPr>
          <w:p>
            <w:pPr>
              <w:jc w:val="right"/>
              <w:spacing w:after="0"/>
              <w:rPr>
                <w:sz w:val="20"/>
                <w:szCs w:val="20"/>
                <w:color w:val="auto"/>
              </w:rPr>
            </w:pPr>
            <w:r>
              <w:rPr>
                <w:rFonts w:ascii="Arial" w:cs="Arial" w:eastAsia="Arial" w:hAnsi="Arial"/>
                <w:sz w:val="18"/>
                <w:szCs w:val="18"/>
                <w:color w:val="auto"/>
              </w:rPr>
              <w:t>397.26</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quotas held by Mr. Paracchi and OSR, on the one hand, and by Prof. Naldini and Dr. Gentner, on the other hand, were converted into class A and B quotas, respectively, in connection with our first round of equity financing approved by shareholders on December 23, 2014 (which resolution has been subsequently amended and restated), as follows:</w:t>
      </w:r>
    </w:p>
    <w:p>
      <w:pPr>
        <w:spacing w:after="0" w:line="211" w:lineRule="exact"/>
        <w:rPr>
          <w:sz w:val="20"/>
          <w:szCs w:val="20"/>
          <w:color w:val="auto"/>
        </w:rPr>
      </w:pPr>
    </w:p>
    <w:p>
      <w:pPr>
        <w:ind w:left="660" w:right="40" w:hanging="328"/>
        <w:spacing w:after="0" w:line="25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issuance of a maximum of €6,237.50 of class B quotas to Prof. Naldini and Dr. Gentner, directors, employees and other individuals in recognition of their contributions to the Company’s growth; and</w:t>
      </w:r>
    </w:p>
    <w:p>
      <w:pPr>
        <w:spacing w:after="0" w:line="1"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issuance of class C quotas (including class C quotas issuable upon conversion of convertible notes) for an aggregate amount equal to €10.0 million.</w:t>
      </w:r>
    </w:p>
    <w:p>
      <w:pPr>
        <w:spacing w:after="0" w:line="21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class C quotas were offered on the basis of a pre-money valuation of the Company of €20.0 million with assistance from Banca Esperia, the formerly Private Bank of Mediobanca, and purchased by accredited investors, including entrepreneurs, managers, and family offices, including affiliates of the Ferrari family, which controls FIS Holding, one of the leading manufacturers of pharmaceuticals in Europe, and an early investor in Advanced Accelerator Application (NASDAQ: AAAP) (“AAAP”), a biotech company later acquired by Novartis (NYSE: NVS) for $3.9 billion.</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connection with the class C quota offering, Roger Abravanel (former McKinsey &amp; Company director and board member of TEVA) joined the Company’s board of directors.</w:t>
      </w:r>
    </w:p>
    <w:p>
      <w:pPr>
        <w:spacing w:after="0" w:line="19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On June 27, 2017, our shareholders approved the issuance of class D quotas for an aggregate amount equal to €7.0 million on the basis of a pre-money valuation of the Company of €45.0 million. The class D quotas were purchased by Italian, British, and Swiss private investors, family offices, and angel investors, including FIDIM S.r.l., the holding company for the Rovati family, former owner of Rottapharm, which was acquired in 2014 by Meda/Mylan for $2.2 billion) (“FIDIM”), some other early investors in AAAP, and Mr. Giuseppe Vita, former Chairman of Schering-Plough.</w:t>
      </w:r>
    </w:p>
    <w:p>
      <w:pPr>
        <w:spacing w:after="0" w:line="184"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connection with the class D quota offering, Guido Guidi, then Head of Novartis in Europe joined the Company’s board of directors. During his tenure as Head of Novartis’ Oncology Europe division, Mr. Guidi led the development and launch of a number of highly successful products, such as Cosentyx, Entresto, Lucentis, Gilenya, Xolair, Ultibro, Seebri, Galvus, Exforge, Zometa, Femara and Glivec. At that time, Kenneth C. Anderson, Kraft Family Professor of Medicine at Harvard Medical School, President Elect of the American Society of Hematology, and Director of the Lebow Institute for Myeloma Therapeutics and the Jerome Lipper Myeloma Center at DanaFaber Cancer Institute, joined the Company’s Scientific Advisory Board.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60" w:name="page161"/>
    <w:bookmarkEnd w:id="160"/>
    <w:p>
      <w:pPr>
        <w:ind w:right="200" w:firstLine="648"/>
        <w:spacing w:after="0" w:line="279" w:lineRule="auto"/>
        <w:rPr>
          <w:sz w:val="20"/>
          <w:szCs w:val="20"/>
          <w:color w:val="auto"/>
        </w:rPr>
      </w:pPr>
      <w:r>
        <w:rPr>
          <w:rFonts w:ascii="Arial" w:cs="Arial" w:eastAsia="Arial" w:hAnsi="Arial"/>
          <w:sz w:val="17"/>
          <w:szCs w:val="17"/>
          <w:color w:val="auto"/>
        </w:rPr>
        <w:t>In August 2019, our shareholders approved the issuance of class E quotas for an aggregate amount equal €17.1 million, subscribed for €15.1 million, on the basis of a pre-money valuation of the Company of €70.0 million. The lead investor in the class E quota offering was Qianzhan Investment Management, a Shanghai based private company active in private equity and venture capital investments, and FIDIM. Qianzhan was an early investor in Tencent Music (NASDAQ: TME) and in pharmaceutical and biotech companies in China and in the U.S.</w:t>
      </w:r>
    </w:p>
    <w:p>
      <w:pPr>
        <w:spacing w:after="0" w:line="19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July 2020, our shareholders approved the issuance of an additional of class E quotas for an aggregate amount equal to € 1.5 million on the basis of a pre-money valuation of the Company of €90.0 million. The lead investor was GM Investimenti, a private company controlled by Giuseppe Miroglio, former CEO and current Chairman of Miroglio Group.</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tables below set forth the aggregate number of class B and D quotas issued and subscribed by related parties as part of the offerings described above. No related parties purchased class C or E quotas.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B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Luigi Naldini</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Bernhard Gentner</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1,396.5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1,396.5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Carlo Russo</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Roger Abravanel</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Luca Guidotti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Stefania Mazzoleni</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Aggregate Purchase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2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D Quotas (€)</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62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Roger Abravanel</w:t>
            </w:r>
          </w:p>
        </w:tc>
        <w:tc>
          <w:tcPr>
            <w:tcW w:w="1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Guido Guidi</w:t>
            </w:r>
          </w:p>
        </w:tc>
        <w:tc>
          <w:tcPr>
            <w:tcW w:w="3500" w:type="dxa"/>
            <w:vAlign w:val="bottom"/>
            <w:gridSpan w:val="3"/>
          </w:tcPr>
          <w:p>
            <w:pPr>
              <w:jc w:val="right"/>
              <w:spacing w:after="0"/>
              <w:rPr>
                <w:sz w:val="20"/>
                <w:szCs w:val="20"/>
                <w:color w:val="auto"/>
              </w:rPr>
            </w:pPr>
            <w:r>
              <w:rPr>
                <w:rFonts w:ascii="Arial" w:cs="Arial" w:eastAsia="Arial" w:hAnsi="Arial"/>
                <w:sz w:val="18"/>
                <w:szCs w:val="18"/>
                <w:color w:val="auto"/>
              </w:rPr>
              <w:t>17.29</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9" w:right="3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auto"/>
        </w:rPr>
        <w:t>DESCRIPTION OF SHARE CAPITAL AND GOVERNING DOCUMENTS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following description summarizes important terms of our capital stock and certain provisions of our articles of association and by-laws, each of which will be in effect upon the closing of this offering. Copies of these documents will be filed with the SEC as exhibits to our registration statement, of which this prospectus forms a part. The description of our capital stock reflects the completion of the Corporate Conversion that occurred in May 2021.</w:t>
      </w:r>
    </w:p>
    <w:p>
      <w:pPr>
        <w:spacing w:after="0" w:line="17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the date of filing of this prospectus our authorized capital stock is equal to Euro 50,000 represented by 15,000,000 ordinary shares with no par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preference shares are designated, issued or outstanding.</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is a summary of certain information concerning our ordinary shares and bylaws (</w:t>
      </w:r>
      <w:r>
        <w:rPr>
          <w:rFonts w:ascii="Arial" w:cs="Arial" w:eastAsia="Arial" w:hAnsi="Arial"/>
          <w:sz w:val="18"/>
          <w:szCs w:val="18"/>
          <w:i w:val="1"/>
          <w:iCs w:val="1"/>
          <w:color w:val="auto"/>
        </w:rPr>
        <w:t>Statuto</w:t>
      </w:r>
      <w:r>
        <w:rPr>
          <w:rFonts w:ascii="Arial" w:cs="Arial" w:eastAsia="Arial" w:hAnsi="Arial"/>
          <w:sz w:val="18"/>
          <w:szCs w:val="18"/>
          <w:color w:val="auto"/>
        </w:rPr>
        <w:t>), as well as Italian law provisions applicable to companies like ours whose shares are not listed in a “regulated market” within the European Union, as in effect at the date of this prospectus. The summary contains such information as we consider material regarding the ordinary shares but does not purport to be complete and is qualified in its entirety by reference to our bylaws or Italian law, as the case may be.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Italian law, most of the procedures regulating our Company, including certain rights of shareholders, are contained in our bylaws.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Amendments to our bylaws must be approved at an extraordinary meeting of shareholders, as described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Authorization of shares</w:t>
      </w:r>
    </w:p>
    <w:p>
      <w:pPr>
        <w:spacing w:after="0" w:line="2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Our shareholders may authorize the issuance of additional shares at any time at an extraordinary shareholders’ meeting. However, the newly issued shares may not be purchased before all the outstanding shares (i.e., the shares already subscribed) are entirely paid for. Moreover, although Italian law generally provides shareholders with preemptive rights when new shares are issued for cash, it is possible, in certain case, for general meeting to exclude or limit preemptive rights. Such an exclusion of preemptive rights must be illustrated by the directors with a specific report which sets out the reasons for the exclusion or limitation of the pre-emptive right, or, if the exclusion derives from a contribution in kind, the reasons for such contribution in kind, and in any case the criteria adopted for determining the issue price. On May 20, 2021, our shareholders approved or delegated our board of directors to approve — several capital increases. In particular, the shareholders’ meeting unanimously resolved, </w:t>
      </w:r>
      <w:r>
        <w:rPr>
          <w:rFonts w:ascii="Arial" w:cs="Arial" w:eastAsia="Arial" w:hAnsi="Arial"/>
          <w:sz w:val="16"/>
          <w:szCs w:val="16"/>
          <w:i w:val="1"/>
          <w:iCs w:val="1"/>
          <w:color w:val="auto"/>
        </w:rPr>
        <w:t>inter alia</w:t>
      </w:r>
    </w:p>
    <w:p>
      <w:pPr>
        <w:spacing w:after="0" w:line="193" w:lineRule="exact"/>
        <w:rPr>
          <w:sz w:val="20"/>
          <w:szCs w:val="20"/>
          <w:color w:val="auto"/>
        </w:rPr>
      </w:pPr>
    </w:p>
    <w:p>
      <w:pPr>
        <w:ind w:left="660" w:right="60" w:hanging="328"/>
        <w:spacing w:after="0" w:line="253"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increase the share capital against payment in one or more instalments on a divisible basis, with the exclusion of the pre-emptive rights under Article 2441, paragraph 5, of Italian Civil Code, up to a maximum amount of € 115 million (including share premium), with allocation to capital of € 0.10 per share, by issuance of a maximum of 11.5 million new ordinary shares with no par value and with regular dividend entitlement, to the service of our initial public offering, granting authority to the board of directors to implement the proposed capital increase in one or more tranches, in the amounts quoted above, within the time limit of December 31, 2021, of which a maximum number of 10 million ordinary shares against a countervalue of € 100 million (including share premium), shall be issued to the service of the initial public offering; while a maximum number of 1.5 million ordinary shares (subject to the maximum limit of 15% of the number of shares actually used to the service of our initial public offering) against a countervalue of € 15 million (including share premium), shall be issued to the service of potential exercise of the over-allotment option (greenshoe);</w:t>
      </w:r>
    </w:p>
    <w:p>
      <w:pPr>
        <w:spacing w:after="0" w:line="155" w:lineRule="exact"/>
        <w:rPr>
          <w:rFonts w:ascii="Arial" w:cs="Arial" w:eastAsia="Arial" w:hAnsi="Arial"/>
          <w:sz w:val="18"/>
          <w:szCs w:val="18"/>
          <w:color w:val="auto"/>
        </w:rPr>
      </w:pPr>
    </w:p>
    <w:p>
      <w:pPr>
        <w:ind w:left="660" w:right="160" w:hanging="328"/>
        <w:spacing w:after="0" w:line="290"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grant to the board of directors the authority to approve the issuance of a maximum number of 0.5 million warrants to be granted free of charge to the Underwriters and to increase the share capital, on a divisible basis, to the service of warrants exercised by the Underwriters, by maximum par values of €5,000,000 (including share premium), with allocation to capital of €0.10 per share, by issuance of a further maximum number of 500,000 ordinary shares (subject to the maximum limit of 4% of the ADSs to service our initial public offering as well as criteria set forth in agreements executed by the Company in relation to our initial public offering), all represented by ADSs, to be issued by no later than December 31, 2021, being it specified that, if such increase is not fully subscribed within that time limit, the increase shall remain valid within the limits of the subscriptions collected; being it further specified that such capital increase shall be implemented, pursuant to the warrants regulation, by the board of directors duly authorized to set the issue price and the portions to be allocated to capital and to share premium; and</w:t>
      </w:r>
    </w:p>
    <w:p>
      <w:pPr>
        <w:spacing w:after="0" w:line="124" w:lineRule="exact"/>
        <w:rPr>
          <w:rFonts w:ascii="Arial" w:cs="Arial" w:eastAsia="Arial" w:hAnsi="Arial"/>
          <w:sz w:val="16"/>
          <w:szCs w:val="16"/>
          <w:color w:val="auto"/>
        </w:rPr>
      </w:pPr>
    </w:p>
    <w:p>
      <w:pPr>
        <w:ind w:left="660" w:right="20" w:hanging="328"/>
        <w:spacing w:after="0" w:line="269"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grant to the board of directors the authority, in accordance with Article 2443 of Italian Civil Code, to further increase the share capital against payment, in one or more instalments on a divisible basis, up to a maximum amount of €300,000,000 (including share premium), by issuance of a maximum number of 30,000,000 new ordinary shares with no par value and with regular dividend entitlement, also with the exclusion of pre-emptive rights or free of charge, in accordance with Article 2441, paragraphs 4, 5 and 8, of Italian Civil Code for a five-year period, also in support of third-party grants of participating interests and/or industrial and intellectual property rights and similar intangible assets (such as patents, marks and know-how) which can be granted and held by the board of directors itself in accordance to the scope of the corporate purpose, in addition to the authority, pursuant to Article 2420-</w:t>
      </w:r>
      <w:r>
        <w:rPr>
          <w:rFonts w:ascii="Arial" w:cs="Arial" w:eastAsia="Arial" w:hAnsi="Arial"/>
          <w:sz w:val="17"/>
          <w:szCs w:val="17"/>
          <w:i w:val="1"/>
          <w:iCs w:val="1"/>
          <w:color w:val="auto"/>
        </w:rPr>
        <w:t>ter</w:t>
      </w:r>
      <w:r>
        <w:rPr>
          <w:rFonts w:ascii="Arial" w:cs="Arial" w:eastAsia="Arial" w:hAnsi="Arial"/>
          <w:sz w:val="17"/>
          <w:szCs w:val="17"/>
          <w:color w:val="auto"/>
        </w:rPr>
        <w:t xml:space="preserve"> of Italian Civil Code, to issue convertible debentures in one or more instalments, convertible into ordinary shares, within the same aggregate maximum amount of €300,000,000 (including share premium), with consequent capital increase to the service of the conversion, also with the exclusion of pre-emptive rights in accordance with Article 2441, paragraphs 4, 5 and 8 of Italian Civil Code, likewise for a period of five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and transfer of shares</w:t>
      </w:r>
    </w:p>
    <w:p>
      <w:pPr>
        <w:spacing w:after="0" w:line="2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ordinary shares are not represented by share certificates (</w:t>
      </w:r>
      <w:r>
        <w:rPr>
          <w:rFonts w:ascii="Arial" w:cs="Arial" w:eastAsia="Arial" w:hAnsi="Arial"/>
          <w:sz w:val="16"/>
          <w:szCs w:val="16"/>
          <w:i w:val="1"/>
          <w:iCs w:val="1"/>
          <w:color w:val="auto"/>
        </w:rPr>
        <w:t>certificati azionari) as they are dematerialised (azioni dematerializzate</w:t>
      </w:r>
      <w:r>
        <w:rPr>
          <w:rFonts w:ascii="Arial" w:cs="Arial" w:eastAsia="Arial" w:hAnsi="Arial"/>
          <w:sz w:val="16"/>
          <w:szCs w:val="16"/>
          <w:color w:val="auto"/>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416" w:gutter="0" w:footer="0" w:header="0"/>
        </w:sectPr>
      </w:pPr>
    </w:p>
    <w:bookmarkStart w:id="162" w:name="page163"/>
    <w:bookmarkEnd w:id="162"/>
    <w:p>
      <w:pPr>
        <w:ind w:right="160" w:firstLine="648"/>
        <w:spacing w:after="0" w:line="254" w:lineRule="auto"/>
        <w:rPr>
          <w:sz w:val="20"/>
          <w:szCs w:val="20"/>
          <w:color w:val="auto"/>
        </w:rPr>
      </w:pPr>
      <w:r>
        <w:rPr>
          <w:rFonts w:ascii="Arial" w:cs="Arial" w:eastAsia="Arial" w:hAnsi="Arial"/>
          <w:sz w:val="18"/>
          <w:szCs w:val="18"/>
          <w:color w:val="auto"/>
        </w:rPr>
        <w:t>There are no limitations on the right to own or vote our ordinary shares, which applies to non-Italian residents and foreign residents except for Golden Power’s rules and Antitrust rule (see Section “Notification of Acquisition of Shares”).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252"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payment of any annual dividend must be proposed by our board of directors to the shareholders and is subject to the approval of our shareholders at the annual ordinary shareholders’ meeting. Before dividends may be paid out of our unconsolidated net income in any year, we must allocate an amount equal to 5% of the Italian GAAP net income to our legal reserve until such reserve is at least equal to 20% of our corporate capital. If a loss in our corporate capital occurs, we may not pay dividends until the capital is reconstituted or reduced by the amount of such losses. We may pay dividends out of available retained earnings from prior years, provided that after such payment, we will have a legal reserve at least equal to the legally required minimum of 20% of the corporate capital. We may not approve or pay dividends until this minimum (i.e., 20% of the capital) is met. If the minimum is met, the board of directors could propose the issuance of a dividend to the shareholders and the shareholders’ resolution might approve that issuance. The shareholders’ resolution will specify the manner and the date for dividend payment. Any dividends which shareholders do not collect within five years of the date on which they become payable will be forfeited by those shareholders and come back to us. The board of directors may not approve interim dividends at times between our annual ordinary shareholders’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Nasdaq rules, the Company is permitted, as a listed foreign private issuer, to adhere to the corporate governance rules of our home country in lieu of certain Nasdaq corporate governance rules.</w:t>
      </w:r>
    </w:p>
    <w:p>
      <w:pPr>
        <w:spacing w:after="0" w:line="19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Corporate governance rules for Italian corporations (</w:t>
      </w:r>
      <w:r>
        <w:rPr>
          <w:rFonts w:ascii="Arial" w:cs="Arial" w:eastAsia="Arial" w:hAnsi="Arial"/>
          <w:sz w:val="16"/>
          <w:szCs w:val="16"/>
          <w:i w:val="1"/>
          <w:iCs w:val="1"/>
          <w:color w:val="auto"/>
        </w:rPr>
        <w:t>società per azioni</w:t>
      </w:r>
      <w:r>
        <w:rPr>
          <w:rFonts w:ascii="Arial" w:cs="Arial" w:eastAsia="Arial" w:hAnsi="Arial"/>
          <w:sz w:val="16"/>
          <w:szCs w:val="16"/>
          <w:color w:val="auto"/>
        </w:rPr>
        <w:t>) like the Company provide that the Company can be managed by a board of directors (</w:t>
      </w:r>
      <w:r>
        <w:rPr>
          <w:rFonts w:ascii="Arial" w:cs="Arial" w:eastAsia="Arial" w:hAnsi="Arial"/>
          <w:sz w:val="16"/>
          <w:szCs w:val="16"/>
          <w:i w:val="1"/>
          <w:iCs w:val="1"/>
          <w:color w:val="auto"/>
        </w:rPr>
        <w:t>consiglio di amministrazione</w:t>
      </w:r>
      <w:r>
        <w:rPr>
          <w:rFonts w:ascii="Arial" w:cs="Arial" w:eastAsia="Arial" w:hAnsi="Arial"/>
          <w:sz w:val="16"/>
          <w:szCs w:val="16"/>
          <w:color w:val="auto"/>
        </w:rPr>
        <w:t>) and a separate board of statutory auditors (</w:t>
      </w:r>
      <w:r>
        <w:rPr>
          <w:rFonts w:ascii="Arial" w:cs="Arial" w:eastAsia="Arial" w:hAnsi="Arial"/>
          <w:sz w:val="16"/>
          <w:szCs w:val="16"/>
          <w:i w:val="1"/>
          <w:iCs w:val="1"/>
          <w:color w:val="auto"/>
        </w:rPr>
        <w:t>collegio sindacale</w:t>
      </w:r>
      <w:r>
        <w:rPr>
          <w:rFonts w:ascii="Arial" w:cs="Arial" w:eastAsia="Arial" w:hAnsi="Arial"/>
          <w:sz w:val="16"/>
          <w:szCs w:val="16"/>
          <w:color w:val="auto"/>
        </w:rPr>
        <w:t>) with supervisory functions concerning the compliance of the by-laws and Italian laws. The two boards are separate and no individual may be a member of both boards. Both the members of the board of directors and the members of the board of statutory auditors owe duties of loyalty and care to the Company. As required by Italian law, an external auditing firm (</w:t>
      </w:r>
      <w:r>
        <w:rPr>
          <w:rFonts w:ascii="Arial" w:cs="Arial" w:eastAsia="Arial" w:hAnsi="Arial"/>
          <w:sz w:val="16"/>
          <w:szCs w:val="16"/>
          <w:i w:val="1"/>
          <w:iCs w:val="1"/>
          <w:color w:val="auto"/>
        </w:rPr>
        <w:t>società di revisione</w:t>
      </w:r>
      <w:r>
        <w:rPr>
          <w:rFonts w:ascii="Arial" w:cs="Arial" w:eastAsia="Arial" w:hAnsi="Arial"/>
          <w:sz w:val="16"/>
          <w:szCs w:val="16"/>
          <w:color w:val="auto"/>
        </w:rPr>
        <w:t>) is in charge of auditing the Company’s financial statements. The members of the Company’s board of directors and board of statutory auditors, as well as the external auditor, are directly and separately appointed by shareholders’ resolution at the shareholders’ meetings.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board of director consists of seven members (see “Management” for additional information). Our board of directors is elected at an ordinary shareholders’ meeting for the period established at the time of election but in any case, for no longer than three fiscal years. Our directors, who may but are not required to be shareholders, may be reappointed for successive terms.</w:t>
      </w:r>
    </w:p>
    <w:p>
      <w:pPr>
        <w:spacing w:after="0" w:line="21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Following the expiration of the term of directors currently in office, future members of the board of directors will be elected by means of a slate voting mechanism. Slates may be submitted by shareholders representing, individually or collectively with other shareholders joining in the submission of the slate, at least 6% of the share capital eligible to vote at the shareholders’ meeting at which directors are to be elected, such eligibility to be established by filing with the Company a certification to that effect. The board of directors shall be elected as follows: (a) candidates for election as directors equal to the total number of seats on the board of directors minus one shall be drawn from the slate that has obtained the highest number of votes cast at the shareholders meeting (the Majority Slate), in the order in which their name is listed on the Majority Slate, (b) the first candidate listed on the slate that receives the second greatest number of votes cast (the Minority Slate) shall be elected as director so long as none of the shareholders joining in the submission of the Minority Slate has any connection whatsoever, whether directly or indirectly, with the shareholders who have submitted or voted the Majority Slate.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3" w:name="page164"/>
    <w:bookmarkEnd w:id="163"/>
    <w:p>
      <w:pPr>
        <w:jc w:val="both"/>
        <w:ind w:right="120" w:firstLine="648"/>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join in submitting, or cast their vote for more than one slate, including through a nominee or agent. Each candidate for election as director may only be listed on single slate and will be ineligible for election if named on multiple slates.</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directors to be filled as provided under clause (a) above, all candidates listed in the Majority Slate shall be elected as directors and the remaining directors shall be elected from the Minority Slate according to the order in which they are listed in such slate. The voting procedure according to slates described above shall be applicable only in case of election of the entire board of directors at the same shareholders’ meeting.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 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elected at the same shareholders’ meeting, or in case it is otherwise not possible for any reason to elect the board of directors in accordance with the provisions set out in our by-laws, the members of the board of directors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board of directors has all ordinary and extraordinary powers to manage our affairs as it deems advisable for the achievement of our corporate purposes, except for the actions reserved, by applicable law or the bylaws, to a vote of the shareholders at an ordinary or extraordinary shareholders’ meeting.</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we cannot repay our creditors, and a court determines that our directors did not perform their duties regarding the preservation of our assets, the court may find our directors liable to our creditors. However, the judgement on the director’s diligence in carrying out his or her mandate should never cover the management choices or the manner and circumstances of such choices, even if the same entail significant economic risks, but should cover only the diligence shown by the director in appreciating in advance the risk margins connected with the transaction to be undertaken, and therefore, the possible omission of those precautions, assessments and information normally required for a decision of that type, implemented in those circumstances and with those methods. Directors are liable to the company’s creditors when their improper management conduct impairs the company’s assets in such a way that the same may not be sufficient to satisfy creditors’ claims.</w:t>
      </w:r>
    </w:p>
    <w:p>
      <w:pPr>
        <w:spacing w:after="0" w:line="20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If a chairman (</w:t>
      </w:r>
      <w:r>
        <w:rPr>
          <w:rFonts w:ascii="Arial" w:cs="Arial" w:eastAsia="Arial" w:hAnsi="Arial"/>
          <w:sz w:val="16"/>
          <w:szCs w:val="16"/>
          <w:i w:val="1"/>
          <w:iCs w:val="1"/>
          <w:color w:val="auto"/>
        </w:rPr>
        <w:t>presidente</w:t>
      </w:r>
      <w:r>
        <w:rPr>
          <w:rFonts w:ascii="Arial" w:cs="Arial" w:eastAsia="Arial" w:hAnsi="Arial"/>
          <w:sz w:val="16"/>
          <w:szCs w:val="16"/>
          <w:color w:val="auto"/>
        </w:rPr>
        <w:t>) has not already been elected by the shareholders, the board of directors must appoint one. The board of directors may appoint a vice-chairman. The chairman of the board of directors is the legal representative of the Company. Our board of directors may delegate certain powers to one or more managing directors (</w:t>
      </w:r>
      <w:r>
        <w:rPr>
          <w:rFonts w:ascii="Arial" w:cs="Arial" w:eastAsia="Arial" w:hAnsi="Arial"/>
          <w:sz w:val="16"/>
          <w:szCs w:val="16"/>
          <w:i w:val="1"/>
          <w:iCs w:val="1"/>
          <w:color w:val="auto"/>
        </w:rPr>
        <w:t>amministratori delegati</w:t>
      </w:r>
      <w:r>
        <w:rPr>
          <w:rFonts w:ascii="Arial" w:cs="Arial" w:eastAsia="Arial" w:hAnsi="Arial"/>
          <w:sz w:val="16"/>
          <w:szCs w:val="16"/>
          <w:color w:val="auto"/>
        </w:rPr>
        <w:t>), determine the nature and scope of the powers delegated to each such managing director and revoke such delegation at any time. Any managing director shall report to the board of directors and the board of statutory auditors at least every 180 days on the Company’s business and the principal business carried out by the Company or by its subsidiaries. Our board of directors may also appoint one or more general managers (</w:t>
      </w:r>
      <w:r>
        <w:rPr>
          <w:rFonts w:ascii="Arial" w:cs="Arial" w:eastAsia="Arial" w:hAnsi="Arial"/>
          <w:sz w:val="16"/>
          <w:szCs w:val="16"/>
          <w:i w:val="1"/>
          <w:iCs w:val="1"/>
          <w:color w:val="auto"/>
        </w:rPr>
        <w:t>direttori generali</w:t>
      </w:r>
      <w:r>
        <w:rPr>
          <w:rFonts w:ascii="Arial" w:cs="Arial" w:eastAsia="Arial" w:hAnsi="Arial"/>
          <w:sz w:val="16"/>
          <w:szCs w:val="16"/>
          <w:color w:val="auto"/>
        </w:rPr>
        <w:t>) who must report directly to the board and may delegate authority for specific matters or categories of matters to employees of the Company or persons unaffiliated with the Company. The general managers may be employees, and the board of directors may delegate certain powers to general managers that the board has not already delegated to managing directors or an executive committee, subject to the following limitations: under Italian law, the board of directors may not delegate to officers or employees of the Company certain responsibilities, including the preparation and approval of draft financial statements, the approval of merger and de-merger plans to be presented to shareholders’ meetings, increases in the amount of our share capital or the issuance of convertible debentures (if any of such powers has been delegated to our board of directors by our shareholders at an extraordinary shareholders’ meeting).</w:t>
      </w:r>
    </w:p>
    <w:p>
      <w:pPr>
        <w:spacing w:after="0" w:line="19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spacing w:after="0" w:line="19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Italian law, the members of the board of directors must perform the duties imposed on them by law and company’s bylaws with the degree of diligence that is required by the nature of their office and pursuant to their specific level of competence.</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Meetings of our board of directors are called with no less than four days’ notice or, in case of urgency, at least one day’s notice given by registered letter or e-mail sent by the chairman, the deputy chairman or a managing director. Statutory auditors are normally required to attend meetings of the board of directors, but if a meeting has been duly called, the board of directors may validly take action at the meeting even if the board of statutory auditors does not participate. If the meeting has not been duly called, the meeting is nevertheless validly constituted if all of the directors in office and all of the statutory auditors are in attendance.</w:t>
      </w:r>
    </w:p>
    <w:p>
      <w:pPr>
        <w:spacing w:after="0" w:line="21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Meetings of our board of directors may be held in person, or by audio-conference or video-conference, in Italy and in any member state of the European Union or the United States. The quorum for meetings of our board of directors is a majority of the directors in office. Resolutions are adopted by the vote of the majority of the directors in attendance at a meeting at which a quorum is met.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64" w:name="page165"/>
    <w:bookmarkEnd w:id="164"/>
    <w:p>
      <w:pPr>
        <w:ind w:right="300" w:firstLine="648"/>
        <w:spacing w:after="0" w:line="286" w:lineRule="auto"/>
        <w:rPr>
          <w:sz w:val="20"/>
          <w:szCs w:val="20"/>
          <w:color w:val="auto"/>
        </w:rPr>
      </w:pPr>
      <w:r>
        <w:rPr>
          <w:rFonts w:ascii="Arial" w:cs="Arial" w:eastAsia="Arial" w:hAnsi="Arial"/>
          <w:sz w:val="17"/>
          <w:szCs w:val="17"/>
          <w:color w:val="auto"/>
        </w:rPr>
        <w:t>Our directors are not subject to the non-compete obligations provided by Italian law. As a result, our directors may (i) be equity holders in competing companies, including entities where they have unlimited liability, (ii) exercise in person or on behalf of third parties activities in competition with that of the Company, and (iii) be elected as directors of, or act as general managers (</w:t>
      </w:r>
      <w:r>
        <w:rPr>
          <w:rFonts w:ascii="Arial" w:cs="Arial" w:eastAsia="Arial" w:hAnsi="Arial"/>
          <w:sz w:val="17"/>
          <w:szCs w:val="17"/>
          <w:i w:val="1"/>
          <w:iCs w:val="1"/>
          <w:color w:val="auto"/>
        </w:rPr>
        <w:t>direttori generali</w:t>
      </w:r>
      <w:r>
        <w:rPr>
          <w:rFonts w:ascii="Arial" w:cs="Arial" w:eastAsia="Arial" w:hAnsi="Arial"/>
          <w:sz w:val="17"/>
          <w:szCs w:val="17"/>
          <w:color w:val="auto"/>
        </w:rPr>
        <w:t>) in, competing companies.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Under Italian law, directors having any interest in a proposed transaction must disclose their interest to the board of directors and to the board of statutory auditors, even if such interest is not in conflict with the Company’s interest in the same transaction. The interested director is not required to abstain from voting on the resolution approving the transaction, but the resolution must state explicitly the reasons for, and the benefit to us of, the approved transaction. If these provisions are not complied with, or if the transaction would not have been approved without the vote of the interested director, the resolution may be challenged by a director or by our board of statutory auditors if the approved transaction may be prejudicial to us. A director having any interest in a proposed transaction that he or she has authority to approve must solicit prior board approval of such transaction. The interested director may be held liable for damages to us resulting from a resolution adopted in breach of the above rules. Finally, directors may be held liable for damages to us if they illicitly profit from insider information or corporate opportunities.</w:t>
      </w:r>
    </w:p>
    <w:p>
      <w:pPr>
        <w:spacing w:after="0" w:line="205"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color w:val="auto"/>
        </w:rPr>
        <w:t>Our board of directors may transfer the Company’s registered office within Italy, set up and eliminate secondary offices and, if the company’s bylaws (as in our case) so provide, approve mergers by absorption into the Company of any subsidiary in which the Company holds at least 90% of the issued share capital. Our board of directors may also approve the issuance of shares or convertible debentures and reductions of the Company’s share capital in the case of withdrawal of a shareholder if so authorized by the Company’s extraordinary shareholders’ meeting.</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Under Italian law, directors may be removed from office at any time by the vote of shareholders at any shareholders’ meeting. Whilst the removal is immediately effective within the company, it is effective </w:t>
      </w:r>
      <w:r>
        <w:rPr>
          <w:rFonts w:ascii="Arial" w:cs="Arial" w:eastAsia="Arial" w:hAnsi="Arial"/>
          <w:sz w:val="17"/>
          <w:szCs w:val="17"/>
          <w:i w:val="1"/>
          <w:iCs w:val="1"/>
          <w:color w:val="auto"/>
        </w:rPr>
        <w:t>vis-à-vis</w:t>
      </w:r>
      <w:r>
        <w:rPr>
          <w:rFonts w:ascii="Arial" w:cs="Arial" w:eastAsia="Arial" w:hAnsi="Arial"/>
          <w:sz w:val="17"/>
          <w:szCs w:val="17"/>
          <w:color w:val="auto"/>
        </w:rPr>
        <w:t xml:space="preserve"> third parties only upon entry of the relevant resolution in the companies register. The resolution of the shareholders’ meeting in favor of a liability suit against a director and the occurrence of causes of ineligibility constitute just cause for removal. If the removal of a director occurs without just cause, such director may have a claim for damages against us. These damages may include, but are not limited to, compensation that would otherwise have been paid to the director for the remainder of his or her term and damage to his or her reputation. Directors may resign at any time by written notice to the board of directors and to the chairman of the board of statutory auditors. The board of directors must appoint substitute directors to fill vacancies arising from the removal or resignation of any director, subject to the approval of the board of statutory auditors, to serve until the next shareholders’ meeting. If, at any time, more than half of the members of our board of directors appointed by the shareholders’ meeting of the Company resign, such resignation is ineffective until the majority of the new board of directors has been appointed. In such a case, the remaining members of the board of directors (or the board of statutory auditors if all members of the board of directors have resigned or cease to be directors) must promptly call a shareholders’ meeting to elect new directors.</w:t>
      </w:r>
    </w:p>
    <w:p>
      <w:pPr>
        <w:spacing w:after="0" w:line="20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Compensation, Nomination and Governance Committee will recommend the compensation of our directors to the board of directors, which in turn will make recommendations to our shareholders. Under Italian law, our shareholders determine the compensation of our directors relating to basic board service, such as annual fees for serving on the board and/or fees for attending board meetings. The board of directors, after consultation with the board of statutory auditors, may determine the remuneration of directors that serve on the various board committees and/or perform management or other special services for the Company, such as managing directors and general directors. Our directors are entitled to reimbursement for expenses incurred in connection with their service as directors, such as travel expenses to attend board meetings.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auditors</w:t>
      </w:r>
    </w:p>
    <w:p>
      <w:pPr>
        <w:spacing w:after="0" w:line="252"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The board of statutory auditors (</w:t>
      </w:r>
      <w:r>
        <w:rPr>
          <w:rFonts w:ascii="Arial" w:cs="Arial" w:eastAsia="Arial" w:hAnsi="Arial"/>
          <w:sz w:val="17"/>
          <w:szCs w:val="17"/>
          <w:i w:val="1"/>
          <w:iCs w:val="1"/>
          <w:color w:val="auto"/>
        </w:rPr>
        <w:t>Collegio Sindacale</w:t>
      </w:r>
      <w:r>
        <w:rPr>
          <w:rFonts w:ascii="Arial" w:cs="Arial" w:eastAsia="Arial" w:hAnsi="Arial"/>
          <w:sz w:val="17"/>
          <w:szCs w:val="17"/>
          <w:color w:val="auto"/>
        </w:rPr>
        <w:t>) is elected by the shareholders and must be comprised of individuals qualified to act in such capacity under Italian law. Statutory auditors are elected for a term of three fiscal years, they may be re-elected for successive terms and may be removed only for cause and with the approval of a competent court. Each member of the board of statutory auditors must provide evidence that such individual is qualified to act in such capacity under Italian law and meets certain professional standards.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5" w:name="page166"/>
    <w:bookmarkEnd w:id="165"/>
    <w:p>
      <w:pPr>
        <w:ind w:right="200" w:firstLine="648"/>
        <w:spacing w:after="0" w:line="259" w:lineRule="auto"/>
        <w:rPr>
          <w:sz w:val="20"/>
          <w:szCs w:val="20"/>
          <w:color w:val="auto"/>
        </w:rPr>
      </w:pPr>
      <w:r>
        <w:rPr>
          <w:rFonts w:ascii="Arial" w:cs="Arial" w:eastAsia="Arial" w:hAnsi="Arial"/>
          <w:sz w:val="18"/>
          <w:szCs w:val="18"/>
          <w:color w:val="auto"/>
        </w:rPr>
        <w:t>Under Italian law, at least one standing statutory auditor and one substitute statutory auditor must be chosen among persons registered with the Register of Auditors established with the Italian Ministry of Justice. The other statutory auditors shall be chosen among those registered with any register established by decree of the Ministry of Justice or among University professors in economics or law, if they are not registered with the Register of Auditors. The following persons may not serve as statutory auditors:</w:t>
      </w:r>
    </w:p>
    <w:p>
      <w:pPr>
        <w:spacing w:after="0" w:line="214"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person legally incapacitated, bankrupt, or disqualified from holding public or an executive office under Italian law;</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spouse, parent or relative-in-law of a director of the company or an affiliate of the company; and</w:t>
      </w:r>
    </w:p>
    <w:p>
      <w:pPr>
        <w:spacing w:after="0" w:line="184"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person whose independence may be impaired due to an employment or consulting relationship or any other economic relationship with the company or an affiliate of the company.</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bylaws currently provides that the board of statutory auditors shall consist of three standing statutory auditors and two alternate auditors (who will automatically replace a statutory auditor who resigns or is otherwise unable to serve).</w:t>
      </w:r>
    </w:p>
    <w:p>
      <w:pPr>
        <w:spacing w:after="0" w:line="19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Following the expiration of the members of the board of statutory auditors currently in office, future members will be elected by means of a slate voting mechanism: slates may be submitted by shareholders representing, individually or collectively with other shareholders joining in the submission of the slate, at least 6% of share capital eligible to vote at the shareholders’ meeting at which auditors are to be elected, such eligibility to be established by filing with the Company an appropriate certification to that effect. The slates of candidates shall be split into two sections, one for candidates for the position of statutory auditor and one for candidates for the position of alternate auditor. According to the Company’s bylaws, the board of statutory auditors will be elected as follows: (a) two statutory auditors and one alternate auditor shall be drawn from the slate that has obtained the highest number of votes on the shareholders meeting (the Majority Slate), in the order in which their name is listed in the Majority Slate, and(b) the remaining statutory auditor (who will act as President of the board of statutory auditors) and alternate auditor shall be drawn from the slate that receives the second greatest number of votes cast (the Minority Slate) so long as none of the shareholders joining in the submission of the Minority Slate has any connection whatsoever, whether directly or indirectly, with the shareholders who have submitted or voted the Majority Slate.</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Each shareholder and shareholders belonging to the same group shall not submit, or contribute join in submitting, or cast their vote for more than one slate, including through a nominee or agent. Each candidate for election as statutory auditor or alternate auditor may only be listed on single slate and will be ineligible for election if named on multiple slates.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the event that the Majority Slate does not contain a sufficient number of candidates to fill the number of vacancies on the board of statutory auditors to be filled as provided under paragraph (a) above, all candidates listed in the Majority Slate shall be elected statutory auditors and the remaining statutory auditors shall be drawn from the Minority Slate according to the order in which they are listed in such slate. The voting procedure according to slates provided above shall be applicable only in case of election of the entire board of statutory auditors. In the event of a tie between slates, a new vote shall be taken and the candidates obtaining the largest number of votes shall be elected without regard to the slate on which they are listed or application of the slate voting mechanism. Should a single slate be submitted, the shareholders eligible to vote at the meeting shall cast their vote on such slate and, so long as more votes are cast for such slate than votes cast against such slate, all the members of the board of statutory auditors shall be elected from that slate in accordance with applicable law at the time. If no slates are submitted, or a single slate is submitted and such slate does not obtain the requisite number of votes, or the number of statutory auditors to be elected on the basis of the slates submitted is less than the full number of statutory auditors to be elected, or the board of statutory auditors is not to be entirely elected, or it is otherwise not possible for any reason to elect the board of statutory auditors in accordance with the provisions of this title, the members of the board of statutory auditors shall be elected at the shareholders’ meeting in accordance with generally applicable procedures and required majorities under applicable law, without application of the slate voting mechanism.</w:t>
      </w:r>
    </w:p>
    <w:p>
      <w:pPr>
        <w:spacing w:after="0" w:line="168"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In the event of the resignation or removal termination of a member of the board of statutory auditors who was drawn from the Majority Slate or from the Minority Slate, as the case may be, alternate statutory auditors drawn from the same slate shall fill the vacancy, with older alternates being seated before younger alternates, subject to compliance with the requirements of our bylaws regarding the composition of the board of statutory auditors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statutory auditors is required, among other things, to verify that we:</w:t>
      </w:r>
    </w:p>
    <w:p>
      <w:pPr>
        <w:spacing w:after="0" w:line="252"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comply with applicable laws and our bylaws;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respect principles of good governance;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maintain adequate organizational structure, internal controls and administrative and accounting system.</w:t>
      </w:r>
    </w:p>
    <w:p>
      <w:pPr>
        <w:spacing w:after="0" w:line="252"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The board of statutory auditors is required to meet at least once every ninety days and is expected to attend meetings of our board of directors and our shareholders. In case a statutory auditor, without just cause, does not attend the shareholders’ meetings or does not attend two consecutive meetings of the board of directors or of the board of statutory auditors during the same fiscal year, such statutory auditor shall automatically be removed from office.</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statutory auditors may decide to call a shareholders’ meeting, ask for information about our management from our directors, carry out inspections and verifications at our offices and exchange information with our external auditors. Any shareholder may submit a complaint to our board of statutory auditors regarding facts that the shareholder believes should be investigated and if shareholders collectively representing 5% of our corporate capital, or 2% of the corporate capital should our company be classified as an Open Company (as defined in Section “Applicable Laws”), submit such a complaint, our board of statutory auditors must promptly undertake an investigation and present its findings and any recommendations to a shareholders’ meeting (which must be convened immediately if the complaint appears to have a reasonable basis and there is an urgent need to take action). Our board of statutory auditors may report serious breaches of directors’ duties to a competent court which then may take such actions as inspecting the company’s operations, removing directors, appointing temporary administrators to manage the company or any other actions that the court feels is necessary to preserve the value of our company for our creditors and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578"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External auditor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Mayer Hoffman McCann, P.C. remains the PCAOB-registered, independent registered public accounting firm for the purposes of all of our filings in the United States; however, Italian law requires us to appoint an external auditor or a firm of external auditors (</w:t>
      </w:r>
      <w:r>
        <w:rPr>
          <w:rFonts w:ascii="Arial" w:cs="Arial" w:eastAsia="Arial" w:hAnsi="Arial"/>
          <w:sz w:val="18"/>
          <w:szCs w:val="18"/>
          <w:i w:val="1"/>
          <w:iCs w:val="1"/>
          <w:color w:val="auto"/>
        </w:rPr>
        <w:t>revisore legale dei conti</w:t>
      </w:r>
      <w:r>
        <w:rPr>
          <w:rFonts w:ascii="Arial" w:cs="Arial" w:eastAsia="Arial" w:hAnsi="Arial"/>
          <w:sz w:val="18"/>
          <w:szCs w:val="18"/>
          <w:color w:val="auto"/>
        </w:rPr>
        <w:t>), each of them qualified to act in such capacity under Italian law, to verify during the fiscal year that our accounting records are correctly kept and accurately reflect our activities, and to audit our financial statements for statutory filings.This is separate and apart from the work of Mayer Hoffman McCann, P.C. The Italian external auditor’s opinion on the financial statements must be published in Italy.</w:t>
      </w:r>
    </w:p>
    <w:p>
      <w:pPr>
        <w:spacing w:after="0" w:line="21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Italian external auditor is appointed for a three-year term by the vote of our shareholders at an ordinary shareholders’ meeting. Once appointed, the shareholders may remove the auditors only for cause and with the approval of the board of statutory auditors and of a competent court. Following removal, the Company and the external auditor or auditing firm must timely inform the Italian Ministry of Economics and Finance, explaining the reasons justifying the removal. In case we are considered an Open Company, such communication must be notified also to Consob.</w:t>
      </w:r>
    </w:p>
    <w:p>
      <w:pPr>
        <w:spacing w:after="0" w:line="198"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On May 20, 2021, our shareholders appointed Kreston GV Italy – Audit S.r.l., subject to the effective listing of the Company on the Nasdaq Capital Market, as our Italian external auditors for three-year term expiring at the time of the annual shareholders meeting to approve the financial statement for the financial year ending on December 31,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are entitled to attend and vote at ordinary and extraordinary shareholders’ meetings. Votes may be cast personally or by proxy. Shareholders’ meetings may be called by the board of directors (or by the board of statutory auditors) and must be called if requested by holders of at least 10% of the outstanding shares. Shareholders are not entitled to request that a meeting of shareholders be convened to vote on issues which as a matter of law fall within the authority of the board of directors. If the shareholders’ meeting is not called despite a shareholders’ request and such refusal is unjustified, a competent court may call the meeting.</w:t>
      </w:r>
    </w:p>
    <w:p>
      <w:pPr>
        <w:spacing w:after="0" w:line="21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hold meetings of shareholders at our registered office, or elsewhere within Italy and any member state of the European Union or in the United States. Our bylaws provides that shareholders’ meetings, both ordinary and extraordinary, shall be called by notice published in the Italian daily newspaper “Il Sole 24 Ore” at least 15 days prior to the date of the meeting or otherwise given by our Company, provided that so long as the Company is allowed by applicable Italian law, by sending, either in the alternative or in addition to the foregoing published notice, a notice to the shareholders, to the members of the board of directors and to the members of the board of statutory auditors, by: (a) registered mail with return receipt requested; (b) e-mail with electronic acknowledgment of receipt; as long as the notice is received by the addressee at least eight calendar days before the date set for the meeting with evidence thereof as provided above. The notice shall also be posted on our Company’s web site. However, if the above procedures are not complied with, the shareholders’ meeting will still be deemed validly held if all outstanding shares are represented, all other holders having the right to vote are present and a majority of the board of directors and the board of statutory auditors are in attendance; provided that in such event, any shareholder or other participant present may object to the discussion of items with respect to which he/she does not deem to have been adequately informed.</w:t>
      </w:r>
    </w:p>
    <w:p>
      <w:pPr>
        <w:spacing w:after="0" w:line="19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must convene an ordinary shareholders’ meeting at least once a year. Our annual stand-alone financial statements are prepared by the board of directors and submitted for approval to the ordinary shareholders’ meeting, which must be convened within 120 days after the end of the fiscal year to which such financial statements relate. This term may be extended by up to 180 days after the end of the fiscal year, as long as the Company continues to be bound by law to draw up financial statements or if particular circumstances concerning our structure or our purposes so require. At ordinary shareholders’ meetings, our shareholders also appoint the external auditors, approve any distribution of dividends that have been proposed by our board of directors, elect our board of directors and statutory auditors, determine their remuneration and vote on any business matter for which resolution or authorization is entrusted to the shareholders by law.</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19" w:right="399" w:bottom="1440" w:gutter="0" w:footer="0" w:header="0"/>
        </w:sectPr>
      </w:pPr>
    </w:p>
    <w:bookmarkStart w:id="167" w:name="page168"/>
    <w:bookmarkEnd w:id="167"/>
    <w:p>
      <w:pPr>
        <w:ind w:firstLine="648"/>
        <w:spacing w:after="0" w:line="271" w:lineRule="auto"/>
        <w:rPr>
          <w:sz w:val="20"/>
          <w:szCs w:val="20"/>
          <w:color w:val="auto"/>
        </w:rPr>
      </w:pPr>
      <w:r>
        <w:rPr>
          <w:rFonts w:ascii="Arial" w:cs="Arial" w:eastAsia="Arial" w:hAnsi="Arial"/>
          <w:sz w:val="17"/>
          <w:szCs w:val="17"/>
          <w:color w:val="auto"/>
        </w:rPr>
        <w:t>We may call extraordinary shareholders’ meetings to vote upon spin-offs, split-ups, dissolutions, appointment of receivers and similar extraordinary actions. We may also call extraordinary shareholders’ meetings to vote upon proposed amendments to our bylaws, issuance of convertible debentures, mergers and de-mergers and capital increases and reductions, if such actions may not be authorized by the board of directors without shareholder approval. The board of directors has the authority to transfer our registered office within Italy, authorize, on a non-exclusive basis, amendments to our bylaws that are required by law, authorize mergers by absorption to our subsidiaries in which we hold all or at least 90% of the outstanding shares, if the Company’s bylaws (as in our case) so provide, authorize reductions of our share capital in case of withdrawal of a shareholder and indicate who among the directors is our legal representative. If the shareholders authorize the issuance of shares or other securities at an extraordinary meeting, they may delegate the power to make specific issuances to the board of directors.</w:t>
      </w:r>
    </w:p>
    <w:p>
      <w:pPr>
        <w:spacing w:after="0" w:line="20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Once our shareholders have authorized the issuance of securities, the securities that have been subscribed must be fully paid for before the shareholders may authorize the issuance of additional securities, unless the shareholders meet and vote to cancel those authorized but unsubscribed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notice of our shareholders’ meeting may specify two or more meeting dates for an ordinary or extraordinary shareholders’ meeting.</w:t>
      </w:r>
    </w:p>
    <w:p>
      <w:pPr>
        <w:spacing w:after="0" w:line="26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quorum for an ordinary meeting of our shareholders on the first call, also in the event we are considered an Open Company, is at least 50% of the outstanding ordinary shares, while on second call there is no quorum requirement. In either case, resolutions may be adopted with the majority of ordinary shares in attendance or represented at the meeting. The quorum for an extraordinary shareholders’ meeting is more than half of the outstanding ordinary shares on the first call and more than one-third of the outstanding shares on second call. Extraordinary shareholders’ meeting resolutions may be adopted with the majority of the outstanding ordinary shares on first call and at least two-thirds of the holders of shares in attendance or represented at the meeting on second call. In the event we are considered an Open Company, the quorum for an extraordinary shareholders’ meeting is, on first call, the majority of at least two-thirds of the shares present or represented at such meeting, provided that a quorum of at least half of the share capital is attending; on second call, the majority of at least two-thirds of the shares present or represented at such meeting, provided that a quorum of more than one-third of the share capital is attending. In addition, certain matters (such as, for example, a change in our corporate purpose, the transfer of our registered office outside Italy or our liquidation prior to the date set forth in our bylaws) must be adopted by shareholders representing more than one-third of the outstanding ordinary shares (not just the ordinary shares in attendance or represented at the meeting).</w:t>
      </w:r>
    </w:p>
    <w:p>
      <w:pPr>
        <w:spacing w:after="0" w:line="19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Shareholders are entitled to one vote per ordinary share. Neither Italian law nor our bylaws limit the right of non-resident or foreign owners to hold or vote their shares. Shareholders do not need to present their share certificates (due to the fact that our shares are not represented by share certificates) but the entitlement to attend the meetings is then proven by exhibition of the certificate or communication to the Company made by the intermediary (banks and other financial institutions) which manages the electronical register whereby ownership of the shares, their transfer, the related rights and restrictions on shares (if any) are recorded.</w:t>
      </w:r>
    </w:p>
    <w:p>
      <w:pPr>
        <w:spacing w:after="0" w:line="215"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Shareholders may appoint proxies or attorneys-in-fact by delivering in writing the proxies to represent them in an ordinary or extraordinary shareholders’ meeting. Our directors, auditors and employees may not be proxies. Italian law provides that no proxy may represent more than twenty shareholders prior to the company “seeking access to the risk capital market.” It is unsettled whether listing shares on a stock exchange outside of the European Union constitutes “seeking access to the risk capital market” for this purpose.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5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considerations. Those who exercise their preemptive rights, provided they make such request simultaneously, have a pre-emption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of shareholders’ equity, taking into account, in the case of shares listed on regulated markets, also the trend in prices over the last six months. The foregoing procedure shall apply also in case of capital increase delegated to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i w:val="1"/>
          <w:iCs w:val="1"/>
          <w:color w:val="auto"/>
        </w:rPr>
        <w:t>Preference shares; other securities</w:t>
      </w:r>
    </w:p>
    <w:p>
      <w:pPr>
        <w:spacing w:after="0" w:line="252"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Italian law permits us to issue preference shares with limited voting rights, other classes of equity securities with different economic and voting rights, shares with economic rights related to the results of the corporate activity in a specific sector, “participation instruments” with limited economic and voting rights against the contribution, by shareholders or third-parties, of work or services, as well as “participation instruments” in favor of employees.</w:t>
      </w:r>
    </w:p>
    <w:p>
      <w:pPr>
        <w:spacing w:after="0" w:line="17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Our bylaws allow us to issue shares without voting rights, with voting rights limited to particular subjects, with voting rights subject to the occurrence of particular conditions not merely arbitrary or with multiple voting rights (each multiple voting right share may have a maximum of three votes). According to Italian law, the total value of such shares may not exceed half of the share capital. Our bylaws also provides that, in relation to the quantity of shares held by the same party, the voting right may be limited to a maximum extent or may be staggered.</w:t>
      </w:r>
    </w:p>
    <w:p>
      <w:pPr>
        <w:spacing w:after="0" w:line="1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“Participation instruments” may include convertible equity and/or “hybrid” instruments that confer on the holder the right to vote on specific matters and/or grants economic rights, to be determined at the time of the issuance of such instruments, or management rights, such as the right to appoint, in accordance with the procedures established by the bylaws, an independent member of the board of directors or a statutory auditor.</w:t>
      </w:r>
    </w:p>
    <w:p>
      <w:pPr>
        <w:spacing w:after="0" w:line="19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bylaws currently allow us to issue these securities. We may also issue convertible and non-convertible debt securities. In order to issue convertible debt securities, our board of directors would need to recommend to our shareholders that they approve the issuance of particular securities in connection with a capital increase, and the shareholders would need to vote to approve such an issuance and capital increase at an extraordinary meeting. The board of directors would also need to recommend, and the shareholders would need to approve by vote at the extraordinary meeting, specific terms of the securities. The shareholders may vote at the extraordinary shareholders’ meeting to delegate authority to the board of directors to issue those securities from time to time, but not for more than five years from the date of the extraordinary shareholders’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Debt-equity ratio</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Italian law provides that we may not issue debt securities for an amount exceeding twice the value of the sum of our equity capital, our legal reserve and any other disposable reserves appearing on the latest balance sheet approved by our shareholders. The board of statutory auditors must certify compliance with such limitation. This limitation may be exceeded if the debt securities issued in excess are intended for subscription by professional investors subject to prudential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 The legal reserve is a reserve to which we are required to allocate 5% of our Italian GAAP net income each year until it equals at least 20% of our equity capital. One of the other reserves that we maintain on our balance sheet is a “share premium reserve”, meaning amounts paid for our ordinary shares in excess of the amount of such ordinary shares that is allocated to stated capital (</w:t>
      </w:r>
      <w:r>
        <w:rPr>
          <w:rFonts w:ascii="Arial" w:cs="Arial" w:eastAsia="Arial" w:hAnsi="Arial"/>
          <w:sz w:val="16"/>
          <w:szCs w:val="16"/>
          <w:i w:val="1"/>
          <w:iCs w:val="1"/>
          <w:color w:val="auto"/>
        </w:rPr>
        <w:t>valore nominale</w:t>
      </w:r>
      <w:r>
        <w:rPr>
          <w:rFonts w:ascii="Arial" w:cs="Arial" w:eastAsia="Arial" w:hAnsi="Arial"/>
          <w:sz w:val="16"/>
          <w:szCs w:val="16"/>
          <w:color w:val="auto"/>
        </w:rPr>
        <w:t>). Until our outstanding debt securities are repaid in full, we may not voluntarily reduce our equity capital or distribute our reserves (such as by declaring dividends) in the event the aggregate of the capital plus reserves, after giving effect to such reduction, is less than half of the outstanding amount of the debt securities. If our equity capital is reduced by losses or otherwise such that the amount of the outstanding debt securities is more than twice the amount of our equity capital, we cannot distribute profits to our shareholders until the ratio between the amount of our debt securities and our equity capital plus reserves is restored. If our equity capital is reduced, we could recapitalize by means of issuing new shares or having our current shareholders contribute additional capital to our company, although there can be no assurance that we would be able to find purchasers for new shares or that any of our current shareholders would be willing to contribute additional capital. The legal requirements regarding the ratio of debt securities to equity capital plus reserves do not apply to issuances of debt securities to professional investors (as defined by Italian law). However, in such a case, should the professional investors transfer such debt securities to third parties not qualified as professional investors, the former remains liable for the payment of such securities.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i w:val="1"/>
          <w:iCs w:val="1"/>
          <w:color w:val="auto"/>
        </w:rPr>
        <w:t>Reduction of equity by losses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Italian law requires us to reduce our shareholders’ equity in certain situations. Our shareholders’ equity has three main components: capital, legal reserves and other shareholders’ equity (such as share premium and retained earnings). We first apply our losses from operations against our shareholders’ equity other than legal reserves and capital. If additional losses remain and, after the legal reserves, our corporate capital is reduced by more than one-third, our board of directors must call a shareholders’ meeting as soon as possible. The shareholders should take appropriate measures, which may include, among others, either reducing the legal reserves and capital by the amount of the remaining losses, or carrying the losses forward for up to one year. If the shareholders vote to elect to carry the losses forward for up to one year, and the losses are still more than one-third of the amount of the capital at the end of the year, then we must reduce our capital by the amount of the losses.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present intention to enter into any such transaction and no such transaction is currently in effect.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shares by us (Treasury Stocks)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are permitted to purchase our outstanding shares, subject to certain conditions and limitations provided for by Italian law. We may only purchase the shares out of profits available for dividends or out of distributable reserves, in each case as appearing on the latest shareholder-approved financial statements; in lack, the shares in excess must be cancelled and the corporate capital must be reduced accordingly. Further, we may only repurchase fully paid-in shares. Such purchases and the conditions thereto must be authorized by our shareholders by vote at an ordinary shareholders’ meeting and the authorization may be issued for a period not exceeding the term of eighteen (18) months.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corresponding reserve equal to the purchase price of such shares must be created in the balance sheet, and such reserve is not available for distribution, unless such shares are sold or cancelled. Shares purchased and held by us may be resold only pursuant to a resolution of our shareholders adopted at an ordinary shareholders’ meeting. The voting rights attaching to the shares held by us or our subsidiaries cannot be exercised, but the shares can be counted for quorum purposes in shareholders’ meetings. Dividends and other rights, including pre-emptive rights, attaching to such shares will accrue to the benefit of other shareholders.</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foregoing limitations do not apply in case we purchase our shares: (i) by giving execution to shareholders’ meeting resolution authorizing capital reduction through repurchase or cancellation; (ii) for free, to the extent they are fully paid-in; (iii) as a consequence of universal succession, merger or demerger; (iv) on occasion of foreclosures authorized to satisfy a credit of our company, to the extent they are fully paid-in.</w:t>
      </w:r>
    </w:p>
    <w:p>
      <w:pPr>
        <w:spacing w:after="0" w:line="19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quorum required for the constitution and for the resolutions of the shareholders’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hold any of its shares.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i w:val="1"/>
          <w:iCs w:val="1"/>
          <w:color w:val="auto"/>
        </w:rPr>
        <w:t>Notification of the acquisition of shares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accordance with Italian antitrust laws, the Italian Antitrust Authority could prohibit, if certain threshold requirements are met, the acquisition of control in a company which would thereby create or strengthen a dominant position in the domestic market or a significant part thereof and which would result in the elimination or substantial reduction, on a lasting basis, of competition, provided that certain turnover thresholds are exceeded. However, if the turnover of the acquiring party and the company to be acquired exceed certain other monetary thresholds, the antitrust review of the acquisition falls within the exclusive jurisdiction of the European Commission.</w:t>
      </w:r>
    </w:p>
    <w:p>
      <w:pPr>
        <w:spacing w:after="0" w:line="215"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 xml:space="preserve">In addition, if we fall under the scope of the Law Decree No. 21 of March 15, 2012 (so-called Italian </w:t>
      </w:r>
      <w:r>
        <w:rPr>
          <w:rFonts w:ascii="Arial" w:cs="Arial" w:eastAsia="Arial" w:hAnsi="Arial"/>
          <w:sz w:val="16"/>
          <w:szCs w:val="16"/>
          <w:i w:val="1"/>
          <w:iCs w:val="1"/>
          <w:color w:val="auto"/>
        </w:rPr>
        <w:t>“Golden Power” regulations</w:t>
      </w:r>
      <w:r>
        <w:rPr>
          <w:rFonts w:ascii="Arial" w:cs="Arial" w:eastAsia="Arial" w:hAnsi="Arial"/>
          <w:sz w:val="16"/>
          <w:szCs w:val="16"/>
          <w:color w:val="auto"/>
        </w:rPr>
        <w:t xml:space="preserve">), as subsequently amended and supplemented, (i) certain resolutions of the Company and, if specific thresholds requirements are met, (ii) certain third-party investors’ purchases of our shares may be subject to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notifications to the Italian Government and this latter may object to the transaction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particular, in such cases the Government would have, </w:t>
      </w:r>
      <w:r>
        <w:rPr>
          <w:rFonts w:ascii="Arial" w:cs="Arial" w:eastAsia="Arial" w:hAnsi="Arial"/>
          <w:sz w:val="18"/>
          <w:szCs w:val="18"/>
          <w:i w:val="1"/>
          <w:iCs w:val="1"/>
          <w:color w:val="auto"/>
        </w:rPr>
        <w:t>among others</w:t>
      </w:r>
      <w:r>
        <w:rPr>
          <w:rFonts w:ascii="Arial" w:cs="Arial" w:eastAsia="Arial" w:hAnsi="Arial"/>
          <w:sz w:val="18"/>
          <w:szCs w:val="18"/>
          <w:color w:val="auto"/>
        </w:rPr>
        <w:t>:</w:t>
      </w:r>
    </w:p>
    <w:p>
      <w:pPr>
        <w:spacing w:after="0" w:line="252" w:lineRule="exact"/>
        <w:rPr>
          <w:sz w:val="20"/>
          <w:szCs w:val="20"/>
          <w:color w:val="auto"/>
        </w:rPr>
      </w:pPr>
    </w:p>
    <w:p>
      <w:pPr>
        <w:ind w:right="420" w:firstLine="656"/>
        <w:spacing w:after="0" w:line="277" w:lineRule="auto"/>
        <w:tabs>
          <w:tab w:leader="none" w:pos="86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power to veto or to impose specific conditions with respect to the acquisition of certain shareholdings by any foreign entity outside the European Union with respect to companies having assets and business in sectors of strategic importance; and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power to veto or impose specific conditions with regard to the adoption of specific corporate resolutions, acts or transactions by the same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shareholders’ rights; withdrawal rights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Shareholders’ resolutions which are not adopted in conformity with applicable law or our bylaws may be challenged (with certain limitations and exceptions) within 90 days of such resolution (or, if such resolution is subject to registration or filing with the Italian Company Register, within ninety days of its registration or filing) by absent, dissenting or abstaining shareholders representing individually or in the aggregate at least 5% of our share capital (as well as by our board of directors or our board of statutory auditors). Shareholders not reaching this threshold or shareholders not entitled to vote at our meetings may only claim damages arising from the challenged resolution.</w:t>
      </w:r>
    </w:p>
    <w:p>
      <w:pPr>
        <w:spacing w:after="0" w:line="21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Dissenting or absent shareholders may withdraw from the company as a result of shareholders’ resolutions approving, among other things, material modifications of our corporate purpose or of the voting rights of our ordinary shares, our transformation from a share corporation into a different legal entity or the transfer of our registered seat outside Italy. In such a case, our other shareholders would have a pre-emptive right to purchase the shares of the withdrawing shareholder. Should no shareholder exercise that pre-emptive right, the shares must be offered to third parties or, in the absence of any third party wishing to buy them, they will be purchased by us by using the available reserves. In the event that no reserve is available, our equity capital must be reduced accordingly. Any repurchase of such shares by us must be on terms authorized by our board of directors, upon consultation with our board of statutory auditors and our external auditor, having regard to our net asset value, our prospective earnings and the market value of our ordinary shares, if any. Under Italian law, we may set forth different criteria in our bylaws for the consideration to be paid to withdrawing shareholders. We have not done so as of the date of this prospectus.</w:t>
      </w:r>
    </w:p>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Any shareholder may bring to the attention of the board of statutory auditors facts or acts which such shareholder deems wrongful. If such shareholders represent at least 5% of our share capital, or in case we are considered an Open Company 2% of the same, our board of statutory auditors must investigate without delay and report its findings and recommendations at our shareholders’ meeting. Shareholders representing more than 10% of our share capital, or, in case we are considered an Open Company one-twentieth, have the right to report to the competent court serious breaches of the duties of the directors which may be prejudicial to us or to our subsidiaries. In addition, shareholders representing at least 20% of our share capital may commence derivative suits before the competent court against our directors, statutory auditors and general managers. We may waive or settle the suit unless shareholders holding at least 20% of the shares vote against such waiver or settlement. We will reimburse the legal costs of such action in the event that the claim of such shareholder is successful and the court does not award such costs against the relevant directors, statutory auditors or general managers.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Applicable Laws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the date of this prospectus and upon completion of this offering, the Company is and will be governed by the corporate laws of Italy, and is and will be legally considered and treated, according to the Italian Civil Code, as a private company being our shares not listed on a regulated market in Italy or within the European Union.</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It should be noted that under Italian corporate law, while joint-stock companies are all the same type of legal entity, there is a distinction between those companies that do not have access to the capital markets (</w:t>
      </w:r>
      <w:r>
        <w:rPr>
          <w:rFonts w:ascii="Arial" w:cs="Arial" w:eastAsia="Arial" w:hAnsi="Arial"/>
          <w:sz w:val="18"/>
          <w:szCs w:val="18"/>
          <w:i w:val="1"/>
          <w:iCs w:val="1"/>
          <w:color w:val="auto"/>
        </w:rPr>
        <w:t>Private Companies</w:t>
      </w:r>
      <w:r>
        <w:rPr>
          <w:rFonts w:ascii="Arial" w:cs="Arial" w:eastAsia="Arial" w:hAnsi="Arial"/>
          <w:sz w:val="18"/>
          <w:szCs w:val="18"/>
          <w:color w:val="auto"/>
        </w:rPr>
        <w:t>) and companies that have such access. This latter category comprises both companies listed on European regulated markets (</w:t>
      </w:r>
      <w:r>
        <w:rPr>
          <w:rFonts w:ascii="Arial" w:cs="Arial" w:eastAsia="Arial" w:hAnsi="Arial"/>
          <w:sz w:val="18"/>
          <w:szCs w:val="18"/>
          <w:i w:val="1"/>
          <w:iCs w:val="1"/>
          <w:color w:val="auto"/>
        </w:rPr>
        <w:t>Public Companies</w:t>
      </w:r>
      <w:r>
        <w:rPr>
          <w:rFonts w:ascii="Arial" w:cs="Arial" w:eastAsia="Arial" w:hAnsi="Arial"/>
          <w:sz w:val="18"/>
          <w:szCs w:val="18"/>
          <w:color w:val="auto"/>
        </w:rPr>
        <w:t>) and companies whose securities are not listed on such markets, insofar as they have completed a significant distribution of their securities among the public (so-called “</w:t>
      </w:r>
      <w:r>
        <w:rPr>
          <w:rFonts w:ascii="Arial" w:cs="Arial" w:eastAsia="Arial" w:hAnsi="Arial"/>
          <w:sz w:val="18"/>
          <w:szCs w:val="18"/>
          <w:i w:val="1"/>
          <w:iCs w:val="1"/>
          <w:color w:val="auto"/>
        </w:rPr>
        <w:t>emittenti aventi strumenti finanziari diffusi tra il pubblico in</w:t>
      </w:r>
      <w:r>
        <w:rPr>
          <w:rFonts w:ascii="Arial" w:cs="Arial" w:eastAsia="Arial" w:hAnsi="Arial"/>
          <w:sz w:val="18"/>
          <w:szCs w:val="18"/>
          <w:color w:val="auto"/>
        </w:rPr>
        <w:t xml:space="preserve"> </w:t>
      </w:r>
      <w:r>
        <w:rPr>
          <w:rFonts w:ascii="Arial" w:cs="Arial" w:eastAsia="Arial" w:hAnsi="Arial"/>
          <w:sz w:val="18"/>
          <w:szCs w:val="18"/>
          <w:i w:val="1"/>
          <w:iCs w:val="1"/>
          <w:color w:val="auto"/>
        </w:rPr>
        <w:t>maniera rilevante</w:t>
      </w:r>
      <w:r>
        <w:rPr>
          <w:rFonts w:ascii="Arial" w:cs="Arial" w:eastAsia="Arial" w:hAnsi="Arial"/>
          <w:sz w:val="18"/>
          <w:szCs w:val="18"/>
          <w:color w:val="auto"/>
        </w:rPr>
        <w:t>”), according to the relevant provisions set forth in Italian Financials’ Consolidated Act and its implementing provisions (</w:t>
      </w:r>
      <w:r>
        <w:rPr>
          <w:rFonts w:ascii="Arial" w:cs="Arial" w:eastAsia="Arial" w:hAnsi="Arial"/>
          <w:sz w:val="18"/>
          <w:szCs w:val="18"/>
          <w:i w:val="1"/>
          <w:iCs w:val="1"/>
          <w:color w:val="auto"/>
        </w:rPr>
        <w:t>Open Companies</w:t>
      </w:r>
      <w:r>
        <w:rPr>
          <w:rFonts w:ascii="Arial" w:cs="Arial" w:eastAsia="Arial" w:hAnsi="Arial"/>
          <w:sz w:val="18"/>
          <w:szCs w:val="18"/>
          <w:color w:val="auto"/>
        </w:rPr>
        <w:t>).</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Article 2-bis of the Issuer’s Regulation implemented by Consob (</w:t>
      </w:r>
      <w:r>
        <w:rPr>
          <w:rFonts w:ascii="Arial" w:cs="Arial" w:eastAsia="Arial" w:hAnsi="Arial"/>
          <w:sz w:val="18"/>
          <w:szCs w:val="18"/>
          <w:i w:val="1"/>
          <w:iCs w:val="1"/>
          <w:color w:val="auto"/>
        </w:rPr>
        <w:t>Regolamento emittenti</w:t>
      </w:r>
      <w:r>
        <w:rPr>
          <w:rFonts w:ascii="Arial" w:cs="Arial" w:eastAsia="Arial" w:hAnsi="Arial"/>
          <w:sz w:val="18"/>
          <w:szCs w:val="18"/>
          <w:color w:val="auto"/>
        </w:rPr>
        <w:t>), Open Companies must meet the following requirements:</w:t>
      </w:r>
    </w:p>
    <w:p>
      <w:pPr>
        <w:spacing w:after="0" w:line="197" w:lineRule="exact"/>
        <w:rPr>
          <w:sz w:val="20"/>
          <w:szCs w:val="20"/>
          <w:color w:val="auto"/>
        </w:rPr>
      </w:pPr>
    </w:p>
    <w:p>
      <w:pPr>
        <w:ind w:left="980" w:hanging="324"/>
        <w:spacing w:after="0"/>
        <w:tabs>
          <w:tab w:leader="none" w:pos="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having at least 500 shareholders in addition to the majority shareholders who hold at least 5% of the outstanding share capital; 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exceeding at least two out of the following three thresholds:</w:t>
      </w:r>
    </w:p>
    <w:p>
      <w:pPr>
        <w:spacing w:after="0" w:line="279" w:lineRule="exact"/>
        <w:rPr>
          <w:rFonts w:ascii="Arial" w:cs="Arial" w:eastAsia="Arial" w:hAnsi="Arial"/>
          <w:sz w:val="18"/>
          <w:szCs w:val="18"/>
          <w:color w:val="auto"/>
        </w:rPr>
      </w:pPr>
    </w:p>
    <w:p>
      <w:pPr>
        <w:ind w:left="1620" w:hanging="316"/>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total assets side of €4.4 million;</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total revenues of €8.8 million; and,</w:t>
      </w:r>
    </w:p>
    <w:p>
      <w:pPr>
        <w:spacing w:after="0" w:line="184" w:lineRule="exact"/>
        <w:rPr>
          <w:rFonts w:ascii="Arial" w:cs="Arial" w:eastAsia="Arial" w:hAnsi="Arial"/>
          <w:sz w:val="18"/>
          <w:szCs w:val="18"/>
          <w:color w:val="auto"/>
        </w:rPr>
      </w:pPr>
    </w:p>
    <w:p>
      <w:pPr>
        <w:ind w:left="1620" w:hanging="316"/>
        <w:spacing w:after="0"/>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 average of 50 employees during the year.</w:t>
      </w:r>
    </w:p>
    <w:p>
      <w:pPr>
        <w:spacing w:after="0" w:line="2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If, following completion of this offering, we issue financial instruments widely distributed among the public, the regulation relating to Open Companies could apply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have reserved the symbol “GNTA” for purposes of listing the ADSs on the Nasdaq Capital Market and have applied to list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of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 register is currently kept by Spafid S.p.A., which acts as registrar. The share register reflects only record owners of our ordinary shares.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5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one share (or a right to receive one share) deposited with The Bank of New York Mellon, as custodian, acting through an office located in the United Kingdom. Each ADS will also represent any other securities, cash or other property that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Italian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Directions on how to obtain copies of those documents are provided under the heading “Where You Can Find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5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depositary will convert any cash dividend or other cash distribution we pay on the shares into U.S. dollars, if it can do so on a</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1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Before making a distribution, any withholding taxes, or other governmental charges that must be paid will be deducted. See “Taxation.”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Shares</w:t>
      </w:r>
      <w:r>
        <w:rPr>
          <w:rFonts w:ascii="Arial" w:cs="Arial" w:eastAsia="Arial" w:hAnsi="Arial"/>
          <w:sz w:val="18"/>
          <w:szCs w:val="18"/>
          <w:color w:val="auto"/>
        </w:rPr>
        <w:t>. The depositary may distribute additional ADSs representing any shares we distribute as a dividend or free distribution. The depositary will</w:t>
      </w:r>
      <w:r>
        <w:rPr>
          <w:rFonts w:ascii="Arial" w:cs="Arial" w:eastAsia="Arial" w:hAnsi="Arial"/>
          <w:sz w:val="18"/>
          <w:szCs w:val="18"/>
          <w:i w:val="1"/>
          <w:iCs w:val="1"/>
          <w:color w:val="auto"/>
        </w:rPr>
        <w:t xml:space="preserve"> </w:t>
      </w:r>
      <w:r>
        <w:rPr>
          <w:rFonts w:ascii="Arial" w:cs="Arial" w:eastAsia="Arial" w:hAnsi="Arial"/>
          <w:sz w:val="18"/>
          <w:szCs w:val="18"/>
          <w:color w:val="auto"/>
        </w:rPr>
        <w:t>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73" w:name="page174"/>
    <w:bookmarkEnd w:id="173"/>
    <w:p>
      <w:pPr>
        <w:ind w:firstLine="648"/>
        <w:spacing w:after="0" w:line="290" w:lineRule="auto"/>
        <w:rPr>
          <w:sz w:val="20"/>
          <w:szCs w:val="20"/>
          <w:color w:val="auto"/>
        </w:rPr>
      </w:pPr>
      <w:r>
        <w:rPr>
          <w:rFonts w:ascii="Arial" w:cs="Arial" w:eastAsia="Arial" w:hAnsi="Arial"/>
          <w:sz w:val="16"/>
          <w:szCs w:val="16"/>
          <w:i w:val="1"/>
          <w:iCs w:val="1"/>
          <w:color w:val="auto"/>
        </w:rPr>
        <w:t>Rights to purchase additional shares</w:t>
      </w:r>
      <w:r>
        <w:rPr>
          <w:rFonts w:ascii="Arial" w:cs="Arial" w:eastAsia="Arial" w:hAnsi="Arial"/>
          <w:sz w:val="16"/>
          <w:szCs w:val="16"/>
          <w:color w:val="auto"/>
        </w:rPr>
        <w:t>. If we offer holders of our securities any rights to subscribe for additional shares or any other rights,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Other Distributions</w:t>
      </w:r>
      <w:r>
        <w:rPr>
          <w:rFonts w:ascii="Arial" w:cs="Arial" w:eastAsia="Arial" w:hAnsi="Arial"/>
          <w:sz w:val="17"/>
          <w:szCs w:val="17"/>
          <w:color w:val="auto"/>
        </w:rPr>
        <w:t>. The depositary will send to ADS holders anything else we distribute on deposited securities by any means it thinks is legal,</w:t>
      </w:r>
      <w:r>
        <w:rPr>
          <w:rFonts w:ascii="Arial" w:cs="Arial" w:eastAsia="Arial" w:hAnsi="Arial"/>
          <w:sz w:val="17"/>
          <w:szCs w:val="17"/>
          <w:i w:val="1"/>
          <w:iCs w:val="1"/>
          <w:color w:val="auto"/>
        </w:rPr>
        <w:t xml:space="preserve"> </w:t>
      </w:r>
      <w:r>
        <w:rPr>
          <w:rFonts w:ascii="Arial" w:cs="Arial" w:eastAsia="Arial" w:hAnsi="Arial"/>
          <w:sz w:val="17"/>
          <w:szCs w:val="17"/>
          <w:color w:val="auto"/>
        </w:rPr>
        <w:t>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52"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04"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211"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7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52" w:lineRule="exact"/>
        <w:rPr>
          <w:sz w:val="20"/>
          <w:szCs w:val="20"/>
          <w:color w:val="auto"/>
        </w:rPr>
      </w:pPr>
    </w:p>
    <w:p>
      <w:pPr>
        <w:ind w:left="1080"/>
        <w:spacing w:after="0"/>
        <w:tabs>
          <w:tab w:leader="none" w:pos="868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sz w:val="20"/>
          <w:szCs w:val="20"/>
          <w:color w:val="auto"/>
        </w:rPr>
        <w:tab/>
      </w:r>
      <w:r>
        <w:rPr>
          <w:rFonts w:ascii="Arial" w:cs="Arial" w:eastAsia="Arial" w:hAnsi="Arial"/>
          <w:sz w:val="13"/>
          <w:szCs w:val="13"/>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 fee equivalent to the fee that would be payable if securities distributed to you had been shares and the shares had been deposited for issuance of ADSs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$.05 (or less) per ADS per calendar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 Cancellation of ADSs for the purpose of withdrawal, including if the deposit agreement terminates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Any cash distribution 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of securities distributed to holders of deposited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rights) that are distributed by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ADS 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Cable (including SWIFT) and facsimile transmissions (when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expressly provided in the deposit agreement)Converting foreign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currency to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necessary</w:t>
      </w:r>
    </w:p>
    <w:p>
      <w:pPr>
        <w:sectPr>
          <w:pgSz w:w="11900" w:h="16838" w:orient="portrait"/>
          <w:cols w:equalWidth="0" w:num="2">
            <w:col w:w="6040" w:space="380"/>
            <w:col w:w="4800"/>
          </w:cols>
          <w:pgMar w:left="320" w:top="715" w:right="359" w:bottom="1440" w:gutter="0" w:footer="0" w:header="0"/>
          <w:type w:val="continuous"/>
        </w:sectPr>
      </w:pPr>
    </w:p>
    <w:bookmarkStart w:id="175" w:name="page176"/>
    <w:bookmarkEnd w:id="175"/>
    <w:p>
      <w:pPr>
        <w:ind w:firstLine="648"/>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22"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5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5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so by an ADS holder surrendering ADSs and subject to any conditions or procedures the depositary may establish.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6" w:name="page177"/>
    <w:bookmarkEnd w:id="176"/>
    <w:p>
      <w:pPr>
        <w:jc w:val="both"/>
        <w:ind w:right="20" w:firstLine="648"/>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8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w:t>
      </w:r>
      <w:r>
        <w:rPr>
          <w:rFonts w:ascii="Arial" w:cs="Arial" w:eastAsia="Arial" w:hAnsi="Arial"/>
          <w:sz w:val="17"/>
          <w:szCs w:val="17"/>
          <w:i w:val="1"/>
          <w:iCs w:val="1"/>
          <w:color w:val="auto"/>
        </w:rPr>
        <w:t>the</w:t>
      </w:r>
      <w:r>
        <w:rPr>
          <w:rFonts w:ascii="Arial" w:cs="Arial" w:eastAsia="Arial" w:hAnsi="Arial"/>
          <w:sz w:val="17"/>
          <w:szCs w:val="17"/>
          <w:color w:val="auto"/>
        </w:rPr>
        <w:t xml:space="preserve"> ADSs, to agree to the amendment and to be bound by the ADRs and the deposit agreement as amended.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97"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980" w:right="380" w:hanging="324"/>
        <w:spacing w:after="0" w:line="277" w:lineRule="auto"/>
        <w:tabs>
          <w:tab w:leader="none" w:pos="9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delist our shares from an exchange outside the United States on which they were listed and do not list the shares on another exchange outside the United States;</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depositary has reason to believe the ADSs have become, or will become, ineligible for registration on Form F-6 under the Securities Act of 1933;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77" w:name="page178"/>
    <w:bookmarkEnd w:id="177"/>
    <w:p>
      <w:pPr>
        <w:ind w:right="40" w:firstLine="648"/>
        <w:spacing w:after="0" w:line="279" w:lineRule="auto"/>
        <w:rPr>
          <w:sz w:val="20"/>
          <w:szCs w:val="20"/>
          <w:color w:val="auto"/>
        </w:rPr>
      </w:pPr>
      <w:r>
        <w:rPr>
          <w:rFonts w:ascii="Arial" w:cs="Arial" w:eastAsia="Arial" w:hAnsi="Arial"/>
          <w:sz w:val="17"/>
          <w:szCs w:val="17"/>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5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7" w:lineRule="exact"/>
        <w:rPr>
          <w:sz w:val="20"/>
          <w:szCs w:val="20"/>
          <w:color w:val="auto"/>
        </w:rPr>
      </w:pPr>
    </w:p>
    <w:p>
      <w:pPr>
        <w:ind w:left="660" w:right="6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84"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14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29" w:lineRule="exact"/>
        <w:rPr>
          <w:rFonts w:ascii="Arial" w:cs="Arial" w:eastAsia="Arial" w:hAnsi="Arial"/>
          <w:sz w:val="18"/>
          <w:szCs w:val="18"/>
          <w:color w:val="auto"/>
        </w:rPr>
      </w:pPr>
    </w:p>
    <w:p>
      <w:pPr>
        <w:ind w:left="660" w:right="320" w:hanging="328"/>
        <w:spacing w:after="0" w:line="532"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may rely upon any documents we believe or it believes in good faith to be genuine and to have been signed or presented by the proper person; are not liable for the acts or omissions of any securities depository, clearing agency or settlement system; and</w:t>
      </w:r>
    </w:p>
    <w:p>
      <w:pPr>
        <w:ind w:left="660" w:hanging="328"/>
        <w:spacing w:after="0" w:line="311" w:lineRule="auto"/>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38" w:lineRule="exact"/>
        <w:rPr>
          <w:sz w:val="20"/>
          <w:szCs w:val="20"/>
          <w:color w:val="auto"/>
        </w:rPr>
      </w:pPr>
    </w:p>
    <w:p>
      <w:pPr>
        <w:ind w:left="660" w:right="14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84"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52" w:lineRule="exact"/>
        <w:rPr>
          <w:sz w:val="20"/>
          <w:szCs w:val="20"/>
          <w:color w:val="auto"/>
        </w:rPr>
      </w:pPr>
    </w:p>
    <w:p>
      <w:pPr>
        <w:ind w:left="660" w:right="44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This right of withdrawal may not be limited by any other provision of the deposit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1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1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You will not, by agreeing to the terms of the deposit agreement, be deemed to have waived our or the depositary’s compliance with U.S. federal securities laws or the rules and regulations promulgated thereunder.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COMPARISON OF ITALIAN LAW AND DELAWARE LAW</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comparison table summarizing the most significant differences in shareholder rights between the applicable provisions of the Delaware General Corporation Law and the corporate laws of Italy, also taking into account those main differences existing between the Private Companies and Open Companies.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It should be considered that this is only a general summary of certain provisions applicable to companies in Delaware and Italy. Certain Delaware and Italian companies may be permitted to exclude certain of the provisions summarized below in their charter documents.</w:t>
      </w:r>
    </w:p>
    <w:p>
      <w:pPr>
        <w:spacing w:after="0" w:line="165" w:lineRule="exact"/>
        <w:rPr>
          <w:sz w:val="20"/>
          <w:szCs w:val="20"/>
          <w:color w:val="auto"/>
        </w:rPr>
      </w:pPr>
    </w:p>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Mergers and similar arrangements</w:t>
      </w:r>
    </w:p>
    <w:p>
      <w:pPr>
        <w:sectPr>
          <w:pgSz w:w="11900" w:h="16838" w:orient="portrait"/>
          <w:cols w:equalWidth="0" w:num="1">
            <w:col w:w="11220"/>
          </w:cols>
          <w:pgMar w:left="320" w:top="715" w:right="359" w:bottom="1440" w:gutter="0" w:footer="0" w:header="0"/>
        </w:sectPr>
      </w:pP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Italian law, a merger requires the approval of more than half of the share capital at an extraordinary shareholders’ meeting of each company which is part to the merger. The merger may only be adopted after the expiry of a period of sixty (60) days from the filing of the merger resolution and the related documents with the companies’ register. This time limit, in particular, is intended to allow the company’s creditors, subject to limited exceptions, to file an opposition to the merger, provided however that if such an opposition is deemed groundless and the company has given adequate financial assurances, the competent court may nevertheless decide that the merger shall take place notwithstanding the opposition.</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Italian law also provides for simplified forms of merger (with less documentation needed) in cases where the merger is carried out by combining wholly-owned subsidiaries and subsidiaries which are at least 90% owned. In both cases the decision to merge is delegated to the board of directors, provided that the company’s bylaws (as in our case) so provide. The delegation of powers to the board of directors does not, in any event, release it from the obligation to file and/or publish, as the case may be, the merger plan in order to inform shareholders of the merger and to postpone consummation for 30 days from the filing/publication of the merger plan, unless the shareholders waive their right. Shareholders of the “acquiring” company representing at least 5% of the share capital may request the decision on the merger to be taken by the extraordinary shareholders’ meeting. In such a case the authority to approve the merger shifts to the extraordinary shareholders’ meeting, as provided for the non-simplified procedure.</w:t>
      </w:r>
    </w:p>
    <w:p>
      <w:pPr>
        <w:spacing w:after="0" w:line="200" w:lineRule="exact"/>
        <w:rPr>
          <w:sz w:val="20"/>
          <w:szCs w:val="20"/>
          <w:color w:val="auto"/>
        </w:rPr>
      </w:pPr>
    </w:p>
    <w:p>
      <w:pPr>
        <w:sectPr>
          <w:pgSz w:w="11900" w:h="16838" w:orient="portrait"/>
          <w:cols w:equalWidth="0" w:num="2">
            <w:col w:w="5460" w:space="280"/>
            <w:col w:w="5480"/>
          </w:cols>
          <w:pgMar w:left="320" w:top="715" w:right="359" w:bottom="1440" w:gutter="0" w:footer="0" w:header="0"/>
          <w:type w:val="continuous"/>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181" w:name="page182"/>
    <w:bookmarkEnd w:id="18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Shareholders’ suits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Shareholders may bring to the attention of the board of statutory auditors facts or acts which such shareholder deems wrongful. If such shareholders represent 5% of our share capital, or 2% should the company be classified as an Open Company, the board of statutory auditors must investigate without delay and report its findings and recommendations at a shareholders’ meeting.</w:t>
      </w:r>
    </w:p>
    <w:p>
      <w:pPr>
        <w:spacing w:after="0" w:line="2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there is a well-founded suspicion that the directors, in breach of their duties, have committed serious irregularities in the management of the company’s business that may cause damage to the company, shareholders representing, in Private Companies, one-tenth of the share capital or, in Open Companies, one-twentieth of the share capital can report the facts to a competent court. The court, having heard the directors and the statutory auditors, may order an investigation of the matter. The court will not order an investigation and will delay legal proceedings for a fixed period if the shareholders replace the directors and the statutory auditors and the new directors and auditors take action without delay to ascertain whether wrongdoing has been committed and, if so, to remedy it, report to the court their findings and the actions undertaken by them. If the reported wrongdoing did occur or if the investigations fail to address the matters at issue, the court may order appropriate provisional measures and call a shareholders’ meeting to adopt appropriate resolutions. In the most serious cases, the court can replace directors and the statutory auditors and appoint a receiver, determining his or her powers and duration of office.</w:t>
      </w:r>
    </w:p>
    <w:p>
      <w:pPr>
        <w:spacing w:after="0" w:line="20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Liability claims against directors and general managers may be brought either by the shareholders through resolutions approved at a shareholders’ meeting, by the board of statutory auditors (following a resolution passed with the favorable vote of two thirds of its members) or directly by shareholders representing a specified percentage of the share capital.</w:t>
      </w:r>
    </w:p>
    <w:p>
      <w:pPr>
        <w:spacing w:after="0" w:line="18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With reference to resolutions to be adopted at a shareholders’ meeting, a resolution concerning the liability of directors may be approved at a meeting for that purpose or at the meeting called to approve the financial statements. Unless otherwise provided for in the bylaws, resolution shall require approval by standard majority. Claims against directors are subject to a five year statute of limitations from the date of termination of the director’s office and can be waived or settled upon resolution approved by the shareholder, unless shareholders representing at least one-fifth of the share capital, in Private Companies such as ours, or, in Open Companies, one-twentieth of the share capital, vote against the resolution. The legal costs of such action shall be borne by the company unless the court orders the directors, statutory auditors or general managers to pay them.</w:t>
      </w:r>
    </w:p>
    <w:p>
      <w:pPr>
        <w:spacing w:after="0" w:line="19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Shareholders representing a certain percentage of the share capital may bring claims against directors. In case of a Private Company such as ours, the percentage required is one-fifth of the share capital, while for an Open Company the percentage is one-fortieth of the share capital.</w:t>
      </w:r>
    </w:p>
    <w:p>
      <w:pPr>
        <w:spacing w:after="0" w:line="184" w:lineRule="exact"/>
        <w:rPr>
          <w:sz w:val="20"/>
          <w:szCs w:val="20"/>
          <w:color w:val="auto"/>
        </w:rPr>
      </w:pPr>
    </w:p>
    <w:p>
      <w:pPr>
        <w:sectPr>
          <w:pgSz w:w="11900" w:h="16838" w:orient="portrait"/>
          <w:cols w:equalWidth="0" w:num="2">
            <w:col w:w="5480" w:space="26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2" w:name="page183"/>
    <w:bookmarkEnd w:id="18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Dissenters’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shareholder of a Delaware corporation has the right to dissent from any plan of merger or consolidation to which the corporation is a party, except that, unless the certificate of incorporation provides otherwise, a shareholder shall not have the right to dissent from any plan of merger or consolidation, with respect to shares of a class or series that are listed on a national securities exchange or held of record, by not less than 2,000 holders on the record date fixed to determine the shareholders entitled to vote upon the plan of merger or consolidation. A dissenting shareholder has a right to appraisal of its shares.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Italian law, shareholders’ resolutions which are not adopted in compliance with applicable law or the bylaws may be challenged (with certain limitations and exceptions) within 90 days of such resolution (or, if such resolution is subject to registration or filing with the Italian Company Register, within 90 days of its registration or filing) by shareholders who did not attend the meeting, dissented or abstained representing, individually or in the aggregate, at least 5% of the share capital in case of a Private Company such as ours, or for an Open Company, at least one per thousand of the share capital, as well as by the board of directors or the board of statutory auditors. Shareholders who do not meet the threshold or are not otherwise entitled to vote at our meetings may only claim damages arising from the resolution. Alongside the challenge to the resolution, an urgent application may also be filed to suspend the implementation of the resolution being challenged, in order to preserve the rights of challengers. Dissenting or absent shareholders may withdraw from the company as a result of shareholders’ resolutions approving, among other things, material modifications to the corporate purpose, the rights attached to ordinary shares (e.g., voting rights and/or economic rights related to ordinary shares), conversion from a share corporation into a different legal entity or a transfer of the registered office outside of Italy. Under any such circumstances, non-withdrawing shareholders would have pre-emptive rights to purchase the shares of the withdrawing shareholders. Should no shareholder exercise its pre-emptive rights, the shares must be offered to third parties. If no third-party desires to purchase the shares, the Company must purchase them out of available reserves. In the event that there are no reserves available, the company must reduce its capital accordingly. According to Italian law, the liquidation value of any such shares must be on terms determined by the board of directors, after consultation with the board of statutory auditors and the external auditor, after careful consideration of the company’s net asset value, prospective earnings and the market value of the ordinary shares. Under Italian law, a company may include provisions in its bylaws governing the criteria for determining the liquidation value of shares in the event of withdrawal. We have not done so as of the date of this offering.</w:t>
      </w:r>
    </w:p>
    <w:p>
      <w:pPr>
        <w:spacing w:after="0" w:line="200" w:lineRule="exact"/>
        <w:rPr>
          <w:sz w:val="20"/>
          <w:szCs w:val="20"/>
          <w:color w:val="auto"/>
        </w:rPr>
      </w:pPr>
    </w:p>
    <w:p>
      <w:pPr>
        <w:sectPr>
          <w:pgSz w:w="11900" w:h="16838" w:orient="portrait"/>
          <w:cols w:equalWidth="0" w:num="2">
            <w:col w:w="5500" w:space="240"/>
            <w:col w:w="5500"/>
          </w:cols>
          <w:pgMar w:left="320" w:top="711" w:right="33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3" w:name="page184"/>
    <w:bookmarkEnd w:id="18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Shareholder vote on board and management compensation</w:t>
      </w:r>
    </w:p>
    <w:p>
      <w:pPr>
        <w:sectPr>
          <w:pgSz w:w="11900" w:h="16838" w:orient="portrait"/>
          <w:cols w:equalWidth="0" w:num="1">
            <w:col w:w="11240"/>
          </w:cols>
          <w:pgMar w:left="320" w:top="711" w:right="339" w:bottom="264" w:gutter="0" w:footer="0" w:header="0"/>
        </w:sectPr>
      </w:pP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Italian Law, the compensation of directors is established at the time of appointment or by resolution adopted at as shareholders’ meeting. The compensation of the chief executive officers shall be established by the board of directors, with input from the board of statutory auditors. If the bylaws so provide, the shareholders’ meeting may determine a total amount for the compensation of all directors, including the chief executive officer.</w:t>
      </w:r>
    </w:p>
    <w:p>
      <w:pPr>
        <w:spacing w:after="0" w:line="160" w:lineRule="exact"/>
        <w:rPr>
          <w:sz w:val="20"/>
          <w:szCs w:val="20"/>
          <w:color w:val="auto"/>
        </w:rPr>
      </w:pPr>
    </w:p>
    <w:p>
      <w:pPr>
        <w:sectPr>
          <w:pgSz w:w="11900" w:h="16838" w:orient="portrait"/>
          <w:cols w:equalWidth="0" w:num="2">
            <w:col w:w="5260" w:space="480"/>
            <w:col w:w="5500"/>
          </w:cols>
          <w:pgMar w:left="320" w:top="711" w:right="339" w:bottom="264"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Annual vote on board renewal</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otherwise specified in the certificate of incorporation or bylaws of the corporation, directors shall be elected by a plurality of votes of the shareholders on a date and at a time designated by or in the manner provided in the bylaws. Re-election is possible.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is elected by resolution adopted at the annual shareholders’ meeting of the Company for the period established at the time of election but in no case for longer than three fiscal years. Directors may, but are not required to be, shareholders and may be reappointed for successive terms.</w:t>
      </w:r>
    </w:p>
    <w:p>
      <w:pPr>
        <w:spacing w:after="0" w:line="183" w:lineRule="exact"/>
        <w:rPr>
          <w:sz w:val="20"/>
          <w:szCs w:val="20"/>
          <w:color w:val="auto"/>
        </w:rPr>
      </w:pPr>
    </w:p>
    <w:p>
      <w:pPr>
        <w:sectPr>
          <w:pgSz w:w="11900" w:h="16838" w:orient="portrait"/>
          <w:cols w:equalWidth="0" w:num="2">
            <w:col w:w="5300" w:space="440"/>
            <w:col w:w="5500"/>
          </w:cols>
          <w:pgMar w:left="320" w:top="711" w:right="339" w:bottom="264" w:gutter="0" w:footer="0" w:header="0"/>
          <w:type w:val="continuous"/>
        </w:sectPr>
      </w:pPr>
    </w:p>
    <w:p>
      <w:pPr>
        <w:jc w:val="center"/>
        <w:spacing w:after="0"/>
        <w:rPr>
          <w:sz w:val="20"/>
          <w:szCs w:val="20"/>
          <w:color w:val="auto"/>
        </w:rPr>
      </w:pPr>
      <w:r>
        <w:rPr>
          <w:rFonts w:ascii="Arial" w:cs="Arial" w:eastAsia="Arial" w:hAnsi="Arial"/>
          <w:sz w:val="13"/>
          <w:szCs w:val="13"/>
          <w:i w:val="1"/>
          <w:iCs w:val="1"/>
          <w:color w:val="auto"/>
        </w:rPr>
        <w:t>Indemnification of directors and executive management and limitation of liability</w:t>
      </w:r>
    </w:p>
    <w:p>
      <w:pPr>
        <w:sectPr>
          <w:pgSz w:w="11900" w:h="16838" w:orient="portrait"/>
          <w:cols w:equalWidth="0" w:num="1">
            <w:col w:w="11240"/>
          </w:cols>
          <w:pgMar w:left="320" w:top="711" w:right="339" w:bottom="264" w:gutter="0" w:footer="0" w:header="0"/>
          <w:type w:val="continuous"/>
        </w:sectPr>
      </w:pPr>
    </w:p>
    <w:p>
      <w:pPr>
        <w:spacing w:after="0" w:line="21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officers, employees or agents of the corporation for monetary damages for breach of a fiduciary duty as a director, except no provision in the certificate of incorporation may eliminate or limit the liability of a director for:</w:t>
      </w:r>
    </w:p>
    <w:p>
      <w:pPr>
        <w:spacing w:after="0" w:line="219" w:lineRule="exact"/>
        <w:rPr>
          <w:sz w:val="20"/>
          <w:szCs w:val="20"/>
          <w:color w:val="auto"/>
        </w:rPr>
      </w:pPr>
    </w:p>
    <w:p>
      <w:pPr>
        <w:ind w:left="400" w:right="420" w:hanging="248"/>
        <w:spacing w:after="0" w:line="277" w:lineRule="auto"/>
        <w:tabs>
          <w:tab w:leader="none" w:pos="4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400" w:right="520" w:hanging="248"/>
        <w:spacing w:after="0" w:line="277" w:lineRule="auto"/>
        <w:tabs>
          <w:tab w:leader="none" w:pos="4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400" w:hanging="248"/>
        <w:spacing w:after="0" w:line="277" w:lineRule="auto"/>
        <w:tabs>
          <w:tab w:leader="none" w:pos="4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share purchase or redemption; or</w:t>
      </w:r>
    </w:p>
    <w:p>
      <w:pPr>
        <w:spacing w:after="0" w:line="170" w:lineRule="exact"/>
        <w:rPr>
          <w:rFonts w:ascii="Arial" w:cs="Arial" w:eastAsia="Arial" w:hAnsi="Arial"/>
          <w:sz w:val="18"/>
          <w:szCs w:val="18"/>
          <w:color w:val="auto"/>
        </w:rPr>
      </w:pPr>
    </w:p>
    <w:p>
      <w:pPr>
        <w:ind w:left="400" w:right="80" w:hanging="248"/>
        <w:spacing w:after="0" w:line="277" w:lineRule="auto"/>
        <w:tabs>
          <w:tab w:leader="none" w:pos="40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211" w:lineRule="exact"/>
        <w:rPr>
          <w:sz w:val="20"/>
          <w:szCs w:val="20"/>
          <w:color w:val="auto"/>
        </w:rPr>
      </w:pPr>
    </w:p>
    <w:p>
      <w:pPr>
        <w:ind w:left="400" w:right="760" w:hanging="248"/>
        <w:spacing w:after="0" w:line="277" w:lineRule="auto"/>
        <w:tabs>
          <w:tab w:leader="none" w:pos="4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170" w:lineRule="exact"/>
        <w:rPr>
          <w:rFonts w:ascii="Arial" w:cs="Arial" w:eastAsia="Arial" w:hAnsi="Arial"/>
          <w:sz w:val="18"/>
          <w:szCs w:val="18"/>
          <w:color w:val="auto"/>
        </w:rPr>
      </w:pPr>
    </w:p>
    <w:p>
      <w:pPr>
        <w:ind w:left="400" w:right="480" w:hanging="248"/>
        <w:spacing w:after="0" w:line="277" w:lineRule="auto"/>
        <w:tabs>
          <w:tab w:leader="none" w:pos="4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170" w:lineRule="exact"/>
        <w:rPr>
          <w:rFonts w:ascii="Arial" w:cs="Arial" w:eastAsia="Arial" w:hAnsi="Arial"/>
          <w:sz w:val="18"/>
          <w:szCs w:val="18"/>
          <w:color w:val="auto"/>
        </w:rPr>
      </w:pPr>
    </w:p>
    <w:p>
      <w:pPr>
        <w:ind w:left="400" w:right="480" w:hanging="248"/>
        <w:spacing w:after="0" w:line="308" w:lineRule="auto"/>
        <w:tabs>
          <w:tab w:leader="none" w:pos="40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146" w:lineRule="exact"/>
        <w:rPr>
          <w:rFonts w:ascii="Arial" w:cs="Arial" w:eastAsia="Arial" w:hAnsi="Arial"/>
          <w:sz w:val="17"/>
          <w:szCs w:val="17"/>
          <w:color w:val="auto"/>
        </w:rPr>
      </w:pPr>
    </w:p>
    <w:p>
      <w:pPr>
        <w:ind w:left="400" w:hanging="248"/>
        <w:spacing w:after="0"/>
        <w:tabs>
          <w:tab w:leader="none" w:pos="4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Italian law requires directors and members of any committee designated by the board of directors to perform their duties with the degree of diligence required by the nature of their office and according to their specific level of competence. Liability should never arise from business judgments under the circumstances, even if the decisions made entail significant economic risks, but be attributable only to lack of diligence by the director in appreciating in advance the risk involved in the transaction to be undertaken, and therefore, the omission of possible precautions, assessments or the lack of information normally required for a decision of that type, taken under those circumstances and in that manner. Directors are liable to the company’s creditors when their improper management conduct impairs the company’s assets and prevents the company from satisfying creditors’ claims. If the company cannot repay its creditors, and a court determines that the directors did not adequately perform their duties relating to the preservation of assets, the court may find directors liable.</w:t>
      </w:r>
    </w:p>
    <w:p>
      <w:pPr>
        <w:spacing w:after="0" w:line="6055" w:lineRule="exact"/>
        <w:rPr>
          <w:sz w:val="20"/>
          <w:szCs w:val="20"/>
          <w:color w:val="auto"/>
        </w:rPr>
      </w:pPr>
    </w:p>
    <w:p>
      <w:pPr>
        <w:sectPr>
          <w:pgSz w:w="11900" w:h="16838" w:orient="portrait"/>
          <w:cols w:equalWidth="0" w:num="2">
            <w:col w:w="5480" w:space="260"/>
            <w:col w:w="5500"/>
          </w:cols>
          <w:pgMar w:left="320" w:top="711" w:right="339" w:bottom="264"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Moreover, a Delaware corporation may not indemnify a director or officer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any proceeding in which the director or officer has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adjudged to be liable to the corporation unless and only to the extent that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determines that, despite the adjudication of liability but in view of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circumstances of the case, the director or officer is fairly and reasonably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entitled to indemnity for those expenses which the court deems proper.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264" w:gutter="0" w:footer="0" w:header="0"/>
          <w:type w:val="continuous"/>
        </w:sectPr>
      </w:pPr>
    </w:p>
    <w:bookmarkStart w:id="184" w:name="page185"/>
    <w:bookmarkEnd w:id="18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auto"/>
        </w:rPr>
        <w:t>Directors’ fiduciary duties</w:t>
      </w:r>
    </w:p>
    <w:p>
      <w:pPr>
        <w:sectPr>
          <w:pgSz w:w="11900" w:h="16838" w:orient="portrait"/>
          <w:cols w:equalWidth="0" w:num="1">
            <w:col w:w="11020"/>
          </w:cols>
          <w:pgMar w:left="320" w:top="711" w:right="55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 the duty of care and the duty of loyalty.</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Italian law, directors must perform their duties and responsibilities with the degree of diligence required by the nature of their tasks and according to their level of competence.</w:t>
      </w:r>
    </w:p>
    <w:p>
      <w:pPr>
        <w:spacing w:after="0" w:line="4584" w:lineRule="exact"/>
        <w:rPr>
          <w:sz w:val="20"/>
          <w:szCs w:val="20"/>
          <w:color w:val="auto"/>
        </w:rPr>
      </w:pPr>
    </w:p>
    <w:p>
      <w:pPr>
        <w:sectPr>
          <w:pgSz w:w="11900" w:h="16838" w:orient="portrait"/>
          <w:cols w:equalWidth="0" w:num="2">
            <w:col w:w="5520" w:space="220"/>
            <w:col w:w="5280"/>
          </w:cols>
          <w:pgMar w:left="320" w:top="711" w:right="55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711" w:right="559" w:bottom="1440" w:gutter="0" w:footer="0" w:header="0"/>
          <w:type w:val="continuous"/>
        </w:sectPr>
      </w:pPr>
    </w:p>
    <w:bookmarkStart w:id="185" w:name="page186"/>
    <w:bookmarkEnd w:id="185"/>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Shareholder action by written consent</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Under Italian law, shareholders may not act without a meeting.</w:t>
      </w:r>
    </w:p>
    <w:p>
      <w:pPr>
        <w:spacing w:after="0" w:line="459" w:lineRule="exact"/>
        <w:rPr>
          <w:sz w:val="20"/>
          <w:szCs w:val="20"/>
          <w:color w:val="auto"/>
        </w:rPr>
      </w:pPr>
    </w:p>
    <w:p>
      <w:pPr>
        <w:sectPr>
          <w:pgSz w:w="11900" w:h="16838" w:orient="portrait"/>
          <w:cols w:equalWidth="0" w:num="2">
            <w:col w:w="5260" w:space="4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Special/extraordinary meetings of shareholders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Delaware law, special meetings of shareholders may be called by the board of directors or by such person or persons as may be authorized by the certificate of incorporation or the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Italian law, a shareholders’ meeting, both ordinary and extraordinary, may be called by the board of directors and must be called if requested by holders of at least 10% of the share capital in the case of a Private Company, as is our case, or for an Open Company, at least 5% of the share capital, unless in either case the bylaws establish a lower threshold . Shareholders are not entitled to request that a meeting of shareholders be convened to vote on issues which as a matter of law are within the authority of the board of directors. If a request by the shareholders for a meeting is rejected by the board of directors, and such refusal is unjustified, the meeting may be called by a competent court.</w:t>
      </w:r>
    </w:p>
    <w:p>
      <w:pPr>
        <w:spacing w:after="0" w:line="164" w:lineRule="exact"/>
        <w:rPr>
          <w:sz w:val="20"/>
          <w:szCs w:val="20"/>
          <w:color w:val="auto"/>
        </w:rPr>
      </w:pPr>
    </w:p>
    <w:p>
      <w:pPr>
        <w:sectPr>
          <w:pgSz w:w="11900" w:h="16838" w:orient="portrait"/>
          <w:cols w:equalWidth="0" w:num="2">
            <w:col w:w="5460" w:space="2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2"/>
          <w:szCs w:val="12"/>
          <w:i w:val="1"/>
          <w:iCs w:val="1"/>
          <w:color w:val="auto"/>
        </w:rPr>
        <w:t>Shareholder proposals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Registered holders of the Company’s ordinary shares are entitled to attend and vote at all ordinary and extraordinary shareholders’ meetings.</w:t>
      </w:r>
    </w:p>
    <w:p>
      <w:pPr>
        <w:spacing w:after="0" w:line="15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shareholders representing at least 10% of the share capital in the case of a Private Company, as is our case, or for an Open Company, at least 5% of the share capital, unless in either case the bylaws establish lower threshold, request the board of directors to call a meeting of shareholders, they must set out in their request the proposals to be discussed.</w:t>
      </w:r>
    </w:p>
    <w:p>
      <w:pPr>
        <w:spacing w:after="0" w:line="157" w:lineRule="exact"/>
        <w:rPr>
          <w:sz w:val="20"/>
          <w:szCs w:val="20"/>
          <w:color w:val="auto"/>
        </w:rPr>
      </w:pPr>
    </w:p>
    <w:p>
      <w:pPr>
        <w:sectPr>
          <w:pgSz w:w="11900" w:h="16838" w:orient="portrait"/>
          <w:cols w:equalWidth="0" w:num="2">
            <w:col w:w="5360" w:space="380"/>
            <w:col w:w="5480"/>
          </w:cols>
          <w:pgMar w:left="320" w:top="711" w:right="35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Cumulative voting</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Under Italian law, shareholders are not entitled to elect directors through cumulative voting. Directors are elected by a majority of the votes cast by the shareholders entitled to vote in person or by proxy at an ordinary meeting of shareholders at which the relevant quorum is met.</w:t>
      </w:r>
    </w:p>
    <w:p>
      <w:pPr>
        <w:spacing w:after="0" w:line="153" w:lineRule="exact"/>
        <w:rPr>
          <w:sz w:val="20"/>
          <w:szCs w:val="20"/>
          <w:color w:val="auto"/>
        </w:rPr>
      </w:pPr>
    </w:p>
    <w:p>
      <w:pPr>
        <w:sectPr>
          <w:pgSz w:w="11900" w:h="16838" w:orient="portrait"/>
          <w:cols w:equalWidth="0" w:num="2">
            <w:col w:w="5400" w:space="34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Board action by written consent</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Delaware law, any action required or permitted to be taken at any meeting of the board of directors may be taken without a meeting if all members of the board consent to the action in writing or by electronic transmission, and the writing or electronic transmission is filed with the minutes of proceedings of the board,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 Italian law, directors of a corporation may not act without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00" w:space="280"/>
            <w:col w:w="5740"/>
          </w:cols>
          <w:pgMar w:left="320" w:top="711" w:right="359" w:bottom="1440" w:gutter="0" w:footer="0" w:header="0"/>
          <w:type w:val="continuous"/>
        </w:sectPr>
      </w:pPr>
    </w:p>
    <w:bookmarkStart w:id="186" w:name="page187"/>
    <w:bookmarkEnd w:id="186"/>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Removal of directors</w:t>
      </w:r>
    </w:p>
    <w:p>
      <w:pPr>
        <w:sectPr>
          <w:pgSz w:w="11900" w:h="16838" w:orient="portrait"/>
          <w:cols w:equalWidth="0" w:num="1">
            <w:col w:w="11200"/>
          </w:cols>
          <w:pgMar w:left="320" w:top="711" w:right="37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there is cumulative voting or there is a classified board, generally a director or the entire board of directors may be removed, with or without cause, by the holders of a majority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Italian law, a director may be removed from office at any time by the vote of shareholders at an ordinary shareholders’ meeting. The removal is immediately effective against third parties only upon entry of the relevant resolution in the Companies Register.</w:t>
      </w:r>
    </w:p>
    <w:p>
      <w:pPr>
        <w:spacing w:after="0" w:line="2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resolution approved at a shareholders’ meeting of claim for liability against a director or the occurrence of causes of ineligibility to serve under applicable law constitute just cause for removal.</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removal of a director is without just cause, the director may have a claim for damages against the company. These damages may include, but are not limited to, compensation that would otherwise have been paid to the director for the remainder of his or her term and damage to his or her reputation.</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may resign at any time by written notice to the board of directors and to the chairman of the board of statutory auditors. The board of directors, subject to the approval of the board of statutory auditors, must appoint substitute directors to fill any vacancies caused by removal or resignation of directors, and the substitute will serve until the next ordinary shareholders’ meeting. If, at any time, more than half of the members of the board of directors elected by shareholders resign, such resignation is ineffective until a majority of the new board of directors has been elected. In such a case, the remaining members of the board of directors (or the board of statutory auditors if all the members of the board of directors have resigned or ceased to be directors) must promptly call an ordinary shareholders’ meeting to elect new directors.</w:t>
      </w:r>
    </w:p>
    <w:p>
      <w:pPr>
        <w:spacing w:after="0" w:line="163" w:lineRule="exact"/>
        <w:rPr>
          <w:sz w:val="20"/>
          <w:szCs w:val="20"/>
          <w:color w:val="auto"/>
        </w:rPr>
      </w:pPr>
    </w:p>
    <w:p>
      <w:pPr>
        <w:sectPr>
          <w:pgSz w:w="11900" w:h="16838" w:orient="portrait"/>
          <w:cols w:equalWidth="0" w:num="2">
            <w:col w:w="5360" w:space="380"/>
            <w:col w:w="5460"/>
          </w:cols>
          <w:pgMar w:left="320" w:top="711" w:right="379" w:bottom="1440" w:gutter="0" w:footer="0" w:header="0"/>
          <w:type w:val="continuous"/>
        </w:sectPr>
      </w:pPr>
    </w:p>
    <w:p>
      <w:pPr>
        <w:jc w:val="center"/>
        <w:ind w:right="-39"/>
        <w:spacing w:after="0"/>
        <w:rPr>
          <w:sz w:val="20"/>
          <w:szCs w:val="20"/>
          <w:color w:val="auto"/>
        </w:rPr>
      </w:pPr>
      <w:r>
        <w:rPr>
          <w:rFonts w:ascii="Arial" w:cs="Arial" w:eastAsia="Arial" w:hAnsi="Arial"/>
          <w:sz w:val="13"/>
          <w:szCs w:val="13"/>
          <w:i w:val="1"/>
          <w:iCs w:val="1"/>
          <w:color w:val="auto"/>
        </w:rPr>
        <w:t>Transactions with interested shareholders or directors</w:t>
      </w:r>
    </w:p>
    <w:p>
      <w:pPr>
        <w:sectPr>
          <w:pgSz w:w="11900" w:h="16838" w:orient="portrait"/>
          <w:cols w:equalWidth="0" w:num="1">
            <w:col w:w="11200"/>
          </w:cols>
          <w:pgMar w:left="320" w:top="711" w:right="379" w:bottom="1440" w:gutter="0" w:footer="0" w:header="0"/>
          <w:type w:val="continuous"/>
        </w:sectPr>
      </w:pP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Italian law provides that a resolution approved at a shareholders’ meeting with the vote of shareholders who have, directly or indirectly, a conflict of interest with the company may be challenged.</w:t>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Italian law, a director having a personal interest in a proposed transaction must disclose his or her interest to the board of directors and to the board of statutory auditors, even if such interest does not conflict with the company’s interest in the transaction. The interested director is not required to abstain from voting on the resolution approving the transaction, but the resolution must explicitly state the reasons for the approved transaction and the benefit of the transaction to the company. If these provisions are not complied with, or if the transaction would not have been approved without the vote of the interested director, the resolution may be challenged within 90 days by any director or by the board of statutory auditors on grounds that the approved transaction would be prejudicial to the company. An authorized representative of the company having any interest in a proposed transaction that he or she has authority to approve must solicit prior board approval before consenting to such transaction. An interested director may be held liable for damages to the company resulting from a resolution adopted in breach of the above requirements. Finally, a director may be held liable for illicitly profiting from insider information or a corporate opportunity.</w:t>
      </w:r>
    </w:p>
    <w:p>
      <w:pPr>
        <w:spacing w:after="0" w:line="200" w:lineRule="exact"/>
        <w:rPr>
          <w:sz w:val="20"/>
          <w:szCs w:val="20"/>
          <w:color w:val="auto"/>
        </w:rPr>
      </w:pPr>
    </w:p>
    <w:p>
      <w:pPr>
        <w:sectPr>
          <w:pgSz w:w="11900" w:h="16838" w:orient="portrait"/>
          <w:cols w:equalWidth="0" w:num="2">
            <w:col w:w="5420" w:space="320"/>
            <w:col w:w="5460"/>
          </w:cols>
          <w:pgMar w:left="320" w:top="711" w:right="379" w:bottom="1440" w:gutter="0" w:footer="0" w:header="0"/>
          <w:type w:val="continuous"/>
        </w:sect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11" w:right="379" w:bottom="1440" w:gutter="0" w:footer="0" w:header="0"/>
          <w:type w:val="continuous"/>
        </w:sectPr>
      </w:pPr>
    </w:p>
    <w:bookmarkStart w:id="187" w:name="page188"/>
    <w:bookmarkEnd w:id="187"/>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Dissolution; winding up</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Italian law, and subject to the satisfaction of the claims of all creditors, upon liquidation shareholders are entitled to a distribution that is equal to a per share amount equal to positive liquidation balance divided by the number of shares outstanding. Asset distribution to preferred shareholders and holders of “participating certificates” upon corporate dissolution is typically provided by established contractual preferences. Once the rights of preferred shareholders and holders of participating certificates have been fully satisfied, holders of ordinary shares are entitled to any remaining assets.</w:t>
      </w:r>
    </w:p>
    <w:p>
      <w:pPr>
        <w:spacing w:after="0" w:line="176"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3"/>
          <w:szCs w:val="13"/>
          <w:i w:val="1"/>
          <w:iCs w:val="1"/>
          <w:color w:val="auto"/>
        </w:rPr>
        <w:t>Variation of rights of shares</w:t>
      </w:r>
    </w:p>
    <w:p>
      <w:pPr>
        <w:sectPr>
          <w:pgSz w:w="11900" w:h="16838" w:orient="portrait"/>
          <w:cols w:equalWidth="0" w:num="1">
            <w:col w:w="11220"/>
          </w:cols>
          <w:pgMar w:left="320" w:top="711" w:right="359" w:bottom="1440" w:gutter="0" w:footer="0" w:header="0"/>
          <w:type w:val="continuous"/>
        </w:sect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Italian law allows the Company to issue preference shares with limited voting rights, other classes of equity securities with different economic and voting rights, shares with economic rights related to the results of the corporate activity in a specific sector, “participation instruments” (</w:t>
      </w:r>
      <w:r>
        <w:rPr>
          <w:rFonts w:ascii="Arial" w:cs="Arial" w:eastAsia="Arial" w:hAnsi="Arial"/>
          <w:sz w:val="17"/>
          <w:szCs w:val="17"/>
          <w:i w:val="1"/>
          <w:iCs w:val="1"/>
          <w:color w:val="auto"/>
        </w:rPr>
        <w:t>strumenti</w:t>
      </w:r>
      <w:r>
        <w:rPr>
          <w:rFonts w:ascii="Arial" w:cs="Arial" w:eastAsia="Arial" w:hAnsi="Arial"/>
          <w:sz w:val="17"/>
          <w:szCs w:val="17"/>
          <w:color w:val="auto"/>
        </w:rPr>
        <w:t xml:space="preserve"> </w:t>
      </w:r>
      <w:r>
        <w:rPr>
          <w:rFonts w:ascii="Arial" w:cs="Arial" w:eastAsia="Arial" w:hAnsi="Arial"/>
          <w:sz w:val="17"/>
          <w:szCs w:val="17"/>
          <w:i w:val="1"/>
          <w:iCs w:val="1"/>
          <w:color w:val="auto"/>
        </w:rPr>
        <w:t>finanziari partecipativi</w:t>
      </w:r>
      <w:r>
        <w:rPr>
          <w:rFonts w:ascii="Arial" w:cs="Arial" w:eastAsia="Arial" w:hAnsi="Arial"/>
          <w:sz w:val="17"/>
          <w:szCs w:val="17"/>
          <w:color w:val="auto"/>
        </w:rPr>
        <w:t>) with limited economic and voting rights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by shareholders or third parties, of work or services, as well as “participation instruments” in favor of employees.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88" w:name="page189"/>
    <w:bookmarkEnd w:id="188"/>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Amendment of governing documents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Italian law, the charter documents consist of articles of association and bylaws. An amendment to these documents requires the approval of shareholders at an extraordinary shareholders’ meeting with the following majorities for a Private Company, such as ours: on the first call, more than half of the share capital, and on the second call, at least two-thirds of the shares present or represented at the meeting, provided that a quorum of more than one-third of the share capital is present or represented. Certain matters (such as a change in business purpose or corporate form, demergers, mergers, the transfer of the registered office outside Italy, liquidation prior to the term set forth in its bylaws, extension of the company’s term, the revocation of liquidation and the issuance of special categories of shares) must be approved by the extraordinary shareholders’ meeting pursuant to the same requirements.</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For an Open Company, according to Italian law, such resolutions are adopted, on the first call, by a majority of at least two-thirds of the shares present or represented at such meeting, provided that a quorum of at least half of the share capital is present or represented; on the second call, by a majority of at least two-thirds of the shares present or represented at such meeting, provided that a quorum of more than one-third of the share capital is present or represented; on the third and subsequent calls, by a majority of at least two-thirds of the shares present or represented at such meeting, provided that a quorum of at least one-fifth of the share capital is present or represented.</w:t>
      </w:r>
    </w:p>
    <w:p>
      <w:pPr>
        <w:spacing w:after="0" w:line="21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Under Italian law, a shareholder who has not participated in a resolution amending the bylaws that involves a change in the rights attached to its shares has the right to withdraw from the company.</w:t>
      </w:r>
    </w:p>
    <w:p>
      <w:pPr>
        <w:spacing w:after="0" w:line="192" w:lineRule="exact"/>
        <w:rPr>
          <w:sz w:val="20"/>
          <w:szCs w:val="20"/>
          <w:color w:val="auto"/>
        </w:rPr>
      </w:pPr>
    </w:p>
    <w:p>
      <w:pPr>
        <w:sectPr>
          <w:pgSz w:w="11900" w:h="16838" w:orient="portrait"/>
          <w:cols w:equalWidth="0" w:num="2">
            <w:col w:w="5380" w:space="36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89" w:name="page190"/>
    <w:bookmarkEnd w:id="189"/>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Inspection of Books and Records</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Italian law, our shareholders may review the report of the board of directors on the management of the company and the report of the statutory auditors and external auditor on the financial statements during the 15 days prior to the ordinary shareholders’ meeting called to approve those financial statements. The report remains on file at the company’s office and is also filed with the Companies’ Register of Milan and made publicly available. Moreover, any shareholder is entitled to examine the ledger of the minutes of the shareholders’ meeting at any time.</w:t>
      </w:r>
    </w:p>
    <w:p>
      <w:pPr>
        <w:spacing w:after="0" w:line="20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For an Open Company, insofar as the ownership of the share capital may vary on a daily basis and transfers are electronically registered by intermediaries (banks and financial institutions), the record holder shall be determined according to certifications or communications to the company from intermediaries, based to their own accounting records.</w:t>
      </w:r>
    </w:p>
    <w:p>
      <w:pPr>
        <w:spacing w:after="0" w:line="172" w:lineRule="exact"/>
        <w:rPr>
          <w:sz w:val="20"/>
          <w:szCs w:val="20"/>
          <w:color w:val="auto"/>
        </w:rPr>
      </w:pPr>
    </w:p>
    <w:p>
      <w:pPr>
        <w:sectPr>
          <w:pgSz w:w="11900" w:h="16838" w:orient="portrait"/>
          <w:cols w:equalWidth="0" w:num="2">
            <w:col w:w="5420" w:space="320"/>
            <w:col w:w="5480"/>
          </w:cols>
          <w:pgMar w:left="320" w:top="711" w:right="359" w:bottom="1440" w:gutter="0" w:footer="0" w:header="0"/>
          <w:type w:val="continuous"/>
        </w:sectPr>
      </w:pPr>
    </w:p>
    <w:p>
      <w:pPr>
        <w:jc w:val="center"/>
        <w:ind w:right="-19"/>
        <w:spacing w:after="0"/>
        <w:rPr>
          <w:sz w:val="20"/>
          <w:szCs w:val="20"/>
          <w:color w:val="auto"/>
        </w:rPr>
      </w:pPr>
      <w:r>
        <w:rPr>
          <w:rFonts w:ascii="Arial" w:cs="Arial" w:eastAsia="Arial" w:hAnsi="Arial"/>
          <w:sz w:val="12"/>
          <w:szCs w:val="12"/>
          <w:i w:val="1"/>
          <w:iCs w:val="1"/>
          <w:color w:val="auto"/>
        </w:rPr>
        <w:t>Payment of dividends</w:t>
      </w:r>
    </w:p>
    <w:p>
      <w:pPr>
        <w:sectPr>
          <w:pgSz w:w="11900" w:h="16838" w:orient="portrait"/>
          <w:cols w:equalWidth="0" w:num="1">
            <w:col w:w="11220"/>
          </w:cols>
          <w:pgMar w:left="320" w:top="711" w:right="359" w:bottom="1440" w:gutter="0" w:footer="0" w:header="0"/>
          <w:type w:val="continuous"/>
        </w:sectPr>
      </w:pP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214" w:lineRule="exact"/>
        <w:rPr>
          <w:sz w:val="20"/>
          <w:szCs w:val="20"/>
          <w:color w:val="auto"/>
        </w:rPr>
      </w:pPr>
    </w:p>
    <w:p>
      <w:pPr>
        <w:ind w:left="400" w:hanging="248"/>
        <w:spacing w:after="0"/>
        <w:tabs>
          <w:tab w:leader="none" w:pos="4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400" w:hanging="248"/>
        <w:spacing w:after="0" w:line="342" w:lineRule="auto"/>
        <w:tabs>
          <w:tab w:leader="none" w:pos="40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60"/>
        <w:spacing w:after="0" w:line="267" w:lineRule="auto"/>
        <w:rPr>
          <w:sz w:val="20"/>
          <w:szCs w:val="20"/>
          <w:color w:val="auto"/>
        </w:rPr>
      </w:pPr>
      <w:r>
        <w:rPr>
          <w:rFonts w:ascii="Arial" w:cs="Arial" w:eastAsia="Arial" w:hAnsi="Arial"/>
          <w:sz w:val="17"/>
          <w:szCs w:val="17"/>
          <w:color w:val="auto"/>
        </w:rPr>
        <w:t>Under Italian law, any payment of dividends must be proposed by the board of directors to the shareholders and is subject to shareholder approval at the annual ordinary shareholders’ meeting. Before dividends may be paid out of profits in any year, the company must allocate an amount equal to 5% of the net profit to a legal reserve until such reserve is at least equal to 20% of the corporate capital. If the corporate capital is reduced as a result of accumulated losses, the company may not pay dividends until the capital is reconstituted or reduced by the amount of such losses. The company may distribute reserves constituting earnings retained from prior years, provided that after such payment the company must have a legal reserve at least equal to the legally required minimum of 20% of corporate capital. If the minimum requirement of a reserve equal to 20% of corporate capital is met, the board of directors could propose the payment of a dividend and the shareholders approve it, the shareholders’ resolution must specify the manner and date of dividend payment. Any dividends which shareholders do not collect within five years of the payment date will be forfeited and the money returned to the company. The board of directors may not approve dividends during the period between annual ordinary shareholders’ meetings.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440" w:space="40"/>
            <w:col w:w="5740"/>
          </w:cols>
          <w:pgMar w:left="320" w:top="711" w:right="359" w:bottom="1440" w:gutter="0" w:footer="0" w:header="0"/>
          <w:type w:val="continuous"/>
        </w:sectPr>
      </w:pPr>
    </w:p>
    <w:bookmarkStart w:id="190" w:name="page191"/>
    <w:bookmarkEnd w:id="190"/>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Return of Capital</w:t>
      </w:r>
    </w:p>
    <w:p>
      <w:pPr>
        <w:sectPr>
          <w:pgSz w:w="11900" w:h="16838" w:orient="portrait"/>
          <w:cols w:equalWidth="0" w:num="1">
            <w:col w:w="11220"/>
          </w:cols>
          <w:pgMar w:left="320" w:top="711" w:right="35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Delaware law provides that corporations may return capital by dividend, redemption or repurchase subject to certain solvency tests. Shareholder approval is not required for these transactions so long as the corporation meets the solvency tests.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Italian law, a company are permitted to purchase outstanding shares, subject to certain conditions and limitations (so-called “</w:t>
      </w:r>
      <w:r>
        <w:rPr>
          <w:rFonts w:ascii="Arial" w:cs="Arial" w:eastAsia="Arial" w:hAnsi="Arial"/>
          <w:sz w:val="16"/>
          <w:szCs w:val="16"/>
          <w:i w:val="1"/>
          <w:iCs w:val="1"/>
          <w:color w:val="auto"/>
        </w:rPr>
        <w:t>azioni proprie</w:t>
      </w:r>
      <w:r>
        <w:rPr>
          <w:rFonts w:ascii="Arial" w:cs="Arial" w:eastAsia="Arial" w:hAnsi="Arial"/>
          <w:sz w:val="16"/>
          <w:szCs w:val="16"/>
          <w:color w:val="auto"/>
        </w:rPr>
        <w:t>”). A company may only purchase shares out of profits available for dividends or out of distributable reserves, in each case as appearing on the latest financial statements approved by shareholders. Further, the company may only repurchase fully paid-in shares. Such purchases and the conditions thereto must be authorized by the shareholders at an ordinary shareholders’ meeting and the approval may not be for a period exceeding 18 months. Shares purchases in excess of the amount approved by shareholders must be sold within one year of the date of purchase and, if not sold, must be cancelled and the corporate capital must be reduced accordingly. Similar limitations apply with respect to purchases of shares by subsidiaries.</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reserve equal to the purchase price of such shares must be created on the balance sheet, and such reserve is not available for dividends, unless the shares are sold or cancelled. Shares purchased and held by the company may be resold only pursuant to a resolution adopted at an ordinary shareholders’ meeting. The voting rights attaching to the shares held by the company or its subsidiaries cannot be exercised, but the shares can be counted for quorum purposes. Dividends and other rights, including pre-emptive rights, attaching to such shares, will accrue to the benefit of other shareholders.</w:t>
      </w:r>
    </w:p>
    <w:p>
      <w:pPr>
        <w:spacing w:after="0" w:line="20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foregoing limitations do not apply in case the company purchases shares: (i) pursuant to a shareholder resolution approved at a shareholders’ meeting authorizing a capital reduction through repurchase or cancellation;</w:t>
      </w:r>
    </w:p>
    <w:p>
      <w:pPr>
        <w:spacing w:after="0" w:line="2" w:lineRule="exact"/>
        <w:rPr>
          <w:sz w:val="20"/>
          <w:szCs w:val="20"/>
          <w:color w:val="auto"/>
        </w:rPr>
      </w:pPr>
    </w:p>
    <w:p>
      <w:pPr>
        <w:ind w:right="20" w:firstLine="5"/>
        <w:spacing w:after="0" w:line="277" w:lineRule="auto"/>
        <w:tabs>
          <w:tab w:leader="none" w:pos="26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without consideration, to the extent the shares are fully paid-in; (iii) as a consequence of merger or demerger; (iv) by foreclosure to satisfy a debt owed to the company, to the extent the shares are fully paid-in.</w:t>
      </w:r>
    </w:p>
    <w:p>
      <w:pPr>
        <w:spacing w:after="0" w:line="200"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As long as such shares remain the property of the company, the right to profits and the right of option are attributed proportionally to the other shares. The right to vote is suspended, but such shares are nevertheless taken into account for the purposes of calculating the majority and the quora required for the constitution and for the resolutions of the shareholders’ meetings.</w:t>
      </w:r>
    </w:p>
    <w:p>
      <w:pPr>
        <w:spacing w:after="0" w:line="200" w:lineRule="exact"/>
        <w:rPr>
          <w:sz w:val="20"/>
          <w:szCs w:val="20"/>
          <w:color w:val="auto"/>
        </w:rPr>
      </w:pPr>
    </w:p>
    <w:p>
      <w:pPr>
        <w:sectPr>
          <w:pgSz w:w="11900" w:h="16838" w:orient="portrait"/>
          <w:cols w:equalWidth="0" w:num="2">
            <w:col w:w="5220" w:space="520"/>
            <w:col w:w="5480"/>
          </w:cols>
          <w:pgMar w:left="320" w:top="711" w:right="359" w:bottom="1440" w:gutter="0" w:footer="0" w:header="0"/>
          <w:type w:val="continuous"/>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type w:val="continuous"/>
        </w:sectPr>
      </w:pPr>
    </w:p>
    <w:bookmarkStart w:id="191" w:name="page192"/>
    <w:bookmarkEnd w:id="191"/>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Creation and issuance of new shares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 approval is required to authorize capital stock in excess of that provided in the charter. The corporation must file a certificate of amendment to its certificate of incorporation before the creation of additional authorized shares may become effective.</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board of directors may, without shareholder consent, authorize capital stock to be issued for consideration consisting of cash, any tangible or intangible property or any benefit to the corporation, or any combination thereof.</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Italian law, the issuance of any shares, ordinary or otherwise, requires an amendment to the bylaws to increase the share capital, which must be recommended to the shareholders by the board of directors and approved by the shareholders at an extraordinary shareholders’ meeting. The board of directors shall then be authorized to issue the securities according to the terms and conditions approved by shareholders. Alternatively, the shareholders can delegate the power to increase the share capital to the board of directors, but the board’s right to exercise such power for up to five years. If the board does not approve a capital increase within five years, the authority expires automatically. With respect to shareholders’ resolutions approving capital increases, Italian law provides that in the absence of meeting minutes or in the event of the impossibility or illegality of the resolution, any interested person may challenge such resolution for a period of 180 days following the filing of the shareholders’ resolution with the Register of Companies. If a shareholders’ meeting was not properly held to approve the capital increase, the relevant resolution should be considered invalid, and any interested person may challenge the capital increase for a period of 90 days following the approval of the financial statements for the year during which the capital increase was executed in whole or in part. Finally, once shareholders authorize a capital increase, all the new authorized shares that have been subscribed must be paid-up in full before a new capital increase may be executed.</w:t>
      </w:r>
    </w:p>
    <w:p>
      <w:pPr>
        <w:spacing w:after="0" w:line="2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By means of shareholders’ extraordinary resolution, the company can also increase its corporate capital (without requesting contributions from its shareholders) by allocating to capital its available reserves and other funds registered in its financial statements (so-called “</w:t>
      </w:r>
      <w:r>
        <w:rPr>
          <w:rFonts w:ascii="Arial" w:cs="Arial" w:eastAsia="Arial" w:hAnsi="Arial"/>
          <w:sz w:val="16"/>
          <w:szCs w:val="16"/>
          <w:i w:val="1"/>
          <w:iCs w:val="1"/>
          <w:color w:val="auto"/>
        </w:rPr>
        <w:t>aumento di capitale</w:t>
      </w:r>
      <w:r>
        <w:rPr>
          <w:rFonts w:ascii="Arial" w:cs="Arial" w:eastAsia="Arial" w:hAnsi="Arial"/>
          <w:sz w:val="16"/>
          <w:szCs w:val="16"/>
          <w:color w:val="auto"/>
        </w:rPr>
        <w:t xml:space="preserve"> </w:t>
      </w:r>
      <w:r>
        <w:rPr>
          <w:rFonts w:ascii="Arial" w:cs="Arial" w:eastAsia="Arial" w:hAnsi="Arial"/>
          <w:sz w:val="16"/>
          <w:szCs w:val="16"/>
          <w:i w:val="1"/>
          <w:iCs w:val="1"/>
          <w:color w:val="auto"/>
        </w:rPr>
        <w:t>gratuito</w:t>
      </w:r>
      <w:r>
        <w:rPr>
          <w:rFonts w:ascii="Arial" w:cs="Arial" w:eastAsia="Arial" w:hAnsi="Arial"/>
          <w:sz w:val="16"/>
          <w:szCs w:val="16"/>
          <w:color w:val="auto"/>
        </w:rPr>
        <w:t>”). In this case, the newly issued shares must have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characteristics as those previously issued, and they must be placed to the shareholders proportionally to their shareholdings in the company.</w:t>
      </w:r>
    </w:p>
    <w:p>
      <w:pPr>
        <w:spacing w:after="0" w:line="193" w:lineRule="exact"/>
        <w:rPr>
          <w:sz w:val="20"/>
          <w:szCs w:val="20"/>
          <w:color w:val="auto"/>
        </w:rPr>
      </w:pPr>
    </w:p>
    <w:p>
      <w:pPr>
        <w:sectPr>
          <w:pgSz w:w="11900" w:h="16838" w:orient="portrait"/>
          <w:cols w:equalWidth="0" w:num="2">
            <w:col w:w="5420" w:space="320"/>
            <w:col w:w="5500"/>
          </w:cols>
          <w:pgMar w:left="320" w:top="711"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2" w:name="page193"/>
    <w:bookmarkEnd w:id="192"/>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Option Rights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Delaware law, shareholders do not possess option rights with respect to the issuance of additional securities by the corporation, unless the certificate of incorporation provides otherwise.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Italian law, shareholders and holders of convertible debentures are entitled to subscribe for newly issued ordinary shares or convertible debentures in proportion to their holdings at the time of authorization of the issuance, except in the case of contributions in kind. Those who exercise such option right, provided they make such request at the same time, have a further pre-emption right with respect to shares and debentures convertible into shares that have not been subscribed. The option rights may be excluded or limited by a shareholders’ resolution approved at an extraordinary meeting of the shareholders, if such exclusion or limitation is in the interest of the company, or if the shares are to be paid for by means of a contribution in kind.</w:t>
      </w:r>
    </w:p>
    <w:p>
      <w:pPr>
        <w:spacing w:after="0" w:line="20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According to Italian law proposals to increase the share capital with the exclusion or limitation of pre-emptive rights must be accompanied by a report of the board of directors setting forth the reasons for the exclusion or limitation, or, if the exclusion derives from a contribution in kind, the reasons for such contribution in kind, and in all cases the criteria adopted for determining the issue price. The report must be communicated by the directors to the board of statutory auditors and to the external auditor at least 30 days prior to the date of the shareholders’ meeting at which the capital increase is to be approved. Within 15 days, the board of statutory auditors must express its opinion on the fairness of the issue price of the new shares. The opinion of the board of statutory auditors and, only in the case of contribution in kind, the sworn report of the expert appointed by a competent court or the documentation provided by Italian law, must be available at the company’s registered office during the 15 days prior to the shareholders’ meeting. Such terms may be waived by unanimous consent of the shareholders. The shareholders’ resolution shall determine the issue price of the shares on the basis of shareholders’ equity, taking into account, in the case of shares listed on a regulated market, also the trend in prices over the last six months. The foregoing procedure shall apply also in case of capital increase delegated to the board of directors.</w:t>
      </w:r>
    </w:p>
    <w:p>
      <w:pPr>
        <w:spacing w:after="0" w:line="200" w:lineRule="exact"/>
        <w:rPr>
          <w:sz w:val="20"/>
          <w:szCs w:val="20"/>
          <w:color w:val="auto"/>
        </w:rPr>
      </w:pPr>
    </w:p>
    <w:p>
      <w:pPr>
        <w:sectPr>
          <w:pgSz w:w="11900" w:h="16838" w:orient="portrait"/>
          <w:cols w:equalWidth="0" w:num="2">
            <w:col w:w="5440" w:space="300"/>
            <w:col w:w="5500"/>
          </w:cols>
          <w:pgMar w:left="320" w:top="711" w:right="339" w:bottom="1440" w:gutter="0" w:footer="0" w:header="0"/>
          <w:type w:val="continuous"/>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3" w:name="page194"/>
    <w:bookmarkEnd w:id="193"/>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Debt-equity ratio</w:t>
      </w:r>
    </w:p>
    <w:p>
      <w:pPr>
        <w:sectPr>
          <w:pgSz w:w="11900" w:h="16838" w:orient="portrait"/>
          <w:cols w:equalWidth="0" w:num="1">
            <w:col w:w="11180"/>
          </w:cols>
          <w:pgMar w:left="320" w:top="711" w:right="39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there are no restrictions on the amount of debt securities that a corporation may issue.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260"/>
        <w:spacing w:after="0" w:line="287" w:lineRule="auto"/>
        <w:rPr>
          <w:sz w:val="20"/>
          <w:szCs w:val="20"/>
          <w:color w:val="auto"/>
        </w:rPr>
      </w:pPr>
      <w:r>
        <w:rPr>
          <w:rFonts w:ascii="Arial" w:cs="Arial" w:eastAsia="Arial" w:hAnsi="Arial"/>
          <w:sz w:val="16"/>
          <w:szCs w:val="16"/>
          <w:color w:val="auto"/>
        </w:rPr>
        <w:t>Under Italian law, a company may issue debt securities in an amount not to exceed twice the sum of its corporate capital, plus legal reserves and any other disposable reserves appearing on the latest balance sheet approved by the shareholders. The board of statutory auditors must certify compliance with such limitation. This limitation may be exceeded if the debt securities issued in excess are intended for subscription by professional investors subject to regulatory supervision pursuant to special laws. In the event of subsequent circulation of the debt security, whoever transfers them is liable for the solvency of the company vis-à-vis buyers who are not professional investors. The rules indicated above do not apply in case we intend to issue debt securities to be listed on regulated markets or multilateral trading systems or which have attached the right to purchase or subscribe shares.</w:t>
      </w:r>
    </w:p>
    <w:p>
      <w:pPr>
        <w:spacing w:after="0" w:line="195" w:lineRule="exact"/>
        <w:rPr>
          <w:sz w:val="20"/>
          <w:szCs w:val="20"/>
          <w:color w:val="auto"/>
        </w:rPr>
      </w:pPr>
    </w:p>
    <w:p>
      <w:pPr>
        <w:ind w:left="260"/>
        <w:spacing w:after="0" w:line="284" w:lineRule="auto"/>
        <w:rPr>
          <w:sz w:val="20"/>
          <w:szCs w:val="20"/>
          <w:color w:val="auto"/>
        </w:rPr>
      </w:pPr>
      <w:r>
        <w:rPr>
          <w:rFonts w:ascii="Arial" w:cs="Arial" w:eastAsia="Arial" w:hAnsi="Arial"/>
          <w:sz w:val="16"/>
          <w:szCs w:val="16"/>
          <w:color w:val="auto"/>
        </w:rPr>
        <w:t>The legal reserve is a reserve to which a company must allocate 5% of its net income each year until it equals at least 20% of the corporate capital. Another reserve is a “share premium reserve,” which reflects the amount paid for ordinary shares in excess of the amount allocated to corporate capital. Until its outstanding debt securities are repaid in full, a company may not voluntarily reduce its corporate capital or distribute reserves (such as by declaring dividends) if, by doing so, it fails to meet the limitation indicated above. In the event of mandatory capital reduction, or if reserves reduce as a consequence of losses, the company may not distribute dividends until the aggregate of corporate capital and reserves, following such reduction of capital and/or distribution of reserves, is equal or exceeding half of the outstanding principal amount of debt securities. If our equity is reduced by losses or otherwise, such that the principal amount of outstanding debt securities is more than twice the amount of the company’s equity, the company cannot pay dividends to shareholders until the minimum ratio between the amount of debt securities and our capital and reserves is restored. Some legal scholars are of the opinion that the ratio must be restored by a recapitalization of the company. If equity is reduced, a company could recapitalize by means of issuing new shares or having current shareholders contribute additional capital, although there can be no assurance that we would be able to find purchasers for new shares or that any of our current shareholders would be willing to contribute additional capital. These provisions regarding the ratio of debt securities to corporate capital and reserves do not apply to the issuance of debt securities to professional investors (as defined by Italian law). However, professional investors who transfer such debt securities issued by us to third parties not qualified as professional investors would remain liable to our third-party investors for the payment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900" w:space="580"/>
            <w:col w:w="5700"/>
          </w:cols>
          <w:pgMar w:left="320" w:top="711" w:right="399" w:bottom="1440" w:gutter="0" w:footer="0" w:header="0"/>
          <w:type w:val="continuous"/>
        </w:sectPr>
      </w:pPr>
    </w:p>
    <w:bookmarkStart w:id="194" w:name="page195"/>
    <w:bookmarkEnd w:id="194"/>
    <w:p>
      <w:pPr>
        <w:ind w:left="1700"/>
        <w:spacing w:after="0"/>
        <w:tabs>
          <w:tab w:leader="none" w:pos="7520" w:val="left"/>
        </w:tabs>
        <w:rPr>
          <w:sz w:val="20"/>
          <w:szCs w:val="20"/>
          <w:color w:val="auto"/>
        </w:rPr>
      </w:pPr>
      <w:r>
        <w:rPr>
          <w:rFonts w:ascii="Arial" w:cs="Arial" w:eastAsia="Arial" w:hAnsi="Arial"/>
          <w:sz w:val="14"/>
          <w:szCs w:val="14"/>
          <w:b w:val="1"/>
          <w:bCs w:val="1"/>
          <w:color w:val="auto"/>
        </w:rPr>
        <w:t>DELAWARE CORPORATE LAW</w:t>
      </w:r>
      <w:r>
        <w:rPr>
          <w:sz w:val="20"/>
          <w:szCs w:val="20"/>
          <w:color w:val="auto"/>
        </w:rPr>
        <w:tab/>
      </w:r>
      <w:r>
        <w:rPr>
          <w:rFonts w:ascii="Arial" w:cs="Arial" w:eastAsia="Arial" w:hAnsi="Arial"/>
          <w:sz w:val="14"/>
          <w:szCs w:val="14"/>
          <w:b w:val="1"/>
          <w:bCs w:val="1"/>
          <w:color w:val="auto"/>
        </w:rPr>
        <w:t>ITALIAN CORPORATE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Reduction of equity by losses</w:t>
      </w:r>
    </w:p>
    <w:p>
      <w:pPr>
        <w:sectPr>
          <w:pgSz w:w="11900" w:h="16838" w:orient="portrait"/>
          <w:cols w:equalWidth="0" w:num="1">
            <w:col w:w="11240"/>
          </w:cols>
          <w:pgMar w:left="320" w:top="711" w:right="339" w:bottom="1440" w:gutter="0" w:footer="0" w:header="0"/>
        </w:sectPr>
      </w:pP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Delaware law, shareholder equity in a corporation is reduced by losses and may become negative.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Italian law requires a company to reduce its shareholders’ equity in certain situations. Shareholders’ equity has three main components: capital, legal reserves and other shareholders’ equity (such as any premium paid for the shares over the nominal value and any retained earnings). Losses from operations are first offset against shareholders’ equity other than legal reserves and corporate capital. If additional losses remain and, after setting aside legal reserves, corporate capital is reduced by more than one-third as a result of losses, the board of directors must call a shareholders’ meeting as soon as possible. The shareholders, having received an updated report on the company’s financial situation accompanied by a report of the board of statutory auditors, should take appropriate measures, which may include, among others</w:t>
      </w:r>
      <w:r>
        <w:rPr>
          <w:rFonts w:ascii="Arial" w:cs="Arial" w:eastAsia="Arial" w:hAnsi="Arial"/>
          <w:sz w:val="16"/>
          <w:szCs w:val="16"/>
          <w:i w:val="1"/>
          <w:iCs w:val="1"/>
          <w:color w:val="auto"/>
        </w:rPr>
        <w:t>,</w:t>
      </w:r>
      <w:r>
        <w:rPr>
          <w:rFonts w:ascii="Arial" w:cs="Arial" w:eastAsia="Arial" w:hAnsi="Arial"/>
          <w:sz w:val="16"/>
          <w:szCs w:val="16"/>
          <w:color w:val="auto"/>
        </w:rPr>
        <w:t xml:space="preserve"> reducing the legal reserves and corporate capital by the amount of the remaining losses, or carrying the losses forward up to one year. If the shareholders vote to carry the losses forward up to one year, and the losses are still more than one-third of the amount of corporate capital at the end of that year, then the company must reduce its corporate capital by the amount of the losses suffered. An S.p.A. like us must have a corporate capital of at least €50,000. If the amount of the losses would reduce our corporate capital to less than €50,000, then:</w:t>
      </w:r>
    </w:p>
    <w:p>
      <w:pPr>
        <w:spacing w:after="0" w:line="196" w:lineRule="exact"/>
        <w:rPr>
          <w:sz w:val="20"/>
          <w:szCs w:val="20"/>
          <w:color w:val="auto"/>
        </w:rPr>
      </w:pPr>
    </w:p>
    <w:p>
      <w:pPr>
        <w:ind w:left="400" w:right="80" w:hanging="242"/>
        <w:spacing w:after="0" w:line="296" w:lineRule="auto"/>
        <w:tabs>
          <w:tab w:leader="none" w:pos="4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we would need to increase our capital, which we could do by issuing new shares or having our shareholders contribute additional capital to our company, although there can be no assurance that we would be able to find purchasers for new shares or that any of our current shareholders would be willing to contribute additional capital;</w:t>
      </w:r>
    </w:p>
    <w:p>
      <w:pPr>
        <w:spacing w:after="0" w:line="188" w:lineRule="exact"/>
        <w:rPr>
          <w:rFonts w:ascii="Arial" w:cs="Arial" w:eastAsia="Arial" w:hAnsi="Arial"/>
          <w:sz w:val="16"/>
          <w:szCs w:val="16"/>
          <w:color w:val="auto"/>
        </w:rPr>
      </w:pPr>
    </w:p>
    <w:p>
      <w:pPr>
        <w:ind w:left="400" w:right="160" w:hanging="242"/>
        <w:spacing w:after="0" w:line="296" w:lineRule="auto"/>
        <w:tabs>
          <w:tab w:leader="none" w:pos="4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our shareholders would need to convert our company to an “S.r.l.”, a private limited liability company, which has a lower capital requirement of €10,000. Such arrangement would, however, prevent the Company to remain listed on Nasdaq since the S.r.l. form is not consistent with being listed pursuant to Italian law; or</w:t>
      </w:r>
    </w:p>
    <w:p>
      <w:pPr>
        <w:spacing w:after="0" w:line="188" w:lineRule="exact"/>
        <w:rPr>
          <w:rFonts w:ascii="Arial" w:cs="Arial" w:eastAsia="Arial" w:hAnsi="Arial"/>
          <w:sz w:val="16"/>
          <w:szCs w:val="16"/>
          <w:color w:val="auto"/>
        </w:rPr>
      </w:pPr>
    </w:p>
    <w:p>
      <w:pPr>
        <w:ind w:left="400" w:right="320" w:hanging="242"/>
        <w:spacing w:after="0" w:line="257" w:lineRule="auto"/>
        <w:tabs>
          <w:tab w:leader="none" w:pos="4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neither of these options are pursued, our shareholders or, if the directors do not convene a shareholders’ meeting, a court of competent jurisdiction, at the instance of individuals shareholders, could appoint a liquidator, who need not be an Italian citizen, to liquidate our company.</w:t>
      </w:r>
    </w:p>
    <w:p>
      <w:pPr>
        <w:spacing w:after="0" w:line="200" w:lineRule="exact"/>
        <w:rPr>
          <w:sz w:val="20"/>
          <w:szCs w:val="20"/>
          <w:color w:val="auto"/>
        </w:rPr>
      </w:pPr>
    </w:p>
    <w:p>
      <w:pPr>
        <w:sectPr>
          <w:pgSz w:w="11900" w:h="16838" w:orient="portrait"/>
          <w:cols w:equalWidth="0" w:num="2">
            <w:col w:w="5100" w:space="640"/>
            <w:col w:w="5500"/>
          </w:cols>
          <w:pgMar w:left="320" w:top="711" w:right="339"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 exchange control consent is required in Italy for the transfer of dividends or other distributions with respect to shares of an Italian company or proceeds from the sale thereof to persons outside of Italy.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type w:val="continuous"/>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Italian, or other taxing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Italy Tax Considerations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Under Italian law, financial instruments issued by an Italian company are subject to the same tax regime as are shares, provided that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spacing w:after="0" w:line="21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b w:val="1"/>
          <w:bCs w:val="1"/>
          <w:i w:val="1"/>
          <w:iCs w:val="1"/>
          <w:color w:val="auto"/>
        </w:rPr>
        <w:t>Income Tax Withholding on Dividends</w:t>
      </w:r>
      <w:r>
        <w:rPr>
          <w:rFonts w:ascii="Arial" w:cs="Arial" w:eastAsia="Arial" w:hAnsi="Arial"/>
          <w:sz w:val="17"/>
          <w:szCs w:val="17"/>
          <w:color w:val="auto"/>
        </w:rPr>
        <w:t>. We do not anticipate making any distributions on our ordinary shares in the foreseeable future. However,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Notably, dividends paid to beneficial owners who are not Italian residents and do not have a permanent establishment in Italy are generally subject to a 26 percent substitute tax rate. Therefore, the amount of the dividends that the holders of ADRs or holders of equity shares not residing in Italy will initially receive will be net of such Italian substitute tax.</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spacing w:after="0" w:line="19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Italian law, US owners can claim, in accordance with Presidential Decree No. 600 of October 16, 1973, Article 27(3), a refund of up to eleven-twenty-sixths (</w:t>
      </w:r>
      <w:r>
        <w:rPr>
          <w:rFonts w:ascii="Arial" w:cs="Arial" w:eastAsia="Arial" w:hAnsi="Arial"/>
          <w:sz w:val="16"/>
          <w:szCs w:val="16"/>
          <w:i w:val="1"/>
          <w:iCs w:val="1"/>
          <w:color w:val="auto"/>
        </w:rPr>
        <w:t>i.e.</w:t>
      </w:r>
      <w:r>
        <w:rPr>
          <w:rFonts w:ascii="Arial" w:cs="Arial" w:eastAsia="Arial" w:hAnsi="Arial"/>
          <w:sz w:val="16"/>
          <w:szCs w:val="16"/>
          <w:color w:val="auto"/>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double tax treaty in force between Italy and the United States of America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Companies or entities subject to corporation tax and resident in States that are European Union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on Capital Gains</w:t>
      </w:r>
      <w:r>
        <w:rPr>
          <w:rFonts w:ascii="Arial" w:cs="Arial" w:eastAsia="Arial" w:hAnsi="Arial"/>
          <w:sz w:val="18"/>
          <w:szCs w:val="18"/>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general rule, gains from shares in Italian companies, under custody in Italy, could give rise to a taxable income for the non-resident transferor.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96" w:name="page197"/>
    <w:bookmarkEnd w:id="196"/>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Capital Gains exempt from taxation in Italy </w:t>
      </w:r>
      <w:r>
        <w:rPr>
          <w:rFonts w:ascii="Arial" w:cs="Arial" w:eastAsia="Arial" w:hAnsi="Arial"/>
          <w:sz w:val="18"/>
          <w:szCs w:val="18"/>
          <w:color w:val="auto"/>
        </w:rPr>
        <w:t>- “Non-qualified shareholdings” are those which are below 2% of the voting rights and 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of an exchange-listed company. Gains from the disposal of non-qualified share investments in Italian listed companies by non-Italian residents are not subject to Italian income tax under domestic rule.</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i w:val="1"/>
          <w:iCs w:val="1"/>
          <w:color w:val="auto"/>
        </w:rPr>
        <w:t xml:space="preserve">Capital Gains subject to tax in Italy </w:t>
      </w:r>
      <w:r>
        <w:rPr>
          <w:rFonts w:ascii="Arial" w:cs="Arial" w:eastAsia="Arial" w:hAnsi="Arial"/>
          <w:sz w:val="18"/>
          <w:szCs w:val="18"/>
          <w:color w:val="auto"/>
        </w:rPr>
        <w:t>- “Qualified shareholdings” in a listed company are those representing more than the 2% of the voting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than the 5% of the capital of an exchange-listed company. Capital gains from the disposal of a qualified shareholding in a listed company are subject to a withholding tax of 26% under the domestic rule.</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As a consequence,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U.S.A. anti-double treaty tax convention states a taxation criterion in line with the above. In the light of the above and upon conditions that all the requirements relevant for the application of the Italy – U.S.A. anti-double treaty tax convention are met, an US investor may benefit from the fully exemption of taxation in Italy.</w:t>
      </w:r>
    </w:p>
    <w:p>
      <w:pPr>
        <w:spacing w:after="0" w:line="21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spacing w:after="0" w:line="198" w:lineRule="exact"/>
        <w:rPr>
          <w:sz w:val="20"/>
          <w:szCs w:val="20"/>
          <w:color w:val="auto"/>
        </w:rPr>
      </w:pPr>
    </w:p>
    <w:p>
      <w:pPr>
        <w:jc w:val="both"/>
        <w:ind w:right="200" w:firstLine="648"/>
        <w:spacing w:after="0" w:line="287" w:lineRule="auto"/>
        <w:rPr>
          <w:sz w:val="20"/>
          <w:szCs w:val="20"/>
          <w:color w:val="auto"/>
        </w:rPr>
      </w:pPr>
      <w:r>
        <w:rPr>
          <w:rFonts w:ascii="Arial" w:cs="Arial" w:eastAsia="Arial" w:hAnsi="Arial"/>
          <w:sz w:val="16"/>
          <w:szCs w:val="16"/>
          <w:i w:val="1"/>
          <w:iCs w:val="1"/>
          <w:color w:val="auto"/>
        </w:rPr>
        <w:t>Estate and Gift Tax</w:t>
      </w:r>
      <w:r>
        <w:rPr>
          <w:rFonts w:ascii="Arial" w:cs="Arial" w:eastAsia="Arial" w:hAnsi="Arial"/>
          <w:sz w:val="16"/>
          <w:szCs w:val="16"/>
          <w:color w:val="auto"/>
        </w:rPr>
        <w:t>. Inheritance and gift taxes, which were abolished in 2001, have been re-introduced in the Italian system by Law Decree No.</w:t>
      </w:r>
      <w:r>
        <w:rPr>
          <w:rFonts w:ascii="Arial" w:cs="Arial" w:eastAsia="Arial" w:hAnsi="Arial"/>
          <w:sz w:val="16"/>
          <w:szCs w:val="16"/>
          <w:i w:val="1"/>
          <w:iCs w:val="1"/>
          <w:color w:val="auto"/>
        </w:rPr>
        <w:t xml:space="preserve"> </w:t>
      </w:r>
      <w:r>
        <w:rPr>
          <w:rFonts w:ascii="Arial" w:cs="Arial" w:eastAsia="Arial" w:hAnsi="Arial"/>
          <w:sz w:val="16"/>
          <w:szCs w:val="16"/>
          <w:color w:val="auto"/>
        </w:rPr>
        <w:t>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w:t>
      </w:r>
    </w:p>
    <w:p>
      <w:pPr>
        <w:spacing w:after="0" w:line="2" w:lineRule="exact"/>
        <w:rPr>
          <w:sz w:val="20"/>
          <w:szCs w:val="20"/>
          <w:color w:val="auto"/>
        </w:rPr>
      </w:pPr>
    </w:p>
    <w:p>
      <w:pPr>
        <w:ind w:firstLine="8"/>
        <w:spacing w:after="0" w:line="292" w:lineRule="auto"/>
        <w:tabs>
          <w:tab w:leader="none" w:pos="24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spacing w:after="0" w:line="18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Transfer tax</w:t>
      </w:r>
      <w:r>
        <w:rPr>
          <w:rFonts w:ascii="Arial" w:cs="Arial" w:eastAsia="Arial" w:hAnsi="Arial"/>
          <w:sz w:val="17"/>
          <w:szCs w:val="17"/>
          <w:color w:val="auto"/>
        </w:rPr>
        <w:t>. In connection with the Italian stamp duty tax on the transfer of shares, according to article 37 of Law No. 248 of December 31, 2007,</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with amendments into Law No. 31 of February 28, 2008, the stamp duty has been abolished with regard to contracts having as their object the transfer of shares. In certain cases the relevant transfer acts would be subject to the registration tax at a flat amount equal to €200.</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Communications Stamp Duty</w:t>
      </w:r>
      <w:r>
        <w:rPr>
          <w:rFonts w:ascii="Arial" w:cs="Arial" w:eastAsia="Arial" w:hAnsi="Arial"/>
          <w:sz w:val="16"/>
          <w:szCs w:val="16"/>
          <w:color w:val="auto"/>
        </w:rPr>
        <w:t>. A stamp duty has been introduced under article 19 of Law Decree No. 201 of December 6, 2011, converted into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Arial" w:cs="Arial" w:eastAsia="Arial" w:hAnsi="Arial"/>
          <w:sz w:val="16"/>
          <w:szCs w:val="16"/>
          <w:i w:val="1"/>
          <w:iCs w:val="1"/>
          <w:color w:val="auto"/>
        </w:rPr>
        <w:t>pro-rata temporis</w:t>
      </w:r>
      <w:r>
        <w:rPr>
          <w:rFonts w:ascii="Arial" w:cs="Arial" w:eastAsia="Arial" w:hAnsi="Arial"/>
          <w:sz w:val="16"/>
          <w:szCs w:val="16"/>
          <w:color w:val="auto"/>
        </w:rPr>
        <w:t xml:space="preserve"> basis (from January 1 up to December 31). The minimum amount is fixed of € 34,20 up to a maximum amount of €14,000. The communication is deemed to be sent to clients at least once a year, even where there is no obligation to issue any such communication.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97" w:name="page198"/>
    <w:bookmarkEnd w:id="197"/>
    <w:p>
      <w:pPr>
        <w:ind w:firstLine="648"/>
        <w:spacing w:after="0" w:line="296" w:lineRule="auto"/>
        <w:rPr>
          <w:sz w:val="20"/>
          <w:szCs w:val="20"/>
          <w:color w:val="auto"/>
        </w:rPr>
      </w:pPr>
      <w:r>
        <w:rPr>
          <w:rFonts w:ascii="Arial" w:cs="Arial" w:eastAsia="Arial" w:hAnsi="Arial"/>
          <w:sz w:val="16"/>
          <w:szCs w:val="16"/>
          <w:i w:val="1"/>
          <w:iCs w:val="1"/>
          <w:color w:val="auto"/>
        </w:rPr>
        <w:t>Financial Transaction Tax</w:t>
      </w:r>
      <w:r>
        <w:rPr>
          <w:rFonts w:ascii="Arial" w:cs="Arial" w:eastAsia="Arial" w:hAnsi="Arial"/>
          <w:sz w:val="16"/>
          <w:szCs w:val="16"/>
          <w:color w:val="auto"/>
        </w:rPr>
        <w:t>. Law 228 of December 24, 2012, Article 1(491 – 500) introduced the Italian Financial Transaction Tax applicable (i)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(v) to over-the-counter transactions with a full rate.</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American Depository Receipts (“ADRs”), Global Depository Receipts (“GDRs”) and any other certificate of deposit, where the underlying securities are Italian Equity.</w:t>
      </w:r>
    </w:p>
    <w:p>
      <w:pPr>
        <w:spacing w:after="0" w:line="214"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value of the transaction is determined on the basis of the net balance of the transactions settled daily, calculated for each taxpayer with reference to the number of securities traded under the transactions settled in the same day and relating to the same financial instrument.</w:t>
      </w:r>
    </w:p>
    <w:p>
      <w:pPr>
        <w:spacing w:after="0" w:line="15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calculation is made by the financial intermediary responsible for the payment of the tax, i.e., the one receiving the order to execute the transaction directly from the purchaser or final counterparty.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Italian Financial Transaction Tax is due by the person in whose favor the transfer of ownership of the Qualifying Equities occurs.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rate applicable is 0.20% while the reduced rate for transactions on “regulated markets and on multilateral trading facilities” is 0.10%.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shall be paid by the 16th day of the month following the one in which the relevant triggering event occurs.</w:t>
      </w:r>
    </w:p>
    <w:p>
      <w:pPr>
        <w:spacing w:after="0" w:line="25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56"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spacing w:after="0" w:line="21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United States, including an alien individual who is a lawful permanent resident of the United States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United States or the District of Columbia or any political subdivision thereof; (3) an estate, the income of which is includable in gross income for U.S. federal income tax purposes regardless of source; (4) a trust if a court within the United States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8" w:name="page199"/>
    <w:bookmarkEnd w:id="198"/>
    <w:p>
      <w:pPr>
        <w:ind w:firstLine="648"/>
        <w:spacing w:after="0" w:line="290" w:lineRule="auto"/>
        <w:rPr>
          <w:sz w:val="20"/>
          <w:szCs w:val="20"/>
          <w:color w:val="auto"/>
        </w:rPr>
      </w:pPr>
      <w:r>
        <w:rPr>
          <w:rFonts w:ascii="Arial" w:cs="Arial" w:eastAsia="Arial" w:hAnsi="Arial"/>
          <w:sz w:val="16"/>
          <w:szCs w:val="16"/>
          <w:color w:val="auto"/>
        </w:rPr>
        <w:t>This summary is for general information purposes only and does not purport to be a comprehensive description of all of the U.S. federal income tax considerations that may be relevant to a decision to purchase the ADSs. This summary generally considers only U.S. Holders that will own the ADSs as capital assets.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with regard to the U.S. federal income tax treatment of an investment in the ADSs by U.S. Holders and, therefore, can provide no assurances that the IRS will agree with the conclusions set forth below.</w:t>
      </w:r>
    </w:p>
    <w:p>
      <w:pPr>
        <w:spacing w:after="0" w:line="19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This discussion does not address all of the aspects of U.S. federal income taxation that may be relevant to a particular U.S. holder based on such holder’s particular circumstances and in particular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w:t>
      </w:r>
    </w:p>
    <w:p>
      <w:pPr>
        <w:spacing w:after="0" w:line="1" w:lineRule="exact"/>
        <w:rPr>
          <w:sz w:val="20"/>
          <w:szCs w:val="20"/>
          <w:color w:val="auto"/>
        </w:rPr>
      </w:pPr>
    </w:p>
    <w:p>
      <w:pPr>
        <w:ind w:right="80" w:firstLine="8"/>
        <w:spacing w:after="0" w:line="269" w:lineRule="auto"/>
        <w:tabs>
          <w:tab w:leader="none" w:pos="25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United States;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 Additionally, the U.S. federal income tax treatment of partnerships (or other pass-through entities) or persons who hold securities through a partnership or other pass-through entity are not addressed.</w:t>
      </w:r>
    </w:p>
    <w:p>
      <w:pPr>
        <w:spacing w:after="0" w:line="20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prospective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Paid on Ordinary Shares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capital gain. We do not expect to maintain calculations of our earnings and profits under U.S. federal income tax principles and, therefore, U.S. Holders should expect that the entire amount of any distribution generally will be reported as dividend income.</w:t>
      </w:r>
    </w:p>
    <w:p>
      <w:pPr>
        <w:spacing w:after="0" w:line="20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United States which includes an exchange of information program. The IRS has stated that the Italy/U.S. Tax Treaty satisfies this requirement and we believe we are eligible for the benefits of that treaty.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199" w:name="page200"/>
    <w:bookmarkEnd w:id="199"/>
    <w:p>
      <w:pPr>
        <w:ind w:right="80" w:firstLine="648"/>
        <w:spacing w:after="0" w:line="291" w:lineRule="auto"/>
        <w:rPr>
          <w:sz w:val="20"/>
          <w:szCs w:val="20"/>
          <w:color w:val="auto"/>
        </w:rPr>
      </w:pPr>
      <w:r>
        <w:rPr>
          <w:rFonts w:ascii="Arial" w:cs="Arial" w:eastAsia="Arial" w:hAnsi="Arial"/>
          <w:sz w:val="16"/>
          <w:szCs w:val="16"/>
          <w:color w:val="auto"/>
        </w:rPr>
        <w:t>In addition, our dividends will be qualified dividend income if our ordinary shares are readily tradable on Nasdaq or another established securities market in the United States.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spacing w:after="0" w:line="19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Disposition of Ordinary Shares</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Special U.S. federal income tax laws apply to U.S. taxpayers who own shares of a corporation that is a PFIC. We will be treated as a PFIC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for any taxable year that either:</w:t>
      </w:r>
    </w:p>
    <w:p>
      <w:pPr>
        <w:spacing w:after="0" w:line="238" w:lineRule="exact"/>
        <w:rPr>
          <w:sz w:val="20"/>
          <w:szCs w:val="20"/>
          <w:color w:val="auto"/>
        </w:rPr>
      </w:pPr>
    </w:p>
    <w:p>
      <w:pPr>
        <w:ind w:left="660" w:right="40" w:hanging="328"/>
        <w:spacing w:after="0" w:line="27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75% or more of our gross income (including our pro rata share of gross income for any company, in which we are considered to own 25% or more of the shares by value), in a taxable year is passive; or</w:t>
      </w:r>
    </w:p>
    <w:p>
      <w:pPr>
        <w:spacing w:after="0" w:line="129" w:lineRule="exact"/>
        <w:rPr>
          <w:rFonts w:ascii="Arial" w:cs="Arial" w:eastAsia="Arial" w:hAnsi="Arial"/>
          <w:sz w:val="18"/>
          <w:szCs w:val="18"/>
          <w:color w:val="auto"/>
        </w:rPr>
      </w:pPr>
    </w:p>
    <w:p>
      <w:pPr>
        <w:ind w:left="660" w:right="100" w:hanging="328"/>
        <w:spacing w:after="0" w:line="263"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p>
      <w:pPr>
        <w:spacing w:after="0" w:line="21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8"/>
          <w:szCs w:val="18"/>
          <w:color w:val="auto"/>
        </w:rPr>
        <w:t>For this purpose, passive income generally consists of dividends, interest, rents, royalties, annuities and income from certain commodities transactions and from notional principal contracts. Cash is treated as generating passive income.</w:t>
      </w:r>
    </w:p>
    <w:p>
      <w:pPr>
        <w:spacing w:after="0" w:line="144"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not made the formal analysis necessary to determine whether or not we are currently a PFIC or whether we have ever been a PFIC, although preliminarily it appears we may have been a PFIC at certain points in the past. The tests for determining PFIC status depend, in part, on the application of complex US federal income tax rules, which are subject to differing interpretations. In addition, whether any corporation will be a PFIC for any taxable year depends on the assets and income of such corporation over the course of each such taxable year and, as a result, it is difficult to make accurate projections of future income and assets which are relevant to this determination for the current taxable year or any future period. Accordingly, there can be no assurance that we currently are not or will not become a PFIC.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0" w:name="page201"/>
    <w:bookmarkEnd w:id="200"/>
    <w:p>
      <w:pPr>
        <w:ind w:right="20" w:firstLine="648"/>
        <w:spacing w:after="0" w:line="270" w:lineRule="auto"/>
        <w:rPr>
          <w:sz w:val="20"/>
          <w:szCs w:val="20"/>
          <w:color w:val="auto"/>
        </w:rPr>
      </w:pPr>
      <w:r>
        <w:rPr>
          <w:rFonts w:ascii="Arial" w:cs="Arial" w:eastAsia="Arial" w:hAnsi="Arial"/>
          <w:sz w:val="17"/>
          <w:szCs w:val="17"/>
          <w:color w:val="auto"/>
        </w:rPr>
        <w:t>If we currently are or become a PFIC,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spacing w:after="0" w:line="20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The QEF election is made on a shareholder-by-shareholder basis and generally may be revoked only with the consent of the IRS.</w:t>
      </w:r>
    </w:p>
    <w:p>
      <w:pPr>
        <w:spacing w:after="0" w:line="20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spacing w:after="0" w:line="20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U.S. Holders who hold our ordinary shares during a period when we are a PFIC will be subject to the foregoing rules, even if we cease to be a PFIC. U.S. Holders are strongly urged to consult their tax advisors about the PFIC rules.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52"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i w:val="1"/>
          <w:iCs w:val="1"/>
          <w:color w:val="auto"/>
        </w:rPr>
        <w:t>Information Reporting and Withholding</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U.S. Holder with interests in “specified foreign financial assets” (including, among other assets, our ordinary shares, unless such ordinary shares are held on such U.S. Holder’s behalf through a financial institution) may be required to file an information report with the IRS if the aggregate value of all such assets exceeds $50,000 on the last day of the taxable year or $75,000 at any time during the taxable year (or such higher dollar amount as may be prescribed by applicable IRS guidance); and may be required to file a Report of Foreign Bank and Financial Accounts if the aggregate value of the foreign financial accounts exceeds $10,000 at any time during the calendar year. You should consult your own tax advisor as to the possible obligation to file such information report.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5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Roth Capital Partners, LLC and Maxim Group LLC are acting as representatives of the underwriters named below. We have entered into an underwriting agreement dated , 2021 with the representatives. Subject to the terms and conditions of the underwriting agreement, we have agreed to sell to each underwriter named below, and each underwriter named below has severally agreed to purchase, at the public offering price less the underwriting discount set forth on the cover page of this prospectus supplement, the number of ADSs listed next to its name in the following table:</w:t>
      </w:r>
    </w:p>
    <w:p>
      <w:pPr>
        <w:spacing w:after="0" w:line="203" w:lineRule="exact"/>
        <w:rPr>
          <w:sz w:val="20"/>
          <w:szCs w:val="20"/>
          <w:color w:val="auto"/>
        </w:rPr>
      </w:pPr>
    </w:p>
    <w:p>
      <w:pPr>
        <w:ind w:left="4000"/>
        <w:spacing w:after="0"/>
        <w:tabs>
          <w:tab w:leader="none" w:pos="952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Roth Capital Partners,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Maxim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5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 underwriters are committed to purchase all the ADSs offered by the Company, other than those covered by the over-allotment option to purchase additional ADSs and the reserved share program, each as described below. The obligations of the underwriters may be terminated upon the occurrence of certain events specified in the underwriting agreement. Furthermore, the underwriting agreement provides that the obligations of the underwriters to pay for and accept delivery of the ADSs offered by us in this prospectus supplement are subject to various representations and warranties and other customary conditions specified in the underwriting agreement, such as receipt by the underwriters of officers’ certificates and legal opinions.</w:t>
      </w:r>
    </w:p>
    <w:p>
      <w:pPr>
        <w:spacing w:after="0" w:line="18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underwriters are offering the ADSs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granted the underwriters an over-allotment option. This option, which is exercisable for up to 30 days after the date of this prospectus,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permits the underwriters to purchase up to an aggregate of additional ADSs (equal to 15% of the total number of ADSs sold in this offering) at the public offering price per share, less underwriting discounts and commissions, solely to cover over-allotments, if any. If the underwriters exercise this option in whole or in part, then the underwriters will be severally committed, subject to the conditions described in the underwriting agreement, to purchase the additional ADSs in proportion to their respective commitments set forth in the prior table.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Discounts, Commissions and Reimbursement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representatives have advised us that the underwriters propose to offer the ADSs to the public at the initial public offering price per share set forth on the cover page of this prospectus. The underwriters may offer ADSs to securities dealers at that price less a concession of not more than $ per ADS of which up to $ per ADS may be reallowed to other dealers. After the initial offering to the public, the public offering price and other selling terms may be changed by the representatives.</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underwriting discounts and commissions and proceeds, before expenses, to us assuming both no exercise and full exercise by the underwriters of their over-allotment 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 ADS</w:t>
            </w:r>
          </w:p>
        </w:tc>
        <w:tc>
          <w:tcPr>
            <w:tcW w:w="2320" w:type="dxa"/>
            <w:vAlign w:val="bottom"/>
            <w:gridSpan w:val="4"/>
          </w:tcPr>
          <w:p>
            <w:pPr>
              <w:ind w:left="9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Without Option</w:t>
            </w:r>
          </w:p>
        </w:tc>
        <w:tc>
          <w:tcPr>
            <w:tcW w:w="1000" w:type="dxa"/>
            <w:vAlign w:val="bottom"/>
            <w:tcBorders>
              <w:top w:val="single" w:sz="8" w:color="auto"/>
            </w:tcBorders>
          </w:tcPr>
          <w:p>
            <w:pPr>
              <w:jc w:val="right"/>
              <w:ind w:right="47"/>
              <w:spacing w:after="0" w:line="149" w:lineRule="exact"/>
              <w:rPr>
                <w:sz w:val="20"/>
                <w:szCs w:val="20"/>
                <w:color w:val="auto"/>
              </w:rPr>
            </w:pPr>
            <w:r>
              <w:rPr>
                <w:rFonts w:ascii="Arial" w:cs="Arial" w:eastAsia="Arial" w:hAnsi="Arial"/>
                <w:sz w:val="14"/>
                <w:szCs w:val="14"/>
                <w:b w:val="1"/>
                <w:bCs w:val="1"/>
                <w:color w:val="auto"/>
              </w:rPr>
              <w:t>With Option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Underwriting discounts and commissions (public investors, 7%)</w:t>
            </w:r>
          </w:p>
        </w:tc>
        <w:tc>
          <w:tcPr>
            <w:tcW w:w="2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Advisory fee (Reserved Offering, 4.5%)</w:t>
            </w:r>
          </w:p>
        </w:tc>
        <w:tc>
          <w:tcPr>
            <w:tcW w:w="362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362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191</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203" w:name="page204"/>
    <w:bookmarkEnd w:id="203"/>
    <w:p>
      <w:pPr>
        <w:jc w:val="both"/>
        <w:ind w:right="140" w:firstLine="648"/>
        <w:spacing w:after="0" w:line="263" w:lineRule="auto"/>
        <w:rPr>
          <w:sz w:val="20"/>
          <w:szCs w:val="20"/>
          <w:color w:val="auto"/>
        </w:rPr>
      </w:pPr>
      <w:r>
        <w:rPr>
          <w:rFonts w:ascii="Arial" w:cs="Arial" w:eastAsia="Arial" w:hAnsi="Arial"/>
          <w:sz w:val="18"/>
          <w:szCs w:val="18"/>
          <w:color w:val="auto"/>
        </w:rPr>
        <w:t>In addition, we have also agreed to pay the reasonable and documents expenses of the underwriters relating to the offering (including the costs of document preparation, production and distribution (such as printing and binding, and photocopies), and third party research and database services, and the reasonable fees and disbursements of independent counsel), up to an aggregate of $400,000.</w:t>
      </w:r>
    </w:p>
    <w:p>
      <w:pPr>
        <w:spacing w:after="0" w:line="211" w:lineRule="exact"/>
        <w:rPr>
          <w:sz w:val="20"/>
          <w:szCs w:val="20"/>
          <w:color w:val="auto"/>
        </w:rPr>
      </w:pPr>
    </w:p>
    <w:p>
      <w:pPr>
        <w:ind w:left="660"/>
        <w:spacing w:after="0"/>
        <w:tabs>
          <w:tab w:leader="none" w:pos="10820" w:val="left"/>
        </w:tabs>
        <w:rPr>
          <w:sz w:val="20"/>
          <w:szCs w:val="20"/>
          <w:color w:val="auto"/>
        </w:rPr>
      </w:pPr>
      <w:r>
        <w:rPr>
          <w:rFonts w:ascii="Arial" w:cs="Arial" w:eastAsia="Arial" w:hAnsi="Arial"/>
          <w:sz w:val="17"/>
          <w:szCs w:val="17"/>
          <w:color w:val="auto"/>
        </w:rPr>
        <w:t>We estimate the expenses of this offering payable by us, not including underwriting discounts and commissions, will be approximately $</w:t>
      </w:r>
      <w:r>
        <w:rPr>
          <w:sz w:val="20"/>
          <w:szCs w:val="20"/>
          <w:color w:val="auto"/>
        </w:rPr>
        <w:tab/>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Warrants</w:t>
      </w:r>
    </w:p>
    <w:p>
      <w:pPr>
        <w:spacing w:after="0" w:line="25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Upon the closing of this offering, we have agreed to issue to Roth Capital Partners LLC and Maxim Partners LLC warrants, or the Warrants, to purchase a number of ADSs equal to 4% of the total number of ADSs sold in this public offering to investors other than (i) non-US retail, family office or institutional investors identified by the Company and mutually agreed with Roth Capital Partners LLC and (ii) existing investors in the Company. The Warrants will be exercisable at a per share exercise price equal to 125% of the public offering price per ADS sold in this offering. The Warrants are exercisable at any time and from time to time, in whole or in part, during the four and one-half year period commencing six months from the deemed effective date of the registration statement related to this offering. The Warrants also provide for one demand registration right of the ADSs underlying the Warrants, and unlimited “piggyback” registration rights with respect to the registration of the ADSs underlying the Warrants and customary antidilution provisions. The demand registration right provided will not be greater than five years from the date of the underwriting agreement related to this offering in compliance with FINRA Rule 5110(g)(8)(D). The piggyback registration right provided will not be greater than seven years from the date of the underwriting agreement related to this offering in compliance with FINRA Rule 5110(g)(8)(D).</w:t>
      </w:r>
    </w:p>
    <w:p>
      <w:pPr>
        <w:spacing w:after="0" w:line="21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Warrants and the ADSs underlying the Warrants have been deemed compensation by the Financial Industry Regulatory Authority, or FINRA, and are therefore subject to a 180-day lock-up pursuant to Rule 5110(g)(1) of FINRA. The holder, or permitted assignees under such rule, may not sell, transfer, assign, pledge, or hypothecate the Underwriter Warrants or the securities underlying the Warrants, nor will the holder engage in any hedging, short sale, derivative, put, or call transaction that would result in the effective economic disposition of the Warrants or the underlying ADSs for a period of 180 days from the deemed effective date of the registration statement. Additionally, the Warrants may not be sold transferred, assigned, pledged or hypothecated for a 180-day period following the deemed effective date of the registration statement except to any underwriter and selected dealer participating in the offering and their bona fide officers or partners. The Warrants will provide for adjustment in the number and price of the Warrants and the ADSs underlying such Warrants in the event of recapitalization, merger, stock split or other structural transaction, or a future financing undertaken by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Offering/Directed Share Program</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our request, ________ ordinary shares covered by the registration statement of which this prospectus is part have been reserved for sale, at the</w:t>
      </w:r>
    </w:p>
    <w:p>
      <w:pPr>
        <w:spacing w:after="0" w:line="4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initial public offering price, by the Company, directly or through agents, in the Reserved Offering to existing shareholders of the Company, as a mitigant for the exclusion of pre-emptive rights as resolved by the general shareholders meeting of the Company in accordance with Italian corporate law and our by-laws. The Reserved Offering will be effected in compliance with the laws of Italy, at the same price to investors as the offering of ADSs. We will receive the full proceeds from the Reserved Offering and will not pay any underwriting discounts or commissions with respect to ordinary shares that we sell in the Reserved Offering. The offer and sale of ordinary shares in the Reserved Offering (i) is contingent upon the completion of the offering of ADSs,</w:t>
      </w:r>
    </w:p>
    <w:p>
      <w:pPr>
        <w:spacing w:after="0" w:line="3" w:lineRule="exact"/>
        <w:rPr>
          <w:sz w:val="20"/>
          <w:szCs w:val="20"/>
          <w:color w:val="auto"/>
        </w:rPr>
      </w:pPr>
    </w:p>
    <w:p>
      <w:pPr>
        <w:ind w:right="180" w:firstLine="8"/>
        <w:spacing w:after="0" w:line="260" w:lineRule="auto"/>
        <w:tabs>
          <w:tab w:leader="none" w:pos="26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has been registered for purposes of the securities laws of the United States under the registration statement of which this prospectus is part, and (iii) is conducted in Italy under applicable exemptions from Italian and European regulations concerning prospectus.</w:t>
      </w:r>
    </w:p>
    <w:p>
      <w:pPr>
        <w:spacing w:after="0" w:line="212"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In addition, at our request, the underwriters have reserved up to ordinary shares, representing % of the ADSs offered by this prospectus, for sale to investors identified by our directors and management through a directed share program to be administered at our direction by Roth Capital Partners, LLC. If and to the extent that these persons purchase ADSs, those purchases will reduce the number of ADSs available for sale to the general public Ordinary shares committed to be purchased by such persons that are not so purchased will be reallocated for sale as ADSs to the general public in the offering. All such sales of reserved ordinary shares will be made at the initial public offering price per ADS set forth on the cover page of this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w w:val="97"/>
              </w:rPr>
              <w:t>prospectus, less an underwriting discount of</w:t>
            </w:r>
          </w:p>
        </w:tc>
        <w:tc>
          <w:tcPr>
            <w:tcW w:w="7820" w:type="dxa"/>
            <w:vAlign w:val="bottom"/>
          </w:tcPr>
          <w:p>
            <w:pPr>
              <w:jc w:val="right"/>
              <w:ind w:right="7290"/>
              <w:spacing w:after="0"/>
              <w:rPr>
                <w:sz w:val="20"/>
                <w:szCs w:val="20"/>
                <w:color w:val="auto"/>
              </w:rPr>
            </w:pPr>
            <w:r>
              <w:rPr>
                <w:rFonts w:ascii="Arial" w:cs="Arial" w:eastAsia="Arial" w:hAnsi="Arial"/>
                <w:sz w:val="18"/>
                <w:szCs w:val="18"/>
                <w:color w:val="auto"/>
              </w:rPr>
              <w:t>%.</w:t>
            </w:r>
          </w:p>
        </w:tc>
      </w:tr>
      <w:tr>
        <w:trPr>
          <w:trHeight w:val="452"/>
        </w:trPr>
        <w:tc>
          <w:tcPr>
            <w:tcW w:w="34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jc w:val="right"/>
              <w:ind w:right="5390"/>
              <w:spacing w:after="0"/>
              <w:rPr>
                <w:sz w:val="20"/>
                <w:szCs w:val="20"/>
                <w:color w:val="auto"/>
              </w:rPr>
            </w:pPr>
            <w:r>
              <w:rPr>
                <w:rFonts w:ascii="Arial" w:cs="Arial" w:eastAsia="Arial" w:hAnsi="Arial"/>
                <w:sz w:val="18"/>
                <w:szCs w:val="18"/>
                <w:color w:val="auto"/>
              </w:rPr>
              <w:t>192</w:t>
            </w:r>
          </w:p>
        </w:tc>
      </w:tr>
    </w:tbl>
    <w:p>
      <w:pPr>
        <w:sectPr>
          <w:pgSz w:w="11900" w:h="16838" w:orient="portrait"/>
          <w:cols w:equalWidth="0" w:num="1">
            <w:col w:w="11240"/>
          </w:cols>
          <w:pgMar w:left="320" w:top="719" w:right="3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Lock-Up Agreements</w:t>
      </w:r>
    </w:p>
    <w:p>
      <w:pPr>
        <w:spacing w:after="0" w:line="256"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We have agreed with the underwriters that we will not, without the prior consent of the representatives, for a period of 180 days following the date of this prospectus, offer, sell, contract to sell, pledge, grant any option to purchase, purchase any option or contract to sell, right or warrant to purchase, make any short sale, file a registration statement with respect to any ordinary shares or ADSs or any securities that are convertible into or exercisable or exchangeable for ordinary shares or ADSs, or otherwise transfer or dispose of (including entering into any swap or other agreement that transfers to any other entity, in whole or in part, any of the economic consequences of ownership interest): (1) the ADSs and depositary shares representing our ordinary shares; (2) shares of our controlled affiliates and depositary shares representing those shares; and (3) securities that are substantially similar to such ADSs or depositary shares. We have also agreed to cause affiliates to abide by the restrictions of the lock-up agreement. In addition, each of our directors and executive officers and each beneficial owner of 10% or more of the ADSs or ordinary shares will abide by similar 180-day lock-up agreement with respect to their ordinary shares, ADSs, depositary shares representing the ADSs and securities that are substantially similar to the ADSs or depositary shares representing our ordinary shares, subject to customary exceptions for transfers among affiliates. The restrictions of our lock-up agreement do not apply to:</w:t>
      </w:r>
    </w:p>
    <w:p>
      <w:pPr>
        <w:spacing w:after="0" w:line="5" w:lineRule="exact"/>
        <w:rPr>
          <w:sz w:val="20"/>
          <w:szCs w:val="20"/>
          <w:color w:val="auto"/>
        </w:rPr>
      </w:pPr>
    </w:p>
    <w:p>
      <w:pPr>
        <w:ind w:firstLine="8"/>
        <w:spacing w:after="0" w:line="285" w:lineRule="auto"/>
        <w:tabs>
          <w:tab w:leader="none" w:pos="25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issuance of securities pursuant to our employee share incentive plan which is described in this prospectus, and (2) a transfer by us to our affiliate, provided that such transfer is not a disposition for value and that such affiliate agrees to be bound in writing by the restrictions set forth in the lock-up agreement to which we are subject. The exceptions also permit our executive officers and directors and other existing security holders, subject to certain restrictions, to transfer ADSs, depositary shares representing the ADSs and securities that are substantially similar to the ADSs or our ordinary shares: (i) as a bona fide gift or gifts, (ii) to the person’s immediate family or any trust, partnership or similar entity for the direct or indirect benefit of the person or their immediate family, (iii) by operation of law, such as pursuant to a qualified domestic order or as required by a divorce settlement, (iv) as a distribution to the person’s limited partners or stockholders, (v) to the person’s affiliates or any investment fund or other entity controlled or managed by the person, or (vi) by will, other testamentary document or intestate succession upon death, including to the transferee’s nominee or custodian. Furthermore, during the lock-up period, our executive officers, directors, and other existing security holders may sell ordinary shares purchased from us in the Reserved Offering and ADSs purchased from the underwriters or in the open market following this offering, provided that such sales are not required to be reported in any public report or filing with the SEC or otherwise, and the seller does not voluntarily effect any public filing or report regarding such sales during the lock-up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56"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Public Market</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Prior to this offering, there has not been a public market for our securities in the U.S. and the public offering price for the ADSs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21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offer no assurances that the initial public offering price will correspond to the price at which the ADSs will trade in the public market subsequent to this offering or that an active trading market for the ADSs will develop and continue after this offering.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Stock Exchange</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have applied to list the ADSs on the Nasdaq Capital Market under the symbol “GNTA.” There can be no assurance that we will be successful in listing the ADSs on the Nasdaq Capital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5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 prospectus in electronic format may be made available on websites or through other online services maintained by one or more of the underwriters of this offering, or by their affiliates. Other than the prospectus in electronic format, the information on any underwriter’s website and any information contained in any other website maintained by an underwriter is not part of this prospectus or the registration statement of which this prospectus forms a part, has not been approved and/or endorsed by us or any underwriter in its capacity as underwriter, and should not be relied upon by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5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syndicate-covering transactions, penalty bids and purchases to cover positions created by short sales.</w:t>
      </w:r>
    </w:p>
    <w:p>
      <w:pPr>
        <w:spacing w:after="0" w:line="19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Stabilizing transactions permit bids to purchase ADSs so long as the stabilizing bids do not exceed a specified maximum, and are engaged in for the purpose of preventing or retarding a decline in the market price of the ADSs while the offering is in progress.</w:t>
      </w:r>
    </w:p>
    <w:p>
      <w:pPr>
        <w:spacing w:after="0" w:line="19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Over-allotment transactions involve sales by the underwriters of ADSs in excess of the number of ADSs the underwriters are obligated to purchase. This creates a syndicate short position 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0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shares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offering.</w:t>
      </w:r>
    </w:p>
    <w:p>
      <w:pPr>
        <w:spacing w:after="0" w:line="22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Penalty bids permit the representatives to reclaim a selling concession from a syndicate member when the ADSs originally sold by that syndicate member are purchased in stabilizing or syndicate covering transactions to cover syndicate short positions.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preventing or retarding a decline in the market price of the ADSs. As a result, the price of the ADSs in the open market may be higher than it would otherwise be in the absence of these transactions. Neither we nor the underwriters make any representation or prediction as to the effect that the transactions described above may have on the price of the ADSs. These transactions may be effected on Nasdaq in the over-the-counter market or otherwise and, if commenced, may be discontinued at any time.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6" w:name="page207"/>
    <w:bookmarkEnd w:id="206"/>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Certain of the underwriters and their affiliates may in the future provide various investment banking, commercial banking and other financial services for us and our affiliates for which they may in the future receive customary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25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relation to each member state of the European Economic Area (each, a relevant member state), no securities have been offered or will be offered pursuant to the offering described in this prospectus to the public in that relevant member state prior to the publication of a prospectus in relation to the securities that has been approved by the competent authority in that relevant member state, all in accordance with the Prospectus Regulation, except that offers of securities may be made to the public in that relevant member state at any time:</w:t>
      </w:r>
    </w:p>
    <w:p>
      <w:pPr>
        <w:spacing w:after="0" w:line="214" w:lineRule="exact"/>
        <w:rPr>
          <w:sz w:val="20"/>
          <w:szCs w:val="20"/>
          <w:color w:val="auto"/>
        </w:rPr>
      </w:pPr>
    </w:p>
    <w:p>
      <w:pPr>
        <w:ind w:left="760" w:hanging="104"/>
        <w:spacing w:after="0"/>
        <w:tabs>
          <w:tab w:leader="none" w:pos="7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2(e) of the Prospectus Regulation;</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2(e) of the Prospectus Regulation); or</w:t>
      </w:r>
    </w:p>
    <w:p>
      <w:pPr>
        <w:spacing w:after="0" w:line="236" w:lineRule="exact"/>
        <w:rPr>
          <w:rFonts w:ascii="Arial" w:cs="Arial" w:eastAsia="Arial" w:hAnsi="Arial"/>
          <w:sz w:val="17"/>
          <w:szCs w:val="17"/>
          <w:color w:val="auto"/>
        </w:rPr>
      </w:pPr>
    </w:p>
    <w:p>
      <w:pPr>
        <w:ind w:left="760" w:hanging="104"/>
        <w:spacing w:after="0"/>
        <w:tabs>
          <w:tab w:leader="none" w:pos="7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For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securities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the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95" w:orient="portrait"/>
          <w:cols w:equalWidth="0" w:num="1">
            <w:col w:w="11240"/>
          </w:cols>
          <w:pgMar w:left="320" w:top="715" w:right="339" w:bottom="0"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Switzerland</w:t>
      </w:r>
    </w:p>
    <w:p>
      <w:pPr>
        <w:spacing w:after="0" w:line="25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personal to the recipient only and not for general circulation in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offer or invitation to subscribe for securities is valid or permitted in the Dubai International Financial Centre.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2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Set forth below is an itemization of the total expenses, excluding underwriting discounts, expected to be incurred in connection with the offer and sale of the ordinary shares by us. With the exception of the SEC registration fee and the FINRA filing fee, all amounts are estimates:</w:t>
      </w:r>
    </w:p>
    <w:p>
      <w:pPr>
        <w:sectPr>
          <w:pgSz w:w="11900" w:h="16838" w:orient="portrait"/>
          <w:cols w:equalWidth="0" w:num="1">
            <w:col w:w="11220"/>
          </w:cols>
          <w:pgMar w:left="320" w:top="715" w:right="3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Printer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16" w:lineRule="exact"/>
        <w:rPr>
          <w:sz w:val="20"/>
          <w:szCs w:val="20"/>
          <w:color w:val="auto"/>
        </w:rPr>
      </w:pPr>
    </w:p>
    <w:p>
      <w:pPr>
        <w:jc w:val="right"/>
        <w:ind w:right="1900"/>
        <w:spacing w:after="0"/>
        <w:rPr>
          <w:sz w:val="20"/>
          <w:szCs w:val="20"/>
          <w:color w:val="auto"/>
        </w:rPr>
      </w:pPr>
      <w:r>
        <w:rPr>
          <w:rFonts w:ascii="Arial" w:cs="Arial" w:eastAsia="Arial" w:hAnsi="Arial"/>
          <w:sz w:val="18"/>
          <w:szCs w:val="18"/>
          <w:b w:val="1"/>
          <w:bCs w:val="1"/>
          <w:color w:val="auto"/>
        </w:rPr>
        <w:t>LEGAL MATTERS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13544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wp:posOffset>
            </wp:positionV>
            <wp:extent cx="13544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752" w:lineRule="exact"/>
        <w:rPr>
          <w:sz w:val="20"/>
          <w:szCs w:val="20"/>
          <w:color w:val="auto"/>
        </w:rPr>
      </w:pPr>
    </w:p>
    <w:p>
      <w:pPr>
        <w:sectPr>
          <w:pgSz w:w="11900" w:h="16838" w:orient="portrait"/>
          <w:cols w:equalWidth="0" w:num="2">
            <w:col w:w="8280" w:space="720"/>
            <w:col w:w="2220"/>
          </w:cols>
          <w:pgMar w:left="320" w:top="715" w:right="359" w:bottom="1440" w:gutter="0" w:footer="0" w:header="0"/>
          <w:type w:val="continuous"/>
        </w:sectPr>
      </w:pPr>
    </w:p>
    <w:p>
      <w:pPr>
        <w:spacing w:after="0" w:line="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Certain legal matters concerning this offering will be passed upon for us by Loeb &amp; Loeb LLP, New York, New York. Certain legal matters with respect to the legality of the issuance of the securities offered by this prospectus will be passed upon for us by Giovannelli e Associati, Studio Legale, Italy. Certain legal matters related to the offering will be passed upon for the underwriters by Goodwin Procter LLP, New York, New York. LCA Studio Legale, Italy is representing the underwriters with respect to certain matters of Italian law.</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financial statements of Genenta for its fiscal years ended December 31, 2020 and 2019 included herein have been audited by Mayer Hoffman McCann P.C., independent registered public accounting firm, as set forth in their report thereon. Such financial statements are included in this prospectus and registration statement in reliance upon such report given on the authority of such firm as experts in accounting and auditing. The address of Mayer Hoffman McCann P.C. is 13500 Evening Creek Drive North #450, San Diego, California, United States.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are incorporated under the laws of Italy and our registered office and domicile is located in Milan, Italy. Moreover, a majority of our directors and executive officers are not residents of the United States, and all or a substantial portion of our assets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been advised by our Italian counsel that the recognition and enforcement of foreign judgements in Italy is regulated either by (i) treaties or conventions, bilateral or multilateral, between Italy and the foreign country, whose court issued the judgement, or (ii) Italian Law no. 218 of May 31, 1995 (the “International Private Law Act”). In this regard, the provisions of the applicable treaties and conventions, if any, prevail on the provisions of the International Private Law Act. Indeed, Section 2 of the International Private Law Act states that the provisions of the International Private Law Act are “</w:t>
      </w:r>
      <w:r>
        <w:rPr>
          <w:rFonts w:ascii="Arial" w:cs="Arial" w:eastAsia="Arial" w:hAnsi="Arial"/>
          <w:sz w:val="18"/>
          <w:szCs w:val="18"/>
          <w:i w:val="1"/>
          <w:iCs w:val="1"/>
          <w:color w:val="auto"/>
        </w:rPr>
        <w:t>without prejudice to the application of the international conventions binding on Italy</w:t>
      </w:r>
      <w:r>
        <w:rPr>
          <w:rFonts w:ascii="Arial" w:cs="Arial" w:eastAsia="Arial" w:hAnsi="Arial"/>
          <w:sz w:val="18"/>
          <w:szCs w:val="18"/>
          <w:color w:val="auto"/>
        </w:rPr>
        <w:t>”.</w:t>
      </w:r>
    </w:p>
    <w:p>
      <w:pPr>
        <w:spacing w:after="0" w:line="21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That said, Italian counsels advise us that there exist no treaties or other conventions in existence between the Republic of Italy and the United States, or between the Republic of Italy and the US laws, relating to the recognition and enforcement of civil judgments. There follows that a civil judgment of a court of New York or of a United States federal court applying New York law will be recognized in Italy under the general provisions of the International Private Law Act.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type w:val="continuous"/>
        </w:sectPr>
      </w:pPr>
    </w:p>
    <w:bookmarkStart w:id="210" w:name="page211"/>
    <w:bookmarkEnd w:id="210"/>
    <w:p>
      <w:pPr>
        <w:ind w:right="860" w:firstLine="648"/>
        <w:spacing w:after="0" w:line="277" w:lineRule="auto"/>
        <w:rPr>
          <w:sz w:val="20"/>
          <w:szCs w:val="20"/>
          <w:color w:val="auto"/>
        </w:rPr>
      </w:pPr>
      <w:r>
        <w:rPr>
          <w:rFonts w:ascii="Arial" w:cs="Arial" w:eastAsia="Arial" w:hAnsi="Arial"/>
          <w:sz w:val="18"/>
          <w:szCs w:val="18"/>
          <w:color w:val="auto"/>
        </w:rPr>
        <w:t>Section 64 of the International Private Law Act provides that a judgment issued in a foreign country is recognized in Italy, without any proceedings (</w:t>
      </w:r>
      <w:r>
        <w:rPr>
          <w:rFonts w:ascii="Arial" w:cs="Arial" w:eastAsia="Arial" w:hAnsi="Arial"/>
          <w:sz w:val="18"/>
          <w:szCs w:val="18"/>
          <w:i w:val="1"/>
          <w:iCs w:val="1"/>
          <w:color w:val="auto"/>
        </w:rPr>
        <w:t>i.e.,</w:t>
      </w:r>
      <w:r>
        <w:rPr>
          <w:rFonts w:ascii="Arial" w:cs="Arial" w:eastAsia="Arial" w:hAnsi="Arial"/>
          <w:sz w:val="18"/>
          <w:szCs w:val="18"/>
          <w:color w:val="auto"/>
        </w:rPr>
        <w:t xml:space="preserve"> without a rehearing on the merits) being necessary, if all of the following conditions are met:</w:t>
      </w:r>
    </w:p>
    <w:p>
      <w:pPr>
        <w:spacing w:after="0" w:line="197" w:lineRule="exact"/>
        <w:rPr>
          <w:sz w:val="20"/>
          <w:szCs w:val="20"/>
          <w:color w:val="auto"/>
        </w:rPr>
      </w:pPr>
    </w:p>
    <w:p>
      <w:pPr>
        <w:ind w:left="840" w:hanging="184"/>
        <w:spacing w:after="0"/>
        <w:tabs>
          <w:tab w:leader="none" w:pos="8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judge who issued the judgment had the power to decide the case pursuant to the principles on jurisdiction provided by Italian law;</w:t>
      </w:r>
    </w:p>
    <w:p>
      <w:pPr>
        <w:spacing w:after="0" w:line="263" w:lineRule="exact"/>
        <w:rPr>
          <w:rFonts w:ascii="Arial" w:cs="Arial" w:eastAsia="Arial" w:hAnsi="Arial"/>
          <w:sz w:val="17"/>
          <w:szCs w:val="17"/>
          <w:color w:val="auto"/>
        </w:rPr>
      </w:pPr>
    </w:p>
    <w:p>
      <w:pPr>
        <w:ind w:right="200" w:firstLine="656"/>
        <w:spacing w:after="0" w:line="277" w:lineRule="auto"/>
        <w:tabs>
          <w:tab w:leader="none" w:pos="84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writ of summons (or equivalent pleading) was duly served upon the defendant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 xml:space="preserve"> (i.e., the application of the rules of the legal system to which the judge belongs);</w:t>
      </w:r>
    </w:p>
    <w:p>
      <w:pPr>
        <w:spacing w:after="0" w:line="197" w:lineRule="exact"/>
        <w:rPr>
          <w:rFonts w:ascii="Arial" w:cs="Arial" w:eastAsia="Arial" w:hAnsi="Arial"/>
          <w:sz w:val="18"/>
          <w:szCs w:val="18"/>
          <w:color w:val="auto"/>
        </w:rPr>
      </w:pPr>
    </w:p>
    <w:p>
      <w:pPr>
        <w:ind w:left="840" w:hanging="184"/>
        <w:spacing w:after="0"/>
        <w:tabs>
          <w:tab w:leader="none" w:pos="8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parties entered an appearance, or their default was duly declared in compliance with the applicable provisions of the </w:t>
      </w:r>
      <w:r>
        <w:rPr>
          <w:rFonts w:ascii="Arial" w:cs="Arial" w:eastAsia="Arial" w:hAnsi="Arial"/>
          <w:sz w:val="18"/>
          <w:szCs w:val="18"/>
          <w:i w:val="1"/>
          <w:iCs w:val="1"/>
          <w:color w:val="auto"/>
        </w:rPr>
        <w:t>lex fori</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860" w:hanging="204"/>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judgment to be recognized is a final judgment subject to no further appeal;</w:t>
      </w:r>
    </w:p>
    <w:p>
      <w:pPr>
        <w:spacing w:after="0" w:line="252" w:lineRule="exact"/>
        <w:rPr>
          <w:rFonts w:ascii="Arial" w:cs="Arial" w:eastAsia="Arial" w:hAnsi="Arial"/>
          <w:sz w:val="18"/>
          <w:szCs w:val="18"/>
          <w:color w:val="auto"/>
        </w:rPr>
      </w:pPr>
    </w:p>
    <w:p>
      <w:pPr>
        <w:ind w:left="840" w:hanging="184"/>
        <w:spacing w:after="0"/>
        <w:tabs>
          <w:tab w:leader="none" w:pos="8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judgment to be recognized does not contrast with a final judgment issued by an Italian Court;</w:t>
      </w:r>
    </w:p>
    <w:p>
      <w:pPr>
        <w:spacing w:after="0" w:line="252" w:lineRule="exact"/>
        <w:rPr>
          <w:rFonts w:ascii="Arial" w:cs="Arial" w:eastAsia="Arial" w:hAnsi="Arial"/>
          <w:sz w:val="18"/>
          <w:szCs w:val="18"/>
          <w:color w:val="auto"/>
        </w:rPr>
      </w:pPr>
    </w:p>
    <w:p>
      <w:pPr>
        <w:ind w:right="120" w:firstLine="656"/>
        <w:spacing w:after="0" w:line="277" w:lineRule="auto"/>
        <w:tabs>
          <w:tab w:leader="none" w:pos="81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there are no pending proceedings between the same parties and in relation to the same matter, which proceedings were commenced prior to the commencement of the foreign proceedings; and</w:t>
      </w:r>
    </w:p>
    <w:p>
      <w:pPr>
        <w:spacing w:after="0" w:line="197" w:lineRule="exact"/>
        <w:rPr>
          <w:rFonts w:ascii="Arial" w:cs="Arial" w:eastAsia="Arial" w:hAnsi="Arial"/>
          <w:sz w:val="18"/>
          <w:szCs w:val="18"/>
          <w:color w:val="auto"/>
        </w:rPr>
      </w:pPr>
    </w:p>
    <w:p>
      <w:pPr>
        <w:ind w:left="860" w:hanging="204"/>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judgment to be recognized does not conflict with Italian public order.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the foreign civil judgment must be enforced in Italy, the above-mentioned conditions must be verified by the Italian Court of Appeal based in the area where the judgment must be executed, as indicated in Article 67 of the International Private Law Act. The subsequent decision of the competent Court of Appeal constitutes the title to enforce the foreign decision. 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foregoing, investors may be able to enforce in Italy judgments in civil and commercial matters that have been obtained from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or state courts. Nevertheless, we cannot assure you that those judgments will be recognized or enforceable in Italy.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21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SEC maintains an Internet website that contains reports and other information regarding issuers that file electronically with the SEC. Our filings with the SEC are also available to the public through the SEC’s website at www.sec.gov.</w:t>
      </w:r>
    </w:p>
    <w:p>
      <w:pPr>
        <w:spacing w:after="0" w:line="19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22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maintain a corporate website at www.genenta.com. Information contained on, or that can be accessed through, our website does not constitute a part of this prospectus. We have included our website address in this prospectus solely as an inactive textual 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19" w:right="35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60" w:type="dxa"/>
            <w:vAlign w:val="bottom"/>
            <w:gridSpan w:val="2"/>
          </w:tcPr>
          <w:p>
            <w:pPr>
              <w:jc w:val="center"/>
              <w:ind w:right="1430"/>
              <w:spacing w:after="0"/>
              <w:rPr>
                <w:sz w:val="20"/>
                <w:szCs w:val="20"/>
                <w:color w:val="auto"/>
              </w:rPr>
            </w:pPr>
            <w:r>
              <w:rPr>
                <w:rFonts w:ascii="Arial" w:cs="Arial" w:eastAsia="Arial" w:hAnsi="Arial"/>
                <w:sz w:val="18"/>
                <w:szCs w:val="18"/>
                <w:color w:val="auto"/>
                <w:w w:val="98"/>
              </w:rPr>
              <w:t>INDEX TO FINANCIAL STATEMENTS</w:t>
            </w:r>
          </w:p>
        </w:tc>
        <w:tc>
          <w:tcPr>
            <w:tcW w:w="218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60" w:type="dxa"/>
            <w:vAlign w:val="bottom"/>
            <w:gridSpan w:val="2"/>
          </w:tcPr>
          <w:p>
            <w:pPr>
              <w:jc w:val="center"/>
              <w:ind w:right="1410"/>
              <w:spacing w:after="0"/>
              <w:rPr>
                <w:sz w:val="20"/>
                <w:szCs w:val="20"/>
                <w:color w:val="auto"/>
              </w:rPr>
            </w:pPr>
            <w:r>
              <w:rPr>
                <w:rFonts w:ascii="Arial" w:cs="Arial" w:eastAsia="Arial" w:hAnsi="Arial"/>
                <w:sz w:val="18"/>
                <w:szCs w:val="18"/>
                <w:color w:val="auto"/>
                <w:w w:val="94"/>
              </w:rPr>
              <w:t>YEARS ENDED DECEMBER 31, 2020 AND 2019</w:t>
            </w:r>
          </w:p>
        </w:tc>
        <w:tc>
          <w:tcPr>
            <w:tcW w:w="2180" w:type="dxa"/>
            <w:vAlign w:val="bottom"/>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Report of Independent Registered Public Accounting Firm</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F-4</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6">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F-5</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7">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F-6</w:t>
            </w:r>
          </w:p>
        </w:tc>
      </w:tr>
      <w:tr>
        <w:trPr>
          <w:trHeight w:val="243"/>
        </w:trPr>
        <w:tc>
          <w:tcPr>
            <w:tcW w:w="110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4840" w:type="dxa"/>
            <w:vAlign w:val="bottom"/>
            <w:tcBorders>
              <w:top w:val="single" w:sz="8" w:color="CCEEFF"/>
            </w:tcBorders>
          </w:tcPr>
          <w:p>
            <w:pPr>
              <w:spacing w:after="0"/>
              <w:rPr>
                <w:sz w:val="21"/>
                <w:szCs w:val="21"/>
                <w:color w:val="auto"/>
              </w:rPr>
            </w:pPr>
          </w:p>
        </w:tc>
        <w:tc>
          <w:tcPr>
            <w:tcW w:w="2180" w:type="dxa"/>
            <w:vAlign w:val="bottom"/>
            <w:tcBorders>
              <w:top w:val="single" w:sz="8" w:color="CCEEFF"/>
            </w:tcBorders>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18">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F-7</w:t>
            </w:r>
          </w:p>
        </w:tc>
      </w:tr>
      <w:tr>
        <w:trPr>
          <w:trHeight w:val="459"/>
        </w:trPr>
        <w:tc>
          <w:tcPr>
            <w:tcW w:w="1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360" w:type="dxa"/>
            <w:vAlign w:val="bottom"/>
            <w:tcBorders>
              <w:top w:val="single" w:sz="8" w:color="CCEEFF"/>
            </w:tcBorders>
            <w:gridSpan w:val="2"/>
          </w:tcPr>
          <w:p>
            <w:pPr>
              <w:jc w:val="center"/>
              <w:ind w:right="1430"/>
              <w:spacing w:after="0"/>
              <w:rPr>
                <w:sz w:val="20"/>
                <w:szCs w:val="20"/>
                <w:color w:val="auto"/>
              </w:rPr>
            </w:pPr>
            <w:r>
              <w:rPr>
                <w:rFonts w:ascii="Arial" w:cs="Arial" w:eastAsia="Arial" w:hAnsi="Arial"/>
                <w:sz w:val="18"/>
                <w:szCs w:val="18"/>
                <w:color w:val="auto"/>
                <w:w w:val="95"/>
              </w:rPr>
              <w:t>SIX MONTHS ENDED JUNE 30, 2021 AND 2020</w:t>
            </w:r>
          </w:p>
        </w:tc>
        <w:tc>
          <w:tcPr>
            <w:tcW w:w="2180" w:type="dxa"/>
            <w:vAlign w:val="bottom"/>
            <w:tcBorders>
              <w:top w:val="single" w:sz="8" w:color="CCEEFF"/>
            </w:tcBorders>
          </w:tcPr>
          <w:p>
            <w:pPr>
              <w:spacing w:after="0"/>
              <w:rPr>
                <w:sz w:val="24"/>
                <w:szCs w:val="24"/>
                <w:color w:val="auto"/>
              </w:rPr>
            </w:pPr>
          </w:p>
        </w:tc>
      </w:tr>
      <w:tr>
        <w:trPr>
          <w:trHeight w:val="243"/>
        </w:trPr>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39">
              <w:r>
                <w:rPr>
                  <w:rFonts w:ascii="Arial" w:cs="Arial" w:eastAsia="Arial" w:hAnsi="Arial"/>
                  <w:sz w:val="18"/>
                  <w:szCs w:val="18"/>
                  <w:color w:val="0000EE"/>
                </w:rPr>
                <w:t>Statements of Operations and Comprehensive Loss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F-28</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0">
              <w:r>
                <w:rPr>
                  <w:rFonts w:ascii="Arial" w:cs="Arial" w:eastAsia="Arial" w:hAnsi="Arial"/>
                  <w:sz w:val="18"/>
                  <w:szCs w:val="18"/>
                  <w:color w:val="0000EE"/>
                </w:rPr>
                <w:t>Balance Sheets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F-29</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1">
              <w:r>
                <w:rPr>
                  <w:rFonts w:ascii="Arial" w:cs="Arial" w:eastAsia="Arial" w:hAnsi="Arial"/>
                  <w:sz w:val="18"/>
                  <w:szCs w:val="18"/>
                  <w:color w:val="0000EE"/>
                </w:rPr>
                <w:t>Statements of Changes in Quotaholders’ Equity</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F-30</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2">
              <w:r>
                <w:rPr>
                  <w:rFonts w:ascii="Arial" w:cs="Arial" w:eastAsia="Arial" w:hAnsi="Arial"/>
                  <w:sz w:val="18"/>
                  <w:szCs w:val="18"/>
                  <w:color w:val="0000EE"/>
                </w:rPr>
                <w:t>Statements of Cash Flows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F-31</w:t>
            </w:r>
          </w:p>
        </w:tc>
      </w:tr>
      <w:tr>
        <w:trPr>
          <w:trHeight w:val="216"/>
        </w:trPr>
        <w:tc>
          <w:tcPr>
            <w:tcW w:w="1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r>
      <w:tr>
        <w:trPr>
          <w:trHeight w:val="196"/>
        </w:trPr>
        <w:tc>
          <w:tcPr>
            <w:tcW w:w="9060" w:type="dxa"/>
            <w:vAlign w:val="bottom"/>
            <w:gridSpan w:val="7"/>
            <w:shd w:val="clear" w:color="auto" w:fill="CCEEFF"/>
          </w:tcPr>
          <w:p>
            <w:pPr>
              <w:spacing w:after="0" w:line="176" w:lineRule="exact"/>
              <w:rPr>
                <w:rFonts w:ascii="Arial" w:cs="Arial" w:eastAsia="Arial" w:hAnsi="Arial"/>
                <w:sz w:val="18"/>
                <w:szCs w:val="18"/>
                <w:color w:val="0000EE"/>
              </w:rPr>
            </w:pPr>
            <w:hyperlink w:anchor="page243">
              <w:r>
                <w:rPr>
                  <w:rFonts w:ascii="Arial" w:cs="Arial" w:eastAsia="Arial" w:hAnsi="Arial"/>
                  <w:sz w:val="18"/>
                  <w:szCs w:val="18"/>
                  <w:color w:val="0000EE"/>
                </w:rPr>
                <w:t>Notes to the Financial Statements</w:t>
              </w:r>
            </w:hyperlink>
          </w:p>
        </w:tc>
        <w:tc>
          <w:tcPr>
            <w:tcW w:w="2180" w:type="dxa"/>
            <w:vAlign w:val="bottom"/>
            <w:shd w:val="clear" w:color="auto" w:fill="CCEEFF"/>
          </w:tcPr>
          <w:p>
            <w:pPr>
              <w:ind w:left="1540"/>
              <w:spacing w:after="0" w:line="176" w:lineRule="exact"/>
              <w:rPr>
                <w:sz w:val="20"/>
                <w:szCs w:val="20"/>
                <w:color w:val="auto"/>
              </w:rPr>
            </w:pPr>
            <w:r>
              <w:rPr>
                <w:rFonts w:ascii="Arial" w:cs="Arial" w:eastAsia="Arial" w:hAnsi="Arial"/>
                <w:sz w:val="18"/>
                <w:szCs w:val="18"/>
                <w:color w:val="auto"/>
              </w:rPr>
              <w:t>F-32</w:t>
            </w:r>
          </w:p>
        </w:tc>
      </w:tr>
      <w:tr>
        <w:trPr>
          <w:trHeight w:val="466"/>
        </w:trPr>
        <w:tc>
          <w:tcPr>
            <w:tcW w:w="1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840" w:type="dxa"/>
            <w:vAlign w:val="bottom"/>
            <w:tcBorders>
              <w:top w:val="single" w:sz="8" w:color="CCEEFF"/>
              <w:bottom w:val="single" w:sz="8" w:color="auto"/>
            </w:tcBorders>
          </w:tcPr>
          <w:p>
            <w:pPr>
              <w:jc w:val="center"/>
              <w:ind w:right="1950"/>
              <w:spacing w:after="0"/>
              <w:rPr>
                <w:sz w:val="20"/>
                <w:szCs w:val="20"/>
                <w:color w:val="auto"/>
              </w:rPr>
            </w:pPr>
            <w:r>
              <w:rPr>
                <w:rFonts w:ascii="Arial" w:cs="Arial" w:eastAsia="Arial" w:hAnsi="Arial"/>
                <w:sz w:val="18"/>
                <w:szCs w:val="18"/>
                <w:color w:val="auto"/>
                <w:w w:val="88"/>
              </w:rPr>
              <w:t>F-1</w:t>
            </w:r>
          </w:p>
        </w:tc>
        <w:tc>
          <w:tcPr>
            <w:tcW w:w="21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19" w:right="339" w:bottom="1440" w:gutter="0" w:footer="0" w:header="0"/>
        </w:sectPr>
      </w:pPr>
    </w:p>
    <w:bookmarkStart w:id="212" w:name="page213"/>
    <w:bookmarkEnd w:id="21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Board of Directors and Quotaholders of </w:t>
      </w: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 xml:space="preserve">We have audited the accompanying balance sheets of </w:t>
      </w:r>
      <w:r>
        <w:rPr>
          <w:rFonts w:ascii="Arial" w:cs="Arial" w:eastAsia="Arial" w:hAnsi="Arial"/>
          <w:sz w:val="16"/>
          <w:szCs w:val="16"/>
          <w:b w:val="1"/>
          <w:bCs w:val="1"/>
          <w:color w:val="auto"/>
        </w:rPr>
        <w:t>Genenta Science S.r.l.</w:t>
      </w:r>
      <w:r>
        <w:rPr>
          <w:rFonts w:ascii="Arial" w:cs="Arial" w:eastAsia="Arial" w:hAnsi="Arial"/>
          <w:sz w:val="16"/>
          <w:szCs w:val="16"/>
          <w:color w:val="auto"/>
        </w:rPr>
        <w:t xml:space="preserve"> (the “Company”) as of December 31, 2020 and 2019, and the related statements of operations and comprehensive loss, changes in quotaholders’ equity,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right="341"/>
              <w:spacing w:after="0"/>
              <w:rPr>
                <w:sz w:val="20"/>
                <w:szCs w:val="20"/>
                <w:color w:val="auto"/>
              </w:rPr>
            </w:pPr>
            <w:r>
              <w:rPr>
                <w:rFonts w:ascii="Arial" w:cs="Arial" w:eastAsia="Arial" w:hAnsi="Arial"/>
                <w:sz w:val="18"/>
                <w:szCs w:val="18"/>
                <w:color w:val="auto"/>
                <w:w w:val="89"/>
              </w:rPr>
              <w:t>Year Ended December 31,</w:t>
            </w:r>
          </w:p>
        </w:tc>
      </w:tr>
      <w:tr>
        <w:trPr>
          <w:trHeight w:val="236"/>
        </w:trPr>
        <w:tc>
          <w:tcPr>
            <w:tcW w:w="5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center"/>
              <w:ind w:left="67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4,688,461</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3,702,982</w:t>
            </w:r>
          </w:p>
        </w:tc>
      </w:tr>
      <w:tr>
        <w:trPr>
          <w:trHeight w:val="24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901,765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921,520</w:t>
            </w:r>
          </w:p>
        </w:tc>
      </w:tr>
      <w:tr>
        <w:trPr>
          <w:trHeight w:val="210"/>
        </w:trPr>
        <w:tc>
          <w:tcPr>
            <w:tcW w:w="51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7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5,590,226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4,624,502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(5,590,226)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(4,624,502)</w:t>
            </w:r>
          </w:p>
        </w:tc>
      </w:tr>
      <w:tr>
        <w:trPr>
          <w:trHeight w:val="216"/>
        </w:trPr>
        <w:tc>
          <w:tcPr>
            <w:tcW w:w="51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5,966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36,331</w:t>
            </w: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Finance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(7,754)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(9,552)</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(5,592,014)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(4,597,723)</w:t>
            </w: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(5,592,014</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(4,597,723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6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color w:val="auto"/>
                <w:w w:val="91"/>
              </w:rPr>
              <w:t>At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4"/>
              </w:rPr>
              <w:t>2019</w:t>
            </w:r>
          </w:p>
        </w:tc>
        <w:tc>
          <w:tcPr>
            <w:tcW w:w="100" w:type="dxa"/>
            <w:vAlign w:val="bottom"/>
          </w:tcPr>
          <w:p>
            <w:pPr>
              <w:spacing w:after="0"/>
              <w:rPr>
                <w:sz w:val="20"/>
                <w:szCs w:val="20"/>
                <w:color w:val="auto"/>
              </w:rPr>
            </w:pPr>
          </w:p>
        </w:tc>
      </w:tr>
      <w:tr>
        <w:trPr>
          <w:trHeight w:val="216"/>
        </w:trPr>
        <w:tc>
          <w:tcPr>
            <w:tcW w:w="6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15,465,243</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20,141,379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947,501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458,118</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121,432</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20,599,497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asset-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945,618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748,681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748,681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equity</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544,988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279,699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292,741</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365,969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213,973</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Accrued expenses - related party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1,359,191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1,651,620</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53,243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2,486,033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17,388</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i w:val="1"/>
                <w:iCs w:val="1"/>
                <w:color w:val="auto"/>
              </w:rPr>
              <w:t>Quotaholders’ equity</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capital</w:t>
            </w:r>
          </w:p>
        </w:tc>
        <w:tc>
          <w:tcPr>
            <w:tcW w:w="1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37,056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36,604,728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34,713,225</w:t>
            </w: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(21,490,475)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(15,898,461)</w:t>
            </w:r>
          </w:p>
        </w:tc>
      </w:tr>
      <w:tr>
        <w:trPr>
          <w:trHeight w:val="210"/>
        </w:trPr>
        <w:tc>
          <w:tcPr>
            <w:tcW w:w="60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quotaholders’ equity</w:t>
            </w:r>
          </w:p>
        </w:tc>
        <w:tc>
          <w:tcPr>
            <w:tcW w:w="18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15,151,309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quotaholders’ equity</w:t>
            </w:r>
          </w:p>
        </w:tc>
        <w:tc>
          <w:tcPr>
            <w:tcW w:w="18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17,502,115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21,348,178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Quotaholders’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Corporate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320" w:type="dxa"/>
            <w:vAlign w:val="bottom"/>
            <w:gridSpan w:val="2"/>
          </w:tcPr>
          <w:p>
            <w:pPr>
              <w:jc w:val="right"/>
              <w:ind w:right="261"/>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(in Euros, except quotas)</w:t>
            </w:r>
          </w:p>
        </w:tc>
        <w:tc>
          <w:tcPr>
            <w:tcW w:w="18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capital</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32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49"/>
        </w:trPr>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19,202,381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(11,300,738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6,870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14,761,332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14,768,202</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749,512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749,512</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(4,597,723)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(4,597,723)</w:t>
            </w:r>
          </w:p>
        </w:tc>
      </w:tr>
      <w:tr>
        <w:trPr>
          <w:trHeight w:val="236"/>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34,713,225</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(15,898,461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gridSpan w:val="2"/>
          </w:tcPr>
          <w:p>
            <w:pPr>
              <w:spacing w:after="0" w:line="203" w:lineRule="exact"/>
              <w:rPr>
                <w:sz w:val="20"/>
                <w:szCs w:val="20"/>
                <w:color w:val="auto"/>
              </w:rPr>
            </w:pPr>
            <w:r>
              <w:rPr>
                <w:rFonts w:ascii="Arial" w:cs="Arial" w:eastAsia="Arial" w:hAnsi="Arial"/>
                <w:sz w:val="18"/>
                <w:szCs w:val="18"/>
                <w:color w:val="auto"/>
              </w:rPr>
              <w:t>Capital increase, net of issuance costs</w:t>
            </w:r>
          </w:p>
        </w:tc>
        <w:tc>
          <w:tcPr>
            <w:tcW w:w="1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1,431,309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1,432,316</w:t>
            </w: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460,194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460,194</w:t>
            </w: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(5,592,014)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(5,592,014)</w:t>
            </w:r>
          </w:p>
        </w:tc>
      </w:tr>
      <w:tr>
        <w:trPr>
          <w:trHeight w:val="223"/>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36,604,728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(21,490,475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i w:val="1"/>
          <w:iCs w:val="1"/>
          <w:color w:val="auto"/>
        </w:rPr>
        <w:t>Genenta Science S.r.l.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60" w:type="dxa"/>
            <w:vAlign w:val="bottom"/>
            <w:gridSpan w:val="6"/>
          </w:tcPr>
          <w:p>
            <w:pPr>
              <w:jc w:val="center"/>
              <w:ind w:right="521"/>
              <w:spacing w:after="0"/>
              <w:rPr>
                <w:sz w:val="20"/>
                <w:szCs w:val="20"/>
                <w:color w:val="auto"/>
              </w:rPr>
            </w:pPr>
            <w:r>
              <w:rPr>
                <w:rFonts w:ascii="Arial" w:cs="Arial" w:eastAsia="Arial" w:hAnsi="Arial"/>
                <w:sz w:val="18"/>
                <w:szCs w:val="18"/>
                <w:color w:val="auto"/>
                <w:w w:val="88"/>
              </w:rPr>
              <w:t>Year-Ended December 31,</w:t>
            </w:r>
          </w:p>
        </w:tc>
      </w:tr>
      <w:tr>
        <w:trPr>
          <w:trHeight w:val="237"/>
        </w:trPr>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2020</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gridSpan w:val="4"/>
          </w:tcPr>
          <w:p>
            <w:pPr>
              <w:jc w:val="center"/>
              <w:ind w:left="490"/>
              <w:spacing w:after="0"/>
              <w:rPr>
                <w:sz w:val="20"/>
                <w:szCs w:val="20"/>
                <w:color w:val="auto"/>
              </w:rPr>
            </w:pPr>
            <w:r>
              <w:rPr>
                <w:rFonts w:ascii="Arial" w:cs="Arial" w:eastAsia="Arial" w:hAnsi="Arial"/>
                <w:sz w:val="18"/>
                <w:szCs w:val="18"/>
                <w:color w:val="auto"/>
                <w:w w:val="92"/>
              </w:rPr>
              <w:t>(in Euros)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(5,592,014)</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(4,597,723)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6,056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4,867</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460,194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749,512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(454,082)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151,091</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(200,287)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(588,681)</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265,289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190,088</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(282,714)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(217,670)</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38,263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133,797</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 related party</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(292,429)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1,666,295</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5,243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18,237</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(6,044,581</w:t>
            </w:r>
          </w:p>
        </w:tc>
        <w:tc>
          <w:tcPr>
            <w:tcW w:w="2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from investing activities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(20,871)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3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50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(20,871</w:t>
            </w:r>
          </w:p>
        </w:tc>
        <w:tc>
          <w:tcPr>
            <w:tcW w:w="20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Proceeds from the issuance of quotas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1,500,436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15,086,708</w:t>
            </w:r>
          </w:p>
        </w:tc>
      </w:tr>
      <w:tr>
        <w:trPr>
          <w:trHeight w:val="222"/>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2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(68,120)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(318,506)</w:t>
            </w:r>
          </w:p>
        </w:tc>
      </w:tr>
      <w:tr>
        <w:trPr>
          <w:trHeight w:val="236"/>
        </w:trPr>
        <w:tc>
          <w:tcPr>
            <w:tcW w:w="5380" w:type="dxa"/>
            <w:vAlign w:val="bottom"/>
          </w:tcPr>
          <w:p>
            <w:pPr>
              <w:ind w:left="180"/>
              <w:spacing w:after="0"/>
              <w:rPr>
                <w:sz w:val="20"/>
                <w:szCs w:val="20"/>
                <w:color w:val="auto"/>
              </w:rPr>
            </w:pPr>
            <w:r>
              <w:rPr>
                <w:rFonts w:ascii="Arial" w:cs="Arial" w:eastAsia="Arial" w:hAnsi="Arial"/>
                <w:sz w:val="18"/>
                <w:szCs w:val="18"/>
                <w:color w:val="auto"/>
              </w:rPr>
              <w:t>Prepaid offering costs</w:t>
            </w:r>
          </w:p>
        </w:tc>
        <w:tc>
          <w:tcPr>
            <w:tcW w:w="2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(43,000)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1,389,316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14,768,202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380" w:type="dxa"/>
            <w:vAlign w:val="bottom"/>
          </w:tcPr>
          <w:p>
            <w:pPr>
              <w:spacing w:after="0" w:line="203" w:lineRule="exact"/>
              <w:rPr>
                <w:sz w:val="20"/>
                <w:szCs w:val="20"/>
                <w:color w:val="auto"/>
              </w:rPr>
            </w:pPr>
            <w:r>
              <w:rPr>
                <w:rFonts w:ascii="Arial" w:cs="Arial" w:eastAsia="Arial" w:hAnsi="Arial"/>
                <w:sz w:val="18"/>
                <w:szCs w:val="18"/>
                <w:b w:val="1"/>
                <w:bCs w:val="1"/>
                <w:color w:val="auto"/>
              </w:rPr>
              <w:t>Net (decrease) increase in cash and cash equivalents</w:t>
            </w:r>
          </w:p>
        </w:tc>
        <w:tc>
          <w:tcPr>
            <w:tcW w:w="2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(4,676,136)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12,278,015</w:t>
            </w:r>
          </w:p>
        </w:tc>
        <w:tc>
          <w:tcPr>
            <w:tcW w:w="100" w:type="dxa"/>
            <w:vAlign w:val="bottom"/>
          </w:tcPr>
          <w:p>
            <w:pPr>
              <w:spacing w:after="0"/>
              <w:rPr>
                <w:sz w:val="17"/>
                <w:szCs w:val="17"/>
                <w:color w:val="auto"/>
              </w:rPr>
            </w:pPr>
          </w:p>
        </w:tc>
      </w:tr>
      <w:tr>
        <w:trPr>
          <w:trHeight w:val="25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20,141,379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7,863,364</w:t>
            </w:r>
          </w:p>
        </w:tc>
      </w:tr>
      <w:tr>
        <w:trPr>
          <w:trHeight w:val="256"/>
        </w:trPr>
        <w:tc>
          <w:tcPr>
            <w:tcW w:w="53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50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15,465,243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20,141,379</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53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8"/>
                <w:szCs w:val="18"/>
                <w:color w:val="auto"/>
                <w:w w:val="92"/>
              </w:rPr>
              <w:t>Non-cash financing activities: deferred offering costs accrued at year end</w:t>
            </w:r>
          </w:p>
        </w:tc>
        <w:tc>
          <w:tcPr>
            <w:tcW w:w="300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113,733</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80" w:type="dxa"/>
            <w:vAlign w:val="bottom"/>
            <w:gridSpan w:val="3"/>
          </w:tcPr>
          <w:p>
            <w:pPr>
              <w:jc w:val="center"/>
              <w:ind w:left="279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center"/>
              <w:ind w:right="2430"/>
              <w:spacing w:after="0"/>
              <w:rPr>
                <w:sz w:val="20"/>
                <w:szCs w:val="20"/>
                <w:color w:val="auto"/>
              </w:rPr>
            </w:pPr>
            <w:r>
              <w:rPr>
                <w:rFonts w:ascii="Arial" w:cs="Arial" w:eastAsia="Arial" w:hAnsi="Arial"/>
                <w:sz w:val="18"/>
                <w:szCs w:val="18"/>
                <w:color w:val="auto"/>
                <w:w w:val="88"/>
              </w:rPr>
              <w:t>F-6</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b w:val="1"/>
          <w:bCs w:val="1"/>
          <w:i w:val="1"/>
          <w:iCs w:val="1"/>
          <w:color w:val="auto"/>
        </w:rPr>
        <w:t>G</w:t>
      </w:r>
      <w:r>
        <w:rPr>
          <w:rFonts w:ascii="Arial" w:cs="Arial" w:eastAsia="Arial" w:hAnsi="Arial"/>
          <w:sz w:val="12"/>
          <w:szCs w:val="12"/>
          <w:b w:val="1"/>
          <w:bCs w:val="1"/>
          <w:i w:val="1"/>
          <w:iCs w:val="1"/>
          <w:color w:val="auto"/>
        </w:rPr>
        <w:t>ENENTA</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CIENCE</w:t>
      </w:r>
      <w:r>
        <w:rPr>
          <w:rFonts w:ascii="Arial" w:cs="Arial" w:eastAsia="Arial" w:hAnsi="Arial"/>
          <w:sz w:val="18"/>
          <w:szCs w:val="18"/>
          <w:b w:val="1"/>
          <w:bCs w:val="1"/>
          <w:i w:val="1"/>
          <w:iCs w:val="1"/>
          <w:color w:val="auto"/>
        </w:rPr>
        <w:t xml:space="preserve"> S.</w:t>
      </w:r>
      <w:r>
        <w:rPr>
          <w:rFonts w:ascii="Arial" w:cs="Arial" w:eastAsia="Arial" w:hAnsi="Arial"/>
          <w:sz w:val="12"/>
          <w:szCs w:val="12"/>
          <w:b w:val="1"/>
          <w:bCs w:val="1"/>
          <w:i w:val="1"/>
          <w:iCs w:val="1"/>
          <w:color w:val="auto"/>
        </w:rPr>
        <w:t>R</w:t>
      </w:r>
      <w:r>
        <w:rPr>
          <w:rFonts w:ascii="Arial" w:cs="Arial" w:eastAsia="Arial" w:hAnsi="Arial"/>
          <w:sz w:val="18"/>
          <w:szCs w:val="18"/>
          <w:b w:val="1"/>
          <w:bCs w:val="1"/>
          <w:i w:val="1"/>
          <w:iCs w:val="1"/>
          <w:color w:val="auto"/>
        </w:rPr>
        <w:t>.</w:t>
      </w:r>
      <w:r>
        <w:rPr>
          <w:rFonts w:ascii="Arial" w:cs="Arial" w:eastAsia="Arial" w:hAnsi="Arial"/>
          <w:sz w:val="12"/>
          <w:szCs w:val="12"/>
          <w:b w:val="1"/>
          <w:bCs w:val="1"/>
          <w:i w:val="1"/>
          <w:iCs w:val="1"/>
          <w:color w:val="auto"/>
        </w:rPr>
        <w:t>L</w:t>
      </w:r>
      <w:r>
        <w:rPr>
          <w:rFonts w:ascii="Arial" w:cs="Arial" w:eastAsia="Arial" w:hAnsi="Arial"/>
          <w:sz w:val="18"/>
          <w:szCs w:val="18"/>
          <w:b w:val="1"/>
          <w:bCs w:val="1"/>
          <w:i w:val="1"/>
          <w:iCs w:val="1"/>
          <w:color w:val="auto"/>
        </w:rPr>
        <w: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OTES TO THE</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Genenta Science S.r.l. (the “Company”) is an early-stage company developing potential ground-breaking cell and gene cancer therapies. The Company is initially developing its clinical leading product, Temferon, to treat glioblastoma multiforme (“GBM”), a solid tumor affecting the brain. The Company intends to start a second clinical trial to study Temferon in liver cancers and is planning to expand its clinical trial on UMGMT-GBM indications in the United States.</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Genenta Science S.r.l. is an Italian limited liability company (società a responsabilità limitata, or S.r.l.), which is similar to a limited liability company in the United States. The Company was founded by San Raffaele Hospital (“OSR”), in Milan, Italy, Pierluigi Paracchi, Luigi Naldini and Bernhard Gentner and was incorporated in July 2014. The Company is organized under the laws of Italy, with registered office in Milan. The corporate capital of an S.r.l. is called a “quota.” A quota is a varying ownership or portion of subscribed capital in the S.r.l. Each quota has specific rights and value. (See Note 10. Quotaholders’ Equity.) The Company’s reporting currency is Euros.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incurred recurring losses since its inception, including a net loss of €5,592,014 and €4,597,723 for the years ended December 31, 2020 and 2019. In addition, as of December 31, 2020, the Company had an accumulated deficit of €21,490,475. The Company has primarily funded these losses through the proceeds from sales of convertible debt and quotas. Although the Company has incurred recurring losses and expects to continue to incur losses for the foreseeable future, the Company expects that its existing cash and cash equivalents on hand as of December 31, 2020 of €15,465,243 will be more than sufficient to fund current planned operations and capital expenditure requirements for at least the next twelve months from the filing date of these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due to the fact that,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8" w:name="page219"/>
    <w:bookmarkEnd w:id="218"/>
    <w:p>
      <w:pPr>
        <w:ind w:right="220" w:firstLine="648"/>
        <w:spacing w:after="0" w:line="279" w:lineRule="auto"/>
        <w:rPr>
          <w:sz w:val="20"/>
          <w:szCs w:val="20"/>
          <w:color w:val="auto"/>
        </w:rPr>
      </w:pPr>
      <w:r>
        <w:rPr>
          <w:rFonts w:ascii="Arial" w:cs="Arial" w:eastAsia="Arial" w:hAnsi="Arial"/>
          <w:sz w:val="17"/>
          <w:szCs w:val="17"/>
          <w:color w:val="auto"/>
        </w:rPr>
        <w:t>The Company has primarily funded its operations with proceeds from several capital increases and at March 31, 2021, had approximately €13.1 million of cash and cash equivalents. Therefore, management and the Board of Directors believe that the Company has adequate financial resources to support business operations in the foreseeable future and for at least 12 months from the date of this report. Accordingly, the accompanying financial statements have been prepared assuming that the Company will continue as a going concern.</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will require additional capital to meet its long-term operating requirements. It expects to raise additional capital through, among other things, the sale of equity or debt securities.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February 2020, the COVID-19 pandemic commenced in Italy. Regulatory guidance was issued in March and updated in April 2020 relating to the management of clinical trials during the pandemic. As the global healthcare community continues to respond to the COVID-19 pandemic, many hospitals, including the Company’s clinical sites, temporarily paused elective medical procedures, including dosing of new patients in clinical trials of our investigational gene therapies. While dosing of new patients and data collection from enrolled patients has resumed at clinical sites, the extent to which clinical activities continue to be delayed or interrupted will depend on future developments that are highly uncertain. The Company has not experienced significant interruptions related to COVID-19, although one patient tested positive for COVID-19 and had to delay treatment with Temferon™. The Company may find it difficult to enroll patients in its clinical trials, which could delay or prevent the Company from proceeding with clinical trials of its product candidates. The Company continues to closely monitor this rapidly evolving situation and the potential impact on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unless otherwise stated.</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In the cash flow statement cash and cash equivalents includes cash on hand, deposits held with banks, and other short-term highly liquid investments. In the balance sheet, bank overdrafts, if any, are shown in current liabilities. Cash and cash equivalents are detailed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At December 31,</w:t>
            </w: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center"/>
              <w:ind w:left="590"/>
              <w:spacing w:after="0"/>
              <w:rPr>
                <w:sz w:val="20"/>
                <w:szCs w:val="20"/>
                <w:color w:val="auto"/>
              </w:rPr>
            </w:pPr>
            <w:r>
              <w:rPr>
                <w:rFonts w:ascii="Arial" w:cs="Arial" w:eastAsia="Arial" w:hAnsi="Arial"/>
                <w:sz w:val="18"/>
                <w:szCs w:val="18"/>
                <w:color w:val="auto"/>
                <w:w w:val="92"/>
              </w:rPr>
              <w:t>(in Euros)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15,462,805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20,137,033</w:t>
            </w:r>
          </w:p>
        </w:tc>
        <w:tc>
          <w:tcPr>
            <w:tcW w:w="1680" w:type="dxa"/>
            <w:vAlign w:val="bottom"/>
          </w:tcPr>
          <w:p>
            <w:pPr>
              <w:spacing w:after="0"/>
              <w:rPr>
                <w:sz w:val="18"/>
                <w:szCs w:val="18"/>
                <w:color w:val="auto"/>
              </w:rPr>
            </w:pPr>
          </w:p>
        </w:tc>
      </w:tr>
      <w:tr>
        <w:trPr>
          <w:trHeight w:val="236"/>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Cash in hand &amp; prepaid cards</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2,438</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4,346</w:t>
            </w: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20,141,379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F-8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Historical EPS or QPS (quota per share) has not been included in these financial statements because the Company has determined it is not a meaningful or material disclosure due to the Company’s current capital structure. Net loss per share has not been presented at December 31, 2020 and 2019, since the Company was an S.r.l. at the time and maintained classes of quota (similar to membership interests in a limited liability company in the United States) rather than shares, which it now has post-conversion to an S.p.A.,(similar to a C-corporation in the United States). The quotas represented percentage ownership in the Company and not actual shares. The Company did not believe that representing loss per quota was a meaningful measurement.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reporting and functional currency of the Company is Euros. All amounts are presented in Euros unless otherwise stated. All amounts disclosed in the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year-end exchange rates of monetary assets and liabilities denominated in foreign currencies are recognized in the statement of operations. During the years ended December 31, 2020 and 2019, foreign exchange gains and losses were insignificant.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line with the legislation in force until December 31, 2020,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of social security contributions and withholding taxes. The tax credit calculation methodology changed in 2020, and the credit was determined as 12% of eligible expenses up to €3.0 million. Up until December 31, 2019, the tax credit was up to 50% of the increase of annual research and development expenses compared to the median expense for the years 2012-2014.</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left="5460" w:right="4300" w:hanging="5452"/>
        <w:spacing w:after="0" w:line="555" w:lineRule="auto"/>
        <w:tabs>
          <w:tab w:leader="none" w:pos="20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1" w:name="page222"/>
    <w:bookmarkEnd w:id="221"/>
    <w:p>
      <w:pPr>
        <w:ind w:left="660"/>
        <w:spacing w:after="0"/>
        <w:rPr>
          <w:sz w:val="20"/>
          <w:szCs w:val="20"/>
          <w:color w:val="auto"/>
        </w:rPr>
      </w:pPr>
      <w:r>
        <w:rPr>
          <w:rFonts w:ascii="Arial" w:cs="Arial" w:eastAsia="Arial" w:hAnsi="Arial"/>
          <w:sz w:val="18"/>
          <w:szCs w:val="18"/>
          <w:color w:val="auto"/>
        </w:rPr>
        <w:t>To determine the cost basis of the benefit, the following expenses are eligible:</w:t>
      </w:r>
    </w:p>
    <w:p>
      <w:pPr>
        <w:spacing w:after="0" w:line="225"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Depreciation charges related to industrial privatives.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Expenses for consultancy services and equivalent services related to research and development eligible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the research and development projects.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The Company accounts for this receivable in accordance with International Accounting Standards (IAS) 20, </w:t>
      </w:r>
      <w:r>
        <w:rPr>
          <w:rFonts w:ascii="Arial" w:cs="Arial" w:eastAsia="Arial" w:hAnsi="Arial"/>
          <w:sz w:val="18"/>
          <w:szCs w:val="18"/>
          <w:i w:val="1"/>
          <w:iCs w:val="1"/>
          <w:color w:val="auto"/>
        </w:rPr>
        <w:t>Accounting for Government Grants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 of Government Assistance</w:t>
      </w:r>
      <w:r>
        <w:rPr>
          <w:rFonts w:ascii="Arial" w:cs="Arial" w:eastAsia="Arial" w:hAnsi="Arial"/>
          <w:sz w:val="18"/>
          <w:szCs w:val="18"/>
          <w:color w:val="auto"/>
        </w:rPr>
        <w:t>. The receivable is recognized when there is reasonable assurance that: (1) the recipient will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conditions and (2) the grant will be received. The Company elected to present it net of the related expenditure on the statement of operations and comprehensive loss.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statement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 reward the efforts of employees, directors, and certain consultants to promote the growth of the Company, the Company’s Board of Directors has approved, during its existence, various share-based awards. All options have been awarded with an exercise price of €1 per quota and, when exercised, all options have been converted to Quota B. The options granted have the vesting condition that the individual must remain in his/her role at least one year or as otherwise specified for each person.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employees and directors based on the fair value on the date of the grant and recognizes compensation expense for those awards over the requisite service period, which is the vesting period of the respective award. Forfeitures are accounted for as they occur. The measurement date for option awards is the date of the grant. The Company classifies share-based compensation expense in its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With the adoption of Accounting Standards Update (“ASU”)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Property and equipment are stated at cost, including any accessory and direct costs that are necessary to make the assets fit for use, and adjusted by the corresponding accumulated depreciation. The depreciation recorded in the financial statements of operations has been calculated on a straight line basis by taking into consideration the use, purpose and financial-technical duration of the assets, on the basis of their estimated useful economic lives. The Company believes the above criteria to be represented by the following estimated useful lives:</w:t>
      </w:r>
    </w:p>
    <w:p>
      <w:pPr>
        <w:spacing w:after="0" w:line="171" w:lineRule="exact"/>
        <w:rPr>
          <w:sz w:val="20"/>
          <w:szCs w:val="20"/>
          <w:color w:val="auto"/>
        </w:rPr>
      </w:pPr>
    </w:p>
    <w:p>
      <w:pPr>
        <w:ind w:left="760" w:hanging="104"/>
        <w:spacing w:after="0"/>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Electronic office equipment: 10 years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Leasehold improvements: based on the length of the lease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Ordinary maintenance costs are entirely attributed to the statements of operations in the year in which they are incurred. Extraordinary maintenance costs, the purpose of which is to extend the useful economic life of the asset, to technologically upgrade it and/or to increase its productivity or safety for the purposes of the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by management for the years ended December 31, 2020 and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the initial public offering (IPO), are capitalized within prepaid expenses and other current assets. The deferred offering costs will be offset against IPO proceeds upon the consummation of the offering. In the event the offering is terminated, deferred offering costs will be expensed. The Company has incurred €156,000 in IPO offering costs as of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financial statements.</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non-public entities, ASU 2017-11 is effective for annual reporting periods beginning after December 15, 2019, including interim periods within those fiscal years. The Company does not expect the adoption of ASU 2017-11 to have a significant impact on its financial position, results of operations, or cash flows.</w:t>
      </w:r>
    </w:p>
    <w:p>
      <w:pPr>
        <w:spacing w:after="0" w:line="18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August 2018, the FASB issued No. ASU 2018-13, Fair Value Measurement (Topic 820)—Disclosure Framework (‘‘ASU 2018-13’’), which improves the disclosure requirements for fair value measurements. For non-public entities, ASU 2018-13 is effective for annual reporting periods beginning after December 15, 2019, including interim periods within those fiscal years. Early adoption is permitted for any removed or modified disclosures. The Company is currently evaluating the impact that the adoption of ASU 2018-13 will have on its financial statements. The FASB issued authoritative guidance that amends guidance on reporting credit losses for financial assets, including available-for-sale marketable securities and any other financial assets not excluded from the scope that result in a contractual right to receive cash. For available-for-sale marketable securities, credit losses should be measured in a manner similar to current generally accepted accounting standards; however, ASU 2016-13, Financial Instruments—Credit Losses (Topic 326): Measurement of Credit Losses on Financial Instruments, will require that credit losses be presented as an allowance rather than as a write-down. For non-public entities, the standard is effective for annual periods beginning after December 15, 2022, with early adoption permitted. The Company is currently evaluating the impact that the adoption of ASU 2016-13 will have on its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certain milestone payments,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as of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Due to the tax loss position reported, no income taxes were due for the years ending December 31, 2020 and 2019. The Company is taxed in various countries where it has permanent establishment, as applicable.</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4" w:name="page225"/>
    <w:bookmarkEnd w:id="224"/>
    <w:p>
      <w:pPr>
        <w:ind w:firstLine="648"/>
        <w:spacing w:after="0" w:line="275" w:lineRule="auto"/>
        <w:rPr>
          <w:sz w:val="20"/>
          <w:szCs w:val="20"/>
          <w:color w:val="auto"/>
        </w:rPr>
      </w:pPr>
      <w:r>
        <w:rPr>
          <w:rFonts w:ascii="Arial" w:cs="Arial" w:eastAsia="Arial" w:hAnsi="Arial"/>
          <w:sz w:val="17"/>
          <w:szCs w:val="17"/>
          <w:color w:val="auto"/>
        </w:rPr>
        <w:t>As of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management conclude that it is more likely than not that the deferred tax assets are partially or fully realizable, the valuation allowance will be reduced to the extent of such expected realization, and the corresponding amount will be recognized as income tax benefit in the Company’s statement of operations and comprehensive loss.</w:t>
      </w:r>
    </w:p>
    <w:p>
      <w:pPr>
        <w:spacing w:after="0" w:line="176"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financial statements. The prior five (5) years’ tax returns are potentially subject to audit.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w w:val="97"/>
              </w:rPr>
              <w:t>A reconciliation of the Company’s effective tax rate is summarized as follows:</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Italy statutory rate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(1,342,083)</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(1,103,454)</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Permanent differences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provision expense for income taxes</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4"/>
          </w:tcPr>
          <w:p>
            <w:pPr>
              <w:spacing w:after="0"/>
              <w:rPr>
                <w:sz w:val="20"/>
                <w:szCs w:val="20"/>
                <w:color w:val="auto"/>
              </w:rPr>
            </w:pPr>
            <w:r>
              <w:rPr>
                <w:rFonts w:ascii="Arial" w:cs="Arial" w:eastAsia="Arial" w:hAnsi="Arial"/>
                <w:sz w:val="18"/>
                <w:szCs w:val="18"/>
                <w:color w:val="auto"/>
                <w:w w:val="91"/>
              </w:rPr>
              <w:t>Significant components of the Company’s net deferred tax assets are summarized as follows: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4,692,844</w:t>
            </w:r>
          </w:p>
        </w:tc>
        <w:tc>
          <w:tcPr>
            <w:tcW w:w="14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3,192,643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Allowance for corporate equity</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(4,903,464)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(3,515,615)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Tax loss carryforwards expire as follows:</w:t>
            </w: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No expiration date</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 expiration date - DL 98/2011</w:t>
            </w:r>
          </w:p>
        </w:tc>
        <w:tc>
          <w:tcPr>
            <w:tcW w:w="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14,066,434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7,815,593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19,553,519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13,302,678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carryforwards that refer to the start-up period, defined as the first three (3) years of operations starting from the inception of the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2"/>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480,000</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237,569</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280,631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192,020</w:t>
            </w:r>
          </w:p>
        </w:tc>
        <w:tc>
          <w:tcPr>
            <w:tcW w:w="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156,261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Advances to suppliers – related party</w:t>
            </w: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121,432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30,609</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28,529</w:t>
            </w:r>
          </w:p>
        </w:tc>
        <w:tc>
          <w:tcPr>
            <w:tcW w:w="60" w:type="dxa"/>
            <w:vAlign w:val="bottom"/>
            <w:shd w:val="clear" w:color="auto" w:fill="CCEEFF"/>
          </w:tcPr>
          <w:p>
            <w:pPr>
              <w:spacing w:after="0"/>
              <w:rPr>
                <w:sz w:val="21"/>
                <w:szCs w:val="21"/>
                <w:color w:val="auto"/>
              </w:rPr>
            </w:pPr>
          </w:p>
        </w:tc>
      </w:tr>
      <w:tr>
        <w:trPr>
          <w:trHeight w:val="217"/>
        </w:trPr>
        <w:tc>
          <w:tcPr>
            <w:tcW w:w="1420" w:type="dxa"/>
            <w:vAlign w:val="bottom"/>
          </w:tcPr>
          <w:p>
            <w:pPr>
              <w:spacing w:after="0"/>
              <w:rPr>
                <w:sz w:val="18"/>
                <w:szCs w:val="18"/>
                <w:color w:val="auto"/>
              </w:rPr>
            </w:pPr>
          </w:p>
        </w:tc>
        <w:tc>
          <w:tcPr>
            <w:tcW w:w="5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458,118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2020 and 2019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Tax credits on research and development represent a special tax relief offered to Italian companies operating in the research and development sector and can be used to offset most taxes payable. Tax credits on research and development available were €3.9 million at December 31, 2020 and €3.5 million at December 31, 2019, which can be carried forward indefinitely and does not expire. However, given the start-up status of the Company and the fact that it will not be profitable in the foreseeable future which limits the utilization of the credit, the Company recognized a receivable balance at December 31, 2020, that represents the Company’s best estimate of the amount of tax credit that can be used in offsetting taxes payable for 2021 and 2022, which represents the current projected available cash to support operations. In 2019, the limitation on the Company’s tax credit was based on three years of cash available to support operations. In 2020 and 2019, the Company utilized €280,631 and €192,020 to offset certain taxes payable. The benefit recorded in 2020 and 2019 to offset research and development expenses was €265,834 and €448,079, respectively. The Company reclassified to other non-current assets a portion of the receivable which is expected to be realized beyond 12 months.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remaining balance is comprised of miscellaneous minor prepaid expenses and deferred offering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14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16,196</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4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4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Property and equipment consist of computers and furniture and fixtures of our office space in Milan. No disposals, nor impairments occurred during the periods. Depreciation has been calculated by taking into consideration the use, purpose, and financial-technical duration of the assets, based on their estimated economic lives. Property and equipment were entirely purchased in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for the year ended December 31, 2020 was €1,900. There was no depreciation expense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5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r>
      <w:tr>
        <w:trPr>
          <w:trHeight w:val="237"/>
        </w:trPr>
        <w:tc>
          <w:tcPr>
            <w:tcW w:w="59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20"/>
                <w:szCs w:val="20"/>
                <w:color w:val="auto"/>
              </w:rPr>
            </w:pPr>
          </w:p>
        </w:tc>
      </w:tr>
      <w:tr>
        <w:trPr>
          <w:trHeight w:val="216"/>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(in Euros)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664,987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364,641</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280,631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384,040</w:t>
            </w: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is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December 31, 2020 and 2019 was €17,388 and €11,332,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equity</w:t>
      </w:r>
    </w:p>
    <w:p>
      <w:pPr>
        <w:spacing w:after="0" w:line="22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is an S.r.l., which is an Italian limited liability company similar to a limited liability company in the United States. The Articles of Incorporation, Shareholders’ Agreement and the By-laws of the Company provide for different quotas, which represent the Company’s corporate capital, rather than shares of stock as ownership.</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is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is divided between the five quotas as summarized below at December 31, 2020 and 2019:</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4"/>
          </w:tcPr>
          <w:p>
            <w:pPr>
              <w:jc w:val="center"/>
              <w:ind w:right="1610"/>
              <w:spacing w:after="0"/>
              <w:rPr>
                <w:sz w:val="20"/>
                <w:szCs w:val="20"/>
                <w:color w:val="auto"/>
              </w:rPr>
            </w:pPr>
            <w:r>
              <w:rPr>
                <w:rFonts w:ascii="Arial" w:cs="Arial" w:eastAsia="Arial" w:hAnsi="Arial"/>
                <w:sz w:val="18"/>
                <w:szCs w:val="18"/>
                <w:b w:val="1"/>
                <w:bCs w:val="1"/>
                <w:color w:val="auto"/>
                <w:w w:val="90"/>
              </w:rPr>
              <w:t>At December 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At December 31,</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Quota</w:t>
            </w:r>
          </w:p>
        </w:tc>
        <w:tc>
          <w:tcPr>
            <w:tcW w:w="2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4"/>
              </w:rPr>
              <w:t>Ownership %</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c>
          <w:tcPr>
            <w:tcW w:w="200" w:type="dxa"/>
            <w:vAlign w:val="bottom"/>
            <w:tcBorders>
              <w:bottom w:val="single" w:sz="8" w:color="CCEEFF"/>
            </w:tcBorders>
            <w:gridSpan w:val="2"/>
          </w:tcPr>
          <w:p>
            <w:pPr>
              <w:spacing w:after="0"/>
              <w:rPr>
                <w:sz w:val="20"/>
                <w:szCs w:val="20"/>
                <w:color w:val="auto"/>
              </w:rPr>
            </w:pP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6,450</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6,886</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8,645</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4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49"/>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E</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6,462</w:t>
            </w:r>
          </w:p>
        </w:tc>
        <w:tc>
          <w:tcPr>
            <w:tcW w:w="14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7,033</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7"/>
        </w:trPr>
        <w:tc>
          <w:tcPr>
            <w:tcW w:w="2160" w:type="dxa"/>
            <w:vAlign w:val="bottom"/>
            <w:tcBorders>
              <w:top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36,049</w:t>
            </w:r>
          </w:p>
        </w:tc>
        <w:tc>
          <w:tcPr>
            <w:tcW w:w="28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w:t>
            </w:r>
          </w:p>
        </w:tc>
        <w:tc>
          <w:tcPr>
            <w:tcW w:w="2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Company’s corporate capital at January 1, 2019 was €29,179, consisting of quota A from founders, options converted to quota B, and quotas C &amp; D from investment capital. Additional capital was raised in 2019 by the sale of quota E, along with options converted to quota B, so corporate capital at December 31, 2019 was €36,049. Additional capital was raised in 2020 by the sale of quota E, so corporate capital at December 31, 2020 was €37,056.</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has five (5) quotas:</w:t>
      </w:r>
    </w:p>
    <w:p>
      <w:pPr>
        <w:spacing w:after="0" w:line="225" w:lineRule="exact"/>
        <w:rPr>
          <w:sz w:val="20"/>
          <w:szCs w:val="20"/>
          <w:color w:val="auto"/>
        </w:rPr>
      </w:pPr>
    </w:p>
    <w:p>
      <w:pPr>
        <w:ind w:left="660" w:right="40" w:hanging="328"/>
        <w:spacing w:after="0" w:line="259"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Quota A</w:t>
      </w:r>
      <w:r>
        <w:rPr>
          <w:rFonts w:ascii="Arial" w:cs="Arial" w:eastAsia="Arial" w:hAnsi="Arial"/>
          <w:sz w:val="18"/>
          <w:szCs w:val="18"/>
          <w:color w:val="auto"/>
        </w:rPr>
        <w:t>. Quota A was reserved for certain founders. One of the founders has the right to appoint three (3) board members out of five (5), appoint the Chair from these three (3) persons and appoint one (1) member of the Board of Statutory Auditors. One other founder has the right to appoint two (2) board members out of five (5), appoint two (2) statutory auditors and appoint the Chair of the statutory auditors from the two (2) appointees. Quota A has voting rights.</w:t>
      </w:r>
    </w:p>
    <w:p>
      <w:pPr>
        <w:spacing w:after="0" w:line="186"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Quota B</w:t>
      </w:r>
      <w:r>
        <w:rPr>
          <w:rFonts w:ascii="Arial" w:cs="Arial" w:eastAsia="Arial" w:hAnsi="Arial"/>
          <w:sz w:val="18"/>
          <w:szCs w:val="18"/>
          <w:color w:val="auto"/>
        </w:rPr>
        <w:t>. Quota B has no voting rights, the same profit-sharing rights as Quota A and is priced at a nominal amount of €1.00. The Company has historically utilized Quota B for its share-based compensation program offered to board members, employees, and consultants. Quota B is also held by certain co-founders. The Company’s stock options are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Quota C</w:t>
      </w:r>
      <w:r>
        <w:rPr>
          <w:rFonts w:ascii="Arial" w:cs="Arial" w:eastAsia="Arial" w:hAnsi="Arial"/>
          <w:sz w:val="17"/>
          <w:szCs w:val="17"/>
          <w:color w:val="auto"/>
        </w:rPr>
        <w:t>. Quota C has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Quota D</w:t>
      </w:r>
      <w:r>
        <w:rPr>
          <w:rFonts w:ascii="Arial" w:cs="Arial" w:eastAsia="Arial" w:hAnsi="Arial"/>
          <w:sz w:val="18"/>
          <w:szCs w:val="18"/>
          <w:color w:val="auto"/>
        </w:rPr>
        <w:t>.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Quota E</w:t>
      </w:r>
      <w:r>
        <w:rPr>
          <w:rFonts w:ascii="Arial" w:cs="Arial" w:eastAsia="Arial" w:hAnsi="Arial"/>
          <w:sz w:val="18"/>
          <w:szCs w:val="18"/>
          <w:color w:val="auto"/>
        </w:rPr>
        <w:t>.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28" w:name="page229"/>
    <w:bookmarkEnd w:id="228"/>
    <w:p>
      <w:pPr>
        <w:ind w:left="660" w:right="60" w:hanging="328"/>
        <w:spacing w:after="0" w:line="269" w:lineRule="auto"/>
        <w:tabs>
          <w:tab w:leader="none" w:pos="660"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Quotas A, C, D &amp; E</w:t>
      </w:r>
      <w:r>
        <w:rPr>
          <w:rFonts w:ascii="Arial" w:cs="Arial" w:eastAsia="Arial" w:hAnsi="Arial"/>
          <w:sz w:val="17"/>
          <w:szCs w:val="17"/>
          <w:color w:val="auto"/>
        </w:rPr>
        <w:t xml:space="preserve">. During a divestiture proceeding (meaning Quotas representing 100% of the corporate capital of the Company) or a dissolution of the Company, Quotas C, D &amp; E all have the same rights with respect to the proceeds of a divestiture, i.e., all three (3) quotas share the divestiture consideration equally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up to the amount of their investment. If there is any consideration remaining after payment to quotas C, D &amp; E, then quota A shall be entitled to the amount remaining up to the amount of their investment. If proceeds of a divestiture are less than or equal to €50 million, then any proceeds remaining after payment of quotas A, C, D &amp; E, shall be shared equally among quotas A, C, D &amp; E; however, if proceeds of a divestiture are greater than €50 million, then any proceeds remaining after payment of quotas A, C, D &amp; E, shall be distributed to each quota separately according to a detailed formula specified in the Company’s By-Laws, including quota B. Similar to a divestiture, net profits, if any, shall be distributed in the same manner to quotas A, B, C, D &amp; E, after deducting not less than five (5) percent for a legal reserve (up to where this reserve equals one-fifth of the quota capital). A, C, D, E have equal voting rights and the Company By-laws specify protective provisions for each class of quota for A, C, D &amp; E.</w:t>
      </w:r>
    </w:p>
    <w:p>
      <w:pPr>
        <w:spacing w:after="0" w:line="181" w:lineRule="exact"/>
        <w:rPr>
          <w:rFonts w:ascii="Arial" w:cs="Arial" w:eastAsia="Arial" w:hAnsi="Arial"/>
          <w:sz w:val="17"/>
          <w:szCs w:val="17"/>
          <w:color w:val="auto"/>
        </w:rPr>
      </w:pPr>
    </w:p>
    <w:p>
      <w:pPr>
        <w:ind w:left="260" w:hanging="252"/>
        <w:spacing w:after="0"/>
        <w:tabs>
          <w:tab w:leader="none" w:pos="2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Company has granted options on its corporate capital to certain directors, officers, employees, and consultants, as an incentive and as additional compensation. All options convert into Quota B when vested and exercised. All options have an exercise price of €1.00 per quota. Options generally vest over a one-to-three-year period and are exercised when vested. All options expire on December 31, 2021, if not exercised. The Board of Directors approves any options granted and has authorized and granted 4,835 options to date. At December 31, 2019, there were no options available for grant, as all remaining authorized options were granted in 2019; therefore, no options were granted in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quota option activity for the years ended December 31, 2020 and 2019 is represented by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Remaining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Contractual</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Options</w:t>
            </w: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Term (Years)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(in €’s)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2019</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982</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1,056,316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472,184</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Outstanding, vested and expected to vest as of December 31,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Exerciseable as of December 31, 2020</w:t>
            </w: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years ended December 31, 2020 and 2019 is represented by the following table: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8"/>
                <w:szCs w:val="18"/>
                <w:color w:val="auto"/>
                <w:w w:val="89"/>
              </w:rPr>
              <w:t>Year ended December 31,</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2"/>
              </w:rPr>
              <w:t>Research &amp; development expense - related party</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326,400</w:t>
            </w: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581,949</w:t>
            </w: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133,794</w:t>
            </w: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137,057</w:t>
            </w:r>
          </w:p>
        </w:tc>
        <w:tc>
          <w:tcPr>
            <w:tcW w:w="1680" w:type="dxa"/>
            <w:vAlign w:val="bottom"/>
          </w:tcPr>
          <w:p>
            <w:pPr>
              <w:spacing w:after="0"/>
              <w:rPr>
                <w:sz w:val="21"/>
                <w:szCs w:val="21"/>
                <w:color w:val="auto"/>
              </w:rPr>
            </w:pPr>
          </w:p>
        </w:tc>
      </w:tr>
      <w:tr>
        <w:trPr>
          <w:trHeight w:val="257"/>
        </w:trPr>
        <w:tc>
          <w:tcPr>
            <w:tcW w:w="1700" w:type="dxa"/>
            <w:vAlign w:val="bottom"/>
          </w:tcPr>
          <w:p>
            <w:pPr>
              <w:spacing w:after="0"/>
              <w:rPr>
                <w:sz w:val="22"/>
                <w:szCs w:val="22"/>
                <w:color w:val="auto"/>
              </w:rPr>
            </w:pPr>
          </w:p>
        </w:tc>
        <w:tc>
          <w:tcPr>
            <w:tcW w:w="36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8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460,194</w:t>
            </w:r>
          </w:p>
        </w:tc>
        <w:tc>
          <w:tcPr>
            <w:tcW w:w="2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740,810</w:t>
            </w:r>
          </w:p>
        </w:tc>
        <w:tc>
          <w:tcPr>
            <w:tcW w:w="80" w:type="dxa"/>
            <w:vAlign w:val="bottom"/>
            <w:tcBorders>
              <w:top w:val="single" w:sz="8" w:color="CCEEFF"/>
              <w:bottom w:val="single" w:sz="8" w:color="CCEEFF"/>
            </w:tcBorders>
          </w:tcPr>
          <w:p>
            <w:pPr>
              <w:spacing w:after="0"/>
              <w:rPr>
                <w:sz w:val="22"/>
                <w:szCs w:val="22"/>
                <w:color w:val="auto"/>
              </w:rPr>
            </w:pPr>
          </w:p>
        </w:tc>
        <w:tc>
          <w:tcPr>
            <w:tcW w:w="1680" w:type="dxa"/>
            <w:vAlign w:val="bottom"/>
          </w:tcPr>
          <w:p>
            <w:pPr>
              <w:spacing w:after="0"/>
              <w:rPr>
                <w:sz w:val="22"/>
                <w:szCs w:val="22"/>
                <w:color w:val="auto"/>
              </w:rPr>
            </w:pPr>
          </w:p>
        </w:tc>
      </w:tr>
      <w:tr>
        <w:trPr>
          <w:trHeight w:val="196"/>
        </w:trPr>
        <w:tc>
          <w:tcPr>
            <w:tcW w:w="1700" w:type="dxa"/>
            <w:vAlign w:val="bottom"/>
          </w:tcPr>
          <w:p>
            <w:pPr>
              <w:spacing w:after="0"/>
              <w:rPr>
                <w:sz w:val="17"/>
                <w:szCs w:val="17"/>
                <w:color w:val="auto"/>
              </w:rPr>
            </w:pPr>
          </w:p>
        </w:tc>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expense at December 31,</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313,273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769,779</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439"/>
        </w:trPr>
        <w:tc>
          <w:tcPr>
            <w:tcW w:w="1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9" w:name="page230"/>
    <w:bookmarkEnd w:id="229"/>
    <w:p>
      <w:pPr>
        <w:ind w:firstLine="648"/>
        <w:spacing w:after="0" w:line="259" w:lineRule="auto"/>
        <w:rPr>
          <w:sz w:val="20"/>
          <w:szCs w:val="20"/>
          <w:color w:val="auto"/>
        </w:rPr>
      </w:pPr>
      <w:r>
        <w:rPr>
          <w:rFonts w:ascii="Arial" w:cs="Arial" w:eastAsia="Arial" w:hAnsi="Arial"/>
          <w:sz w:val="18"/>
          <w:szCs w:val="18"/>
          <w:color w:val="auto"/>
        </w:rPr>
        <w:t>The Company awarded eight options to a consultant on September 30, 2019 for assistance in raising additional Quota E capital for the Company in 2019. The Company recorded the €8,702, which was the fair value of the option as a charge to additional paid-in capital. The weighted average grant date fair value of the options granted during 2019 was €1,088. The Company’s unrecognized expense was €313,273 and €769,779 at December 31, 2020 and 2019, respectively, and will be expensed as the options vest.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has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 which was used in the OPM Backsolve Model;</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0" w:name="page231"/>
    <w:bookmarkEnd w:id="230"/>
    <w:p>
      <w:pPr>
        <w:ind w:right="20" w:firstLine="648"/>
        <w:spacing w:after="0" w:line="255" w:lineRule="auto"/>
        <w:rPr>
          <w:sz w:val="20"/>
          <w:szCs w:val="20"/>
          <w:color w:val="auto"/>
        </w:rPr>
      </w:pPr>
      <w:r>
        <w:rPr>
          <w:rFonts w:ascii="Arial" w:cs="Arial" w:eastAsia="Arial" w:hAnsi="Arial"/>
          <w:sz w:val="18"/>
          <w:szCs w:val="18"/>
          <w:color w:val="auto"/>
        </w:rPr>
        <w:t>The OPM treats each equity class as a call options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2020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1,454,576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2,009,884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709,183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3,124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712,307</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145,700</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326,400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472,100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16,742</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17,724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34,466</w:t>
            </w: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5,128</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21"/>
                <w:szCs w:val="21"/>
                <w:color w:val="auto"/>
              </w:rPr>
            </w:pP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2,331,329</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2,357,132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4,688,461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color w:val="auto"/>
                <w:w w:val="91"/>
              </w:rPr>
              <w:t>For the Year Ended December 31, 2019</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Third Parties</w:t>
            </w:r>
          </w:p>
        </w:tc>
        <w:tc>
          <w:tcPr>
            <w:tcW w:w="14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Related Parties</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2,036,870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2,111,388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171,289</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581,949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753,238</w:t>
            </w:r>
          </w:p>
        </w:tc>
        <w:tc>
          <w:tcPr>
            <w:tcW w:w="8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&amp; supplies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649,574</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649,574</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Travel &amp; entertainment</w:t>
            </w:r>
          </w:p>
        </w:tc>
        <w:tc>
          <w:tcPr>
            <w:tcW w:w="1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97,063</w:t>
            </w:r>
          </w:p>
        </w:tc>
        <w:tc>
          <w:tcPr>
            <w:tcW w:w="14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36,510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133,573</w:t>
            </w:r>
          </w:p>
        </w:tc>
        <w:tc>
          <w:tcPr>
            <w:tcW w:w="80" w:type="dxa"/>
            <w:vAlign w:val="bottom"/>
          </w:tcPr>
          <w:p>
            <w:pPr>
              <w:spacing w:after="0"/>
              <w:rPr>
                <w:sz w:val="18"/>
                <w:szCs w:val="18"/>
                <w:color w:val="auto"/>
              </w:rPr>
            </w:pP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55,209</w:t>
            </w: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55,209</w:t>
            </w:r>
          </w:p>
        </w:tc>
      </w:tr>
      <w:tr>
        <w:trPr>
          <w:trHeight w:val="216"/>
        </w:trPr>
        <w:tc>
          <w:tcPr>
            <w:tcW w:w="60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1,047,653</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2,655,329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3,702,982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recorded a research and development tax credit in the amount of €265,834 and €448,079 for the years ended December 31, 2020 and 2019, respectively, to offset Consultants and other third parties related research and development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1" w:name="page232"/>
    <w:bookmarkEnd w:id="231"/>
    <w:p>
      <w:pPr>
        <w:ind w:left="328"/>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62" w:lineRule="exact"/>
        <w:rPr>
          <w:sz w:val="20"/>
          <w:szCs w:val="20"/>
          <w:color w:val="auto"/>
        </w:rPr>
      </w:pPr>
    </w:p>
    <w:tbl>
      <w:tblPr>
        <w:tblLayout w:type="fixed"/>
        <w:tblInd w:w="248"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2020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191,998</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298,628</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239,861</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239,861</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64,430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64,430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24,685</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14,402</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39,087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59,648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61,143</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6,618</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6,618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314,525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901,765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color w:val="auto"/>
                <w:w w:val="91"/>
              </w:rPr>
              <w:t>For the Year Ended December 31, 2019</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860" w:type="dxa"/>
            <w:vAlign w:val="bottom"/>
            <w:gridSpan w:val="2"/>
          </w:tcPr>
          <w:p>
            <w:pPr>
              <w:spacing w:after="0"/>
              <w:rPr>
                <w:sz w:val="20"/>
                <w:szCs w:val="20"/>
                <w:color w:val="auto"/>
              </w:rPr>
            </w:pPr>
            <w:r>
              <w:rPr>
                <w:rFonts w:ascii="Arial" w:cs="Arial" w:eastAsia="Arial" w:hAnsi="Arial"/>
                <w:sz w:val="18"/>
                <w:szCs w:val="18"/>
                <w:color w:val="auto"/>
              </w:rPr>
              <w:t>(In Euros)</w:t>
            </w:r>
          </w:p>
        </w:tc>
        <w:tc>
          <w:tcPr>
            <w:tcW w:w="180" w:type="dxa"/>
            <w:vAlign w:val="bottom"/>
          </w:tcPr>
          <w:p>
            <w:pPr>
              <w:spacing w:after="0"/>
              <w:rPr>
                <w:sz w:val="20"/>
                <w:szCs w:val="20"/>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Third Parties</w:t>
            </w:r>
          </w:p>
        </w:tc>
        <w:tc>
          <w:tcPr>
            <w:tcW w:w="14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Related Parties</w:t>
            </w:r>
          </w:p>
        </w:tc>
        <w:tc>
          <w:tcPr>
            <w:tcW w:w="46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Compensation (including share-based)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171,698</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277,849</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449,547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legal &amp; other professional</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40,745</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40,745</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Communication &amp; IT related</w:t>
            </w:r>
          </w:p>
        </w:tc>
        <w:tc>
          <w:tcPr>
            <w:tcW w:w="18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14,759</w:t>
            </w:r>
          </w:p>
        </w:tc>
        <w:tc>
          <w:tcPr>
            <w:tcW w:w="1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14,759</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&amp; insurance related</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13,630</w:t>
            </w: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22,336</w:t>
            </w:r>
          </w:p>
        </w:tc>
        <w:tc>
          <w:tcPr>
            <w:tcW w:w="1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5,302</w:t>
            </w:r>
          </w:p>
        </w:tc>
        <w:tc>
          <w:tcPr>
            <w:tcW w:w="4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27,638</w:t>
            </w:r>
          </w:p>
        </w:tc>
      </w:tr>
      <w:tr>
        <w:trPr>
          <w:trHeight w:val="229"/>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328"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w w:val="99"/>
              </w:rPr>
              <w:t>The Company’s accounts payable to related parties are comprised as follows: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2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292,741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8"/>
              </w:rPr>
              <w:t>The Company’s accrued expenses to related parties are comprised as follows:</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6"/>
          </w:tcPr>
          <w:p>
            <w:pPr>
              <w:jc w:val="center"/>
              <w:ind w:right="320"/>
              <w:spacing w:after="0"/>
              <w:rPr>
                <w:sz w:val="20"/>
                <w:szCs w:val="20"/>
                <w:color w:val="auto"/>
              </w:rPr>
            </w:pPr>
            <w:r>
              <w:rPr>
                <w:rFonts w:ascii="Arial" w:cs="Arial" w:eastAsia="Arial" w:hAnsi="Arial"/>
                <w:sz w:val="18"/>
                <w:szCs w:val="18"/>
                <w:color w:val="auto"/>
                <w:w w:val="91"/>
              </w:rPr>
              <w:t>At December 31,</w:t>
            </w: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center"/>
              <w:ind w:left="530"/>
              <w:spacing w:after="0"/>
              <w:rPr>
                <w:sz w:val="20"/>
                <w:szCs w:val="20"/>
                <w:color w:val="auto"/>
              </w:rPr>
            </w:pPr>
            <w:r>
              <w:rPr>
                <w:rFonts w:ascii="Arial" w:cs="Arial" w:eastAsia="Arial" w:hAnsi="Arial"/>
                <w:sz w:val="18"/>
                <w:szCs w:val="18"/>
                <w:color w:val="auto"/>
                <w:w w:val="92"/>
              </w:rPr>
              <w:t>(in Euros)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Pierluigi Paracchi</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25" w:lineRule="exact"/>
        <w:rPr>
          <w:sz w:val="20"/>
          <w:szCs w:val="20"/>
          <w:color w:val="auto"/>
        </w:rPr>
      </w:pPr>
    </w:p>
    <w:p>
      <w:pPr>
        <w:jc w:val="center"/>
        <w:ind w:right="-227"/>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8"/>
          </w:cols>
          <w:pgMar w:left="652" w:top="692" w:right="899" w:bottom="1440" w:gutter="0" w:footer="0" w:header="0"/>
        </w:sectPr>
      </w:pPr>
    </w:p>
    <w:bookmarkStart w:id="232" w:name="page233"/>
    <w:bookmarkEnd w:id="232"/>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He is the Chief Executive Officer and the Company’s Vice-Chairman of the Board of Directors as well as co-founder. In addition to his annual remuneration of €250,000 for the year 2020 and €201,980 for the year 2019, Mr. Paracchi also obtained a funding fee of €185,510 in 2019 for the funding activity of the first financing as approved by the Board of Directors and by quotaholders at the Quotaholders’ Meeting. This was recorded in additional paid-in capital as a direct reduction of proceeds. Mr. Paracchi was awarded a bonus of €50,000 by the Board of Directors in July 2020. The bonus was accrued in the 2019 financial statements and paid in July 2020. At December 31, 2020, the Company also accrued a bonus of €25,000 for the period July to December 2020: as per his Directorship agreement, Mr. Paracchi is entitled to receive a bonus of up to €50,000 to be approved by the Board of Directors each year to cover the period August 1st to July 31st of each year. Such Directorship agreement will be terminated by the parties for mutual consent upon signature of the employment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They are co-founders of Genenta and part of the SAB – Scientific Advisory Board, with Dr. Naldini as Chairman, and Dr. Gentner as a member. Dr. Naldini has an advisory agreement approved by the Board of Directors and performs the pre-clinical studies for Genenta. In particular, the pre-clinical experiments are in solid tumor indications. The last agreement with Dr. Naldini is still in effect and was signed on December 12, 2019. In 2020 and 2019, Dr. Naldini’s compensation amounted to €56,250 and €55,500, respectively. Dr. Gentner, like Dr. Naldini, oversees pre-clinical research related to the platform technology. In addition, he analyzes clinical biological data. The last agreement with Dr. Gentner, which is still in force, was signed on October 26, 2017. In 2020 and 2019, Dr. Gentner’s compensation was €18,750 and €44,350,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effective from August 1, 2019, (€200,000 prior to that date) plus a variable compensation of €50,000 based on the results obtained and depending on the Company’s Board of Directors approval. In 2020, the Company incurred €342,872. The Company accrued €25,000 for a potential bonus relating to the period of July to December 2020. The amounts owed at December 31, 2020 and 2019 are €30,942 and €156,816, respectively. In 2019, the Company granted options on 1,000 class B quotas to Dr. Russo, of which 400 were exercised and converted to class B quotas in 2019 and 300 were exercised and converted to class B quotas in 2020; the remaining 300 are outstanding and will vest by the earlier of July 31, 2021 or the effectiveness of the Company’s registration statement. The fair value of the options based on the Company’s valuation was €1,084 per quota B. There were no options granted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 Raffaele Hospital - OSR</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San Raffaele Hospital (“OSR”) is a co-founder of the Company and the Company is a corporate and research spin-off of OSR. OSR owns approximately 13% of the Company, as of December 31, 2020. The Hospital is one of the leading biomedical research institutions in Italy and Europe, with a 45-year history of developing innovative therapies and procedures. The Company has several contractual arrangements with OSR. The Company has agreements to license technology, to perform research, pre-clinical and clinical activities, as well as to lease facilities and obtain certain other support functions. The Company’s headquarters is currently in an OSR facility.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firstLine="638"/>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165" w:lineRule="exact"/>
        <w:rPr>
          <w:sz w:val="20"/>
          <w:szCs w:val="20"/>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Lympho-Hematopoietic Indication;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agreement provided for an upfront fee of €250,000 (which was paid by the Company in 2015), plus future option fees are as follows:</w:t>
      </w:r>
    </w:p>
    <w:p>
      <w:pPr>
        <w:spacing w:after="0" w:line="225" w:lineRule="exact"/>
        <w:rPr>
          <w:sz w:val="20"/>
          <w:szCs w:val="20"/>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 For information relating to the contingent milestones for these indications, please refer to Note 13 - Commitments and Contingencies.</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glioblastoma multiforme 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in the amount of €1,145,202 in 2019. In 2020, the comparable costs incurred and expensed for the glioblastoma program were €989,556.</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license fee for the first indication (i.e., GBM) would have become due when the tenth patient was dosed in the GBM trial; however, the license fee was reduced to €0.5 million, in exchange for the Company’s agreement to exercise a second option for an additional Solid Cancer indication (i.e., liver cancer) and an agreement to execute a Sponsored Research Agreement in February 2021. If the Company is not be able to obtain approval from the competent authorities to initiate a human clinical trial in liver cancer on or before the expiration of nine months (from December 2020), the Company has the right, at no additional costs, to convert the second solid cancer indication (i.e., liver cancer) to an “Alternate Indication,” as defined in the agreement (i.e., to an indication other than liver cancer.)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In summary, Amendment #3 to the license agreement amended the existing agreement as follows:</w:t>
      </w:r>
    </w:p>
    <w:p>
      <w:pPr>
        <w:spacing w:after="0" w:line="225" w:lineRule="exact"/>
        <w:rPr>
          <w:sz w:val="20"/>
          <w:szCs w:val="20"/>
          <w:color w:val="auto"/>
        </w:rPr>
      </w:pPr>
    </w:p>
    <w:p>
      <w:pPr>
        <w:ind w:left="980" w:right="20" w:hanging="324"/>
        <w:spacing w:after="0" w:line="258" w:lineRule="auto"/>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reduction of option fee on the first solid cancer indication = €0.5 million (accrued at December 31,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which was executed in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to be paid by June 30, 2021.</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has paid €0.75 million to OSR, since inception under the license agreement. No events have occurred or have been achieved (and none are considered probable) to trigger any contingent payments under the license agreement as of December 31, 2020. For information relating to the contingency payments or future milestones for these indications, please refer to Note 13 - Commitments and Contingencies.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right="160" w:firstLine="638"/>
        <w:spacing w:after="0" w:line="272" w:lineRule="auto"/>
        <w:rPr>
          <w:sz w:val="20"/>
          <w:szCs w:val="20"/>
          <w:color w:val="auto"/>
        </w:rPr>
      </w:pPr>
      <w:r>
        <w:rPr>
          <w:rFonts w:ascii="Arial" w:cs="Arial" w:eastAsia="Arial" w:hAnsi="Arial"/>
          <w:sz w:val="17"/>
          <w:szCs w:val="17"/>
          <w:color w:val="auto"/>
        </w:rPr>
        <w:t>In March 2019, the Company and OSR entered into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The first TEM-MM-101 trial patient was enrolled in August 2019, after the approval received from national competent authorities.</w:t>
      </w:r>
    </w:p>
    <w:p>
      <w:pPr>
        <w:spacing w:after="0" w:line="177" w:lineRule="exact"/>
        <w:rPr>
          <w:sz w:val="20"/>
          <w:szCs w:val="20"/>
          <w:color w:val="auto"/>
        </w:rPr>
      </w:pPr>
    </w:p>
    <w:p>
      <w:pPr>
        <w:ind w:right="60" w:firstLine="638"/>
        <w:spacing w:after="0" w:line="293" w:lineRule="auto"/>
        <w:rPr>
          <w:sz w:val="20"/>
          <w:szCs w:val="20"/>
          <w:color w:val="auto"/>
        </w:rPr>
      </w:pPr>
      <w:r>
        <w:rPr>
          <w:rFonts w:ascii="Arial" w:cs="Arial" w:eastAsia="Arial" w:hAnsi="Arial"/>
          <w:sz w:val="16"/>
          <w:szCs w:val="16"/>
          <w:color w:val="auto"/>
        </w:rPr>
        <w:t>In 2019, the Company expensed €130,589 for the analysis performed by OSR for multiple myeloma and €364,042 for the clinical procedures performed by OSR’s Hematology and Bone Transplant Unit for multiple myeloma. For the multiple myeloma program, the Company recorded expenses in 2020 of €104,626; however, the discussion to discontinue the program began in late 2020. The final decision to discontinue the program was reached in early 2021, mainly due to the small number of eligible patients, the increasing competitive landscape, and the faster progress and promising result on the concurrent solid tumor glioblastoma trial (TEM-GBM_001). No product indication was exercised, and no milestones were achieved related to the multiple myeloma indication, and so no option fee or contingent payments were due to OSR for this indication.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stated above, in exchange for a reduction in the first solid cancer indication (i.e., GBM) option fee from €1.0 million to €0.5 million, the Company agreed to enter into a Sponsored Research Agreement (SRA) in December 2020. Under the SRA, which was executed in February 2021, two sponsored research activities will be conducted for between €0.5 million and €1.0 million. The first SRA payment was made in early 2021 in the amount of €250,000.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service agreement to provide certain services (accounting/bookkeeping and rent of spaces, the latter with an addendum effective from January 1, 2016) free of charge was in place between the Company and OSR from 2014 to 2019. Beginning in January 2020, a third-party provider was engaged by the Company to perform these services. The Company determined the value of these services that were provided in 2019 and in prior years were not material to its financial statements.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Beginning January 1, 2020, the Company entered into a six-year lease agreement for the use of office space in the OSR building. The Company paid OSR annual rent of €13,400 in 2020 with a security deposit of €3,350.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obligations by contractual maturity for years following December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91"/>
              </w:rPr>
              <w:t>Payments by period</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8"/>
              </w:rPr>
              <w:t>Less than a</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3"/>
              </w:rPr>
              <w:t>More than</w:t>
            </w:r>
          </w:p>
        </w:tc>
        <w:tc>
          <w:tcPr>
            <w:tcW w:w="100" w:type="dxa"/>
            <w:vAlign w:val="bottom"/>
            <w:gridSpan w:val="2"/>
          </w:tcPr>
          <w:p>
            <w:pPr>
              <w:spacing w:after="0"/>
              <w:rPr>
                <w:sz w:val="17"/>
                <w:szCs w:val="17"/>
                <w:color w:val="auto"/>
              </w:rPr>
            </w:pPr>
          </w:p>
        </w:tc>
      </w:tr>
      <w:tr>
        <w:trPr>
          <w:trHeight w:val="237"/>
        </w:trPr>
        <w:tc>
          <w:tcPr>
            <w:tcW w:w="3940" w:type="dxa"/>
            <w:vAlign w:val="bottom"/>
          </w:tcPr>
          <w:p>
            <w:pPr>
              <w:ind w:left="1620"/>
              <w:spacing w:after="0"/>
              <w:rPr>
                <w:sz w:val="20"/>
                <w:szCs w:val="20"/>
                <w:color w:val="auto"/>
              </w:rPr>
            </w:pPr>
            <w:r>
              <w:rPr>
                <w:rFonts w:ascii="Arial" w:cs="Arial" w:eastAsia="Arial" w:hAnsi="Arial"/>
                <w:sz w:val="18"/>
                <w:szCs w:val="18"/>
                <w:color w:val="auto"/>
              </w:rPr>
              <w:t>(in Euros)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year</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 to 3 years</w:t>
            </w:r>
          </w:p>
        </w:tc>
        <w:tc>
          <w:tcPr>
            <w:tcW w:w="10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4 to 5 years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5 years</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Sponsored research agreement (SRA) with OSR</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License option fee for liver cancer (or second cancer</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indication)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5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80,400</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13,400</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26,800</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13,400</w:t>
            </w:r>
          </w:p>
        </w:tc>
        <w:tc>
          <w:tcPr>
            <w:tcW w:w="80" w:type="dxa"/>
            <w:vAlign w:val="bottom"/>
            <w:shd w:val="clear" w:color="auto" w:fill="CCEEFF"/>
          </w:tcPr>
          <w:p>
            <w:pPr>
              <w:spacing w:after="0"/>
              <w:rPr>
                <w:sz w:val="21"/>
                <w:szCs w:val="21"/>
                <w:color w:val="auto"/>
              </w:rPr>
            </w:pPr>
          </w:p>
        </w:tc>
      </w:tr>
      <w:tr>
        <w:trPr>
          <w:trHeight w:val="216"/>
        </w:trPr>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1,580,400</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1,013,400</w:t>
            </w: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526,800</w:t>
            </w: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26,800</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above amounts include an option fee for the second cancer indication payable to OSR. Refer to the Related parties - Note 12 for further information.</w:t>
      </w:r>
    </w:p>
    <w:p>
      <w:pPr>
        <w:spacing w:after="0" w:line="17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The Company entered into certain license agreements under which it is obligated to pay option license fees and to make contingent milestone payments. 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7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OSR agreements are non-cancelable, except in the case of breach of contract, and include total potential milestone payments of up to €10 million related to the Lympho-Hematopoietic Indication of each Licensed Product, and up to €53 million related to each Solid Cancer indication;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glioblastoma multiforme. The Company’s contingent liability for this first solid cancer indication potentially payable to OSR was €53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has incurred €1.5 million of expense in 2020 compared to €2.6 million of cumulative expense for 2019 and prior years.</w:t>
      </w:r>
    </w:p>
    <w:p>
      <w:pPr>
        <w:spacing w:after="0" w:line="14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 The Company made no payments under the SRA in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€3,000 and approximately €50,000 have been incurred as of December 31, 2020 and 2019, respectively.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Biogazelle NV agreement on exploratory analyses for trial endpoints is non-cancelable, except in the case of breach of contract, and carries a total cost for the entire trial of €106,000, of which €28 thousand and €6 thousand have been incurred as of December 31, 2020 and 2019,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entered into a non-cancelable lease agreement for office space in January 2020. (See Footnote 12 – Related parties under OSR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is not currently party to any material legal proceedings. At each reporting date, the Company evaluates whether or not a potential loss amount or a potential range of loss is probable and reasonably estimable under the provisions of ASC 450, </w:t>
      </w:r>
      <w:r>
        <w:rPr>
          <w:rFonts w:ascii="Arial" w:cs="Arial" w:eastAsia="Arial" w:hAnsi="Arial"/>
          <w:sz w:val="16"/>
          <w:szCs w:val="16"/>
          <w:i w:val="1"/>
          <w:iCs w:val="1"/>
          <w:color w:val="auto"/>
        </w:rPr>
        <w:t>Contingencie</w:t>
      </w:r>
      <w:r>
        <w:rPr>
          <w:rFonts w:ascii="Arial" w:cs="Arial" w:eastAsia="Arial" w:hAnsi="Arial"/>
          <w:sz w:val="16"/>
          <w:szCs w:val="16"/>
          <w:color w:val="auto"/>
        </w:rPr>
        <w:t>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In February 2021, the Company entered into a Sponsored Research Agreement (“SRA”) with OSR to conduct certain research projects related to Temferon. The total consideration to be paid by the Company under the SRA will be €1.0 million with payments scheduled quarterly over 2021 and 2022.</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238" w:name="page239"/>
    <w:bookmarkEnd w:id="238"/>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center"/>
              <w:ind w:right="461"/>
              <w:spacing w:after="0"/>
              <w:rPr>
                <w:sz w:val="20"/>
                <w:szCs w:val="20"/>
                <w:color w:val="auto"/>
              </w:rPr>
            </w:pPr>
            <w:r>
              <w:rPr>
                <w:rFonts w:ascii="Arial" w:cs="Arial" w:eastAsia="Arial" w:hAnsi="Arial"/>
                <w:sz w:val="18"/>
                <w:szCs w:val="18"/>
                <w:b w:val="1"/>
                <w:bCs w:val="1"/>
                <w:color w:val="auto"/>
                <w:w w:val="90"/>
              </w:rPr>
              <w:t>Six-Months Ended June 30,</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4"/>
          </w:tcPr>
          <w:p>
            <w:pPr>
              <w:jc w:val="center"/>
              <w:ind w:left="870"/>
              <w:spacing w:after="0"/>
              <w:rPr>
                <w:sz w:val="20"/>
                <w:szCs w:val="20"/>
                <w:color w:val="auto"/>
              </w:rPr>
            </w:pPr>
            <w:r>
              <w:rPr>
                <w:rFonts w:ascii="Arial" w:cs="Arial" w:eastAsia="Arial" w:hAnsi="Arial"/>
                <w:sz w:val="18"/>
                <w:szCs w:val="18"/>
                <w:color w:val="auto"/>
                <w:w w:val="92"/>
              </w:rPr>
              <w:t>(unaudited)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3,199,234</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2,072,129</w:t>
            </w:r>
          </w:p>
        </w:tc>
        <w:tc>
          <w:tcPr>
            <w:tcW w:w="0" w:type="dxa"/>
            <w:vAlign w:val="bottom"/>
          </w:tcPr>
          <w:p>
            <w:pPr>
              <w:spacing w:after="0"/>
              <w:rPr>
                <w:sz w:val="1"/>
                <w:szCs w:val="1"/>
                <w:color w:val="auto"/>
              </w:rPr>
            </w:pPr>
          </w:p>
        </w:tc>
      </w:tr>
      <w:tr>
        <w:trPr>
          <w:trHeight w:val="25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842,236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404,885</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4,041,470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2,477,014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(4,041,470)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(2,477,014)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2,679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7"/>
        </w:trPr>
        <w:tc>
          <w:tcPr>
            <w:tcW w:w="592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Income taxes (Note 5)</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(4,047,902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(2,479,304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(2,479,304)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Loss per share information (unaudited):</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(4,047,902)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 basic and diluted</w:t>
            </w:r>
          </w:p>
        </w:tc>
        <w:tc>
          <w:tcPr>
            <w:tcW w:w="106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2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basic and diluted</w:t>
            </w:r>
          </w:p>
        </w:tc>
        <w:tc>
          <w:tcPr>
            <w:tcW w:w="10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14,772,610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At June 30,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jc w:val="center"/>
              <w:ind w:right="29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10,553,906</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15,465,243</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 (Note 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1,549,766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947,501</w:t>
            </w: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 - related party (Note 12)</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121,432</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12,103,672</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16,534,176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Non-current assets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 (Note 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18,971</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Other asset-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3,350</w:t>
            </w:r>
          </w:p>
        </w:tc>
        <w:tc>
          <w:tcPr>
            <w:tcW w:w="80" w:type="dxa"/>
            <w:vAlign w:val="bottom"/>
          </w:tcPr>
          <w:p>
            <w:pPr>
              <w:spacing w:after="0"/>
              <w:rPr>
                <w:sz w:val="18"/>
                <w:szCs w:val="18"/>
                <w:color w:val="auto"/>
              </w:rPr>
            </w:pPr>
          </w:p>
        </w:tc>
      </w:tr>
      <w:tr>
        <w:trPr>
          <w:trHeight w:val="249"/>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 (Note 8)</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1,163,375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945,618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non-current assets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1,187,337</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967,939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2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quotaholders’ and stockholders’ equity</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270,941</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544,988</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Accounts payable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88,392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10,027</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418,571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365,969</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Accrued expenses - related party (Note 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809,605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1,359,191</w:t>
            </w: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80,801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53,243</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1,668,310</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2,333,418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benefit obligation (Note 9)</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21,645</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17,388</w:t>
            </w:r>
          </w:p>
        </w:tc>
        <w:tc>
          <w:tcPr>
            <w:tcW w:w="80" w:type="dxa"/>
            <w:vAlign w:val="bottom"/>
            <w:shd w:val="clear" w:color="auto" w:fill="CCEEFF"/>
          </w:tcPr>
          <w:p>
            <w:pPr>
              <w:spacing w:after="0"/>
              <w:rPr>
                <w:sz w:val="21"/>
                <w:szCs w:val="21"/>
                <w:color w:val="auto"/>
              </w:rPr>
            </w:pPr>
          </w:p>
        </w:tc>
      </w:tr>
      <w:tr>
        <w:trPr>
          <w:trHeight w:val="210"/>
        </w:trPr>
        <w:tc>
          <w:tcPr>
            <w:tcW w:w="6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long-term liabilities</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21,645</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17,388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Commitments and contingencies (Note 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i w:val="1"/>
                <w:iCs w:val="1"/>
                <w:color w:val="auto"/>
              </w:rPr>
              <w:t>Quotaholders’ and stockholders’ equity</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Corporate capital</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37,056</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i w:val="1"/>
                <w:iCs w:val="1"/>
                <w:color w:val="auto"/>
              </w:rPr>
              <w:t>Additional paid-in capital</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36,604,728</w:t>
            </w:r>
          </w:p>
        </w:tc>
        <w:tc>
          <w:tcPr>
            <w:tcW w:w="80" w:type="dxa"/>
            <w:vAlign w:val="bottom"/>
          </w:tcPr>
          <w:p>
            <w:pPr>
              <w:spacing w:after="0"/>
              <w:rPr>
                <w:sz w:val="18"/>
                <w:szCs w:val="18"/>
                <w:color w:val="auto"/>
              </w:rPr>
            </w:pPr>
          </w:p>
        </w:tc>
      </w:tr>
      <w:tr>
        <w:trPr>
          <w:trHeight w:val="202"/>
        </w:trPr>
        <w:tc>
          <w:tcPr>
            <w:tcW w:w="6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no par value, 59,700,000 shares authorized and 15,000,000 shares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(unaudited) (Note 10)</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37,139,431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(25,538,377)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(21,490,475)</w:t>
            </w:r>
          </w:p>
        </w:tc>
      </w:tr>
      <w:tr>
        <w:trPr>
          <w:trHeight w:val="236"/>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quotaholders’ and stockholders’ equity</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11,601,054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15,151,309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320" w:type="dxa"/>
            <w:vAlign w:val="bottom"/>
          </w:tcPr>
          <w:p>
            <w:pPr>
              <w:spacing w:after="0"/>
              <w:rPr>
                <w:sz w:val="20"/>
                <w:szCs w:val="20"/>
                <w:color w:val="auto"/>
              </w:rPr>
            </w:pPr>
            <w:r>
              <w:rPr>
                <w:rFonts w:ascii="Arial" w:cs="Arial" w:eastAsia="Arial" w:hAnsi="Arial"/>
                <w:sz w:val="18"/>
                <w:szCs w:val="18"/>
                <w:b w:val="1"/>
                <w:bCs w:val="1"/>
                <w:color w:val="auto"/>
              </w:rPr>
              <w:t>Total liabilities and quotaholders’ and stockholders’ equity</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13,291,009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17,502,115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Quotaholders’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Additional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Common</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paid-in</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81"/>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stock, no</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w w:val="92"/>
              </w:rPr>
              <w:t>Accumulated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capital</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4"/>
              </w:rPr>
              <w:t>par</w:t>
            </w: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deficit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36"/>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36,049</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34,713,225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(15,898,461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18,850,813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75"/>
        </w:trPr>
        <w:tc>
          <w:tcPr>
            <w:tcW w:w="4080" w:type="dxa"/>
            <w:vAlign w:val="bottom"/>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230,097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230,097</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(2,479,304)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(2,479,304)</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34,943,322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(18,377,765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16,601,742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36,604,728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7"/>
              </w:rPr>
              <w:t>€ (21,490,475)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15,151,309</w:t>
            </w:r>
          </w:p>
        </w:tc>
      </w:tr>
      <w:tr>
        <w:trPr>
          <w:trHeight w:val="175"/>
        </w:trPr>
        <w:tc>
          <w:tcPr>
            <w:tcW w:w="40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6"/>
              </w:rPr>
              <w:t>Capital increase from exercise of options on Quota B</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 -based compensation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497,104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497,104</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Quota B repurchased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02"/>
        </w:trPr>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capital adjustment from Srl to SpA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(Unaudited)</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(37,599)</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11,279,700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37,599</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Capital increase related to SpA (Unaudited)</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(12,401)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3,720,300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12,401</w:t>
            </w:r>
          </w:p>
        </w:tc>
        <w:tc>
          <w:tcPr>
            <w:tcW w:w="13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8"/>
              </w:rPr>
              <w:t>Conversion adjustment from Srl to SpA (Unaudited)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(37,089,431)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37,089,431</w:t>
            </w:r>
          </w:p>
        </w:tc>
        <w:tc>
          <w:tcPr>
            <w:tcW w:w="13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Accumulated deficit (Unaudited)</w:t>
            </w:r>
          </w:p>
        </w:tc>
        <w:tc>
          <w:tcPr>
            <w:tcW w:w="12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1"/>
              <w:spacing w:after="0"/>
              <w:rPr>
                <w:sz w:val="20"/>
                <w:szCs w:val="20"/>
                <w:color w:val="auto"/>
              </w:rPr>
            </w:pPr>
            <w:r>
              <w:rPr>
                <w:rFonts w:ascii="Arial" w:cs="Arial" w:eastAsia="Arial" w:hAnsi="Arial"/>
                <w:sz w:val="18"/>
                <w:szCs w:val="18"/>
                <w:color w:val="auto"/>
              </w:rPr>
              <w:t>(4,047,902)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(4,047,902)</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 (Unaudited)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15,000,000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37,139,431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(25,538,377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€ 11,601,054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20" w:type="dxa"/>
            <w:vAlign w:val="bottom"/>
            <w:gridSpan w:val="7"/>
          </w:tcPr>
          <w:p>
            <w:pPr>
              <w:jc w:val="center"/>
              <w:ind w:right="540"/>
              <w:spacing w:after="0"/>
              <w:rPr>
                <w:sz w:val="20"/>
                <w:szCs w:val="20"/>
                <w:color w:val="auto"/>
              </w:rPr>
            </w:pPr>
            <w:r>
              <w:rPr>
                <w:rFonts w:ascii="Arial" w:cs="Arial" w:eastAsia="Arial" w:hAnsi="Arial"/>
                <w:sz w:val="20"/>
                <w:szCs w:val="20"/>
                <w:b w:val="1"/>
                <w:bCs w:val="1"/>
                <w:color w:val="auto"/>
                <w:w w:val="89"/>
              </w:rPr>
              <w:t>Six Months Ended June 30,</w:t>
            </w:r>
          </w:p>
        </w:tc>
      </w:tr>
      <w:tr>
        <w:trPr>
          <w:trHeight w:val="250"/>
        </w:trPr>
        <w:tc>
          <w:tcPr>
            <w:tcW w:w="6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2021</w:t>
            </w:r>
          </w:p>
        </w:tc>
        <w:tc>
          <w:tcPr>
            <w:tcW w:w="3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20"/>
                <w:szCs w:val="20"/>
                <w:b w:val="1"/>
                <w:bCs w:val="1"/>
                <w:color w:val="auto"/>
              </w:rPr>
              <w:t>2020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6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4"/>
          </w:tcPr>
          <w:p>
            <w:pPr>
              <w:jc w:val="center"/>
              <w:ind w:left="881"/>
              <w:spacing w:after="0"/>
              <w:rPr>
                <w:sz w:val="20"/>
                <w:szCs w:val="20"/>
                <w:color w:val="auto"/>
              </w:rPr>
            </w:pPr>
            <w:r>
              <w:rPr>
                <w:rFonts w:ascii="Arial" w:cs="Arial" w:eastAsia="Arial" w:hAnsi="Arial"/>
                <w:sz w:val="20"/>
                <w:szCs w:val="20"/>
                <w:color w:val="auto"/>
                <w:w w:val="92"/>
              </w:rPr>
              <w:t>Unaudited</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20"/>
                <w:szCs w:val="20"/>
                <w:color w:val="auto"/>
              </w:rPr>
              <w:t>Net loss</w:t>
            </w:r>
          </w:p>
        </w:tc>
        <w:tc>
          <w:tcPr>
            <w:tcW w:w="1040" w:type="dxa"/>
            <w:vAlign w:val="bottom"/>
            <w:gridSpan w:val="2"/>
          </w:tcPr>
          <w:p>
            <w:pPr>
              <w:ind w:left="600"/>
              <w:spacing w:after="0"/>
              <w:rPr>
                <w:sz w:val="20"/>
                <w:szCs w:val="20"/>
                <w:color w:val="auto"/>
              </w:rPr>
            </w:pPr>
            <w:r>
              <w:rPr>
                <w:rFonts w:ascii="Arial" w:cs="Arial" w:eastAsia="Arial" w:hAnsi="Arial"/>
                <w:sz w:val="20"/>
                <w:szCs w:val="20"/>
                <w:color w:val="auto"/>
              </w:rPr>
              <w:t>€</w:t>
            </w: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(4,047,902)</w:t>
            </w:r>
          </w:p>
        </w:tc>
        <w:tc>
          <w:tcPr>
            <w:tcW w:w="500" w:type="dxa"/>
            <w:vAlign w:val="bottom"/>
            <w:gridSpan w:val="2"/>
          </w:tcPr>
          <w:p>
            <w:pPr>
              <w:spacing w:after="0"/>
              <w:rPr>
                <w:sz w:val="20"/>
                <w:szCs w:val="20"/>
                <w:color w:val="auto"/>
              </w:rPr>
            </w:pPr>
            <w:r>
              <w:rPr>
                <w:rFonts w:ascii="Arial" w:cs="Arial" w:eastAsia="Arial" w:hAnsi="Arial"/>
                <w:sz w:val="20"/>
                <w:szCs w:val="20"/>
                <w:color w:val="auto"/>
              </w:rPr>
              <w:t>€</w:t>
            </w: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(2,479,304)</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w w:val="98"/>
              </w:rPr>
              <w:t>Adjustments to reconcile net loss to net cash used in operating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Depreciation expense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2,086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566</w:t>
            </w:r>
          </w:p>
        </w:tc>
        <w:tc>
          <w:tcPr>
            <w:tcW w:w="80" w:type="dxa"/>
            <w:vAlign w:val="bottom"/>
          </w:tcPr>
          <w:p>
            <w:pPr>
              <w:spacing w:after="0"/>
              <w:rPr>
                <w:sz w:val="19"/>
                <w:szCs w:val="19"/>
                <w:color w:val="auto"/>
              </w:rPr>
            </w:pP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Retirement benefit obligation</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4,256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3,014</w:t>
            </w: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Share-based compensation</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497,104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230,097</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Changes in operating assets and liabilities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Prepaid expenses and other current assets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(263,548)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(61,337)</w:t>
            </w: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Other non-current assets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(217,757)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100,229</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Accounts payable</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(274,047)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70,769</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Accounts payable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78,365</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20"/>
                <w:szCs w:val="20"/>
                <w:color w:val="auto"/>
              </w:rPr>
              <w:t>796,753</w:t>
            </w:r>
          </w:p>
        </w:tc>
      </w:tr>
      <w:tr>
        <w:trPr>
          <w:trHeight w:val="229"/>
        </w:trPr>
        <w:tc>
          <w:tcPr>
            <w:tcW w:w="6380" w:type="dxa"/>
            <w:vAlign w:val="bottom"/>
          </w:tcPr>
          <w:p>
            <w:pPr>
              <w:ind w:left="180"/>
              <w:spacing w:after="0"/>
              <w:rPr>
                <w:sz w:val="20"/>
                <w:szCs w:val="20"/>
                <w:color w:val="auto"/>
              </w:rPr>
            </w:pPr>
            <w:r>
              <w:rPr>
                <w:rFonts w:ascii="Arial" w:cs="Arial" w:eastAsia="Arial" w:hAnsi="Arial"/>
                <w:sz w:val="20"/>
                <w:szCs w:val="20"/>
                <w:color w:val="auto"/>
              </w:rPr>
              <w:t>Accrued expenses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52,602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20"/>
                <w:szCs w:val="20"/>
                <w:color w:val="auto"/>
              </w:rPr>
              <w:t>(30,647)</w:t>
            </w: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Accrued expenses - related party</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(549,586)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(579,138)</w:t>
            </w: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Other current liabilities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27,558</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20"/>
                <w:szCs w:val="20"/>
                <w:color w:val="auto"/>
              </w:rPr>
              <w:t>5,532</w:t>
            </w:r>
          </w:p>
        </w:tc>
      </w:tr>
      <w:tr>
        <w:trPr>
          <w:trHeight w:val="25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used in operating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(4,690,869</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(1,943,466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Cash flows from investing activities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Purchases of property and equipment</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(3,727)</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(13,194)</w:t>
            </w:r>
          </w:p>
        </w:tc>
      </w:tr>
      <w:tr>
        <w:trPr>
          <w:trHeight w:val="224"/>
        </w:trPr>
        <w:tc>
          <w:tcPr>
            <w:tcW w:w="6380" w:type="dxa"/>
            <w:vAlign w:val="bottom"/>
            <w:tcBorders>
              <w:top w:val="single" w:sz="8" w:color="CCEEFF"/>
              <w:bottom w:val="single" w:sz="8" w:color="CCEEFF"/>
            </w:tcBorders>
          </w:tcPr>
          <w:p>
            <w:pPr>
              <w:spacing w:after="0" w:line="216" w:lineRule="exact"/>
              <w:rPr>
                <w:sz w:val="20"/>
                <w:szCs w:val="20"/>
                <w:color w:val="auto"/>
              </w:rPr>
            </w:pPr>
            <w:r>
              <w:rPr>
                <w:rFonts w:ascii="Arial" w:cs="Arial" w:eastAsia="Arial" w:hAnsi="Arial"/>
                <w:sz w:val="20"/>
                <w:szCs w:val="20"/>
                <w:color w:val="auto"/>
              </w:rPr>
              <w:t>Net cash used in investing activities</w:t>
            </w:r>
          </w:p>
        </w:tc>
        <w:tc>
          <w:tcPr>
            <w:tcW w:w="600" w:type="dxa"/>
            <w:vAlign w:val="bottom"/>
            <w:tcBorders>
              <w:top w:val="single" w:sz="8" w:color="CCEEFF"/>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(3,727</w:t>
            </w:r>
          </w:p>
        </w:tc>
        <w:tc>
          <w:tcPr>
            <w:tcW w:w="320" w:type="dxa"/>
            <w:vAlign w:val="bottom"/>
            <w:tcBorders>
              <w:top w:val="single" w:sz="8" w:color="CCEEFF"/>
              <w:bottom w:val="single" w:sz="8" w:color="CCEEFF"/>
            </w:tcBorders>
          </w:tcPr>
          <w:p>
            <w:pPr>
              <w:jc w:val="right"/>
              <w:ind w:right="141"/>
              <w:spacing w:after="0" w:line="216" w:lineRule="exact"/>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(13,194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6380" w:type="dxa"/>
            <w:vAlign w:val="bottom"/>
          </w:tcPr>
          <w:p>
            <w:pPr>
              <w:ind w:left="180"/>
              <w:spacing w:after="0"/>
              <w:rPr>
                <w:sz w:val="20"/>
                <w:szCs w:val="20"/>
                <w:color w:val="auto"/>
              </w:rPr>
            </w:pPr>
            <w:r>
              <w:rPr>
                <w:rFonts w:ascii="Arial" w:cs="Arial" w:eastAsia="Arial" w:hAnsi="Arial"/>
                <w:sz w:val="20"/>
                <w:szCs w:val="20"/>
                <w:color w:val="auto"/>
              </w:rPr>
              <w:t>Proceeds from the exercise of stock options</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715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136</w:t>
            </w:r>
          </w:p>
        </w:tc>
        <w:tc>
          <w:tcPr>
            <w:tcW w:w="80" w:type="dxa"/>
            <w:vAlign w:val="bottom"/>
          </w:tcPr>
          <w:p>
            <w:pPr>
              <w:spacing w:after="0"/>
              <w:rPr>
                <w:sz w:val="19"/>
                <w:szCs w:val="19"/>
                <w:color w:val="auto"/>
              </w:rPr>
            </w:pP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20"/>
                <w:szCs w:val="20"/>
                <w:color w:val="auto"/>
              </w:rPr>
              <w:t>Quota B repurchased</w:t>
            </w: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rPr>
              <w:t>(172)</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19"/>
                <w:szCs w:val="19"/>
                <w:color w:val="auto"/>
              </w:rPr>
            </w:pPr>
          </w:p>
        </w:tc>
      </w:tr>
      <w:tr>
        <w:trPr>
          <w:trHeight w:val="250"/>
        </w:trPr>
        <w:tc>
          <w:tcPr>
            <w:tcW w:w="6380" w:type="dxa"/>
            <w:vAlign w:val="bottom"/>
          </w:tcPr>
          <w:p>
            <w:pPr>
              <w:ind w:left="180"/>
              <w:spacing w:after="0"/>
              <w:rPr>
                <w:sz w:val="20"/>
                <w:szCs w:val="20"/>
                <w:color w:val="auto"/>
              </w:rPr>
            </w:pPr>
            <w:r>
              <w:rPr>
                <w:rFonts w:ascii="Arial" w:cs="Arial" w:eastAsia="Arial" w:hAnsi="Arial"/>
                <w:sz w:val="20"/>
                <w:szCs w:val="20"/>
                <w:color w:val="auto"/>
              </w:rPr>
              <w:t>Prepaid offering costs</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0" w:type="dxa"/>
            <w:vAlign w:val="bottom"/>
            <w:gridSpan w:val="2"/>
          </w:tcPr>
          <w:p>
            <w:pPr>
              <w:jc w:val="right"/>
              <w:ind w:right="141"/>
              <w:spacing w:after="0"/>
              <w:rPr>
                <w:sz w:val="20"/>
                <w:szCs w:val="20"/>
                <w:color w:val="auto"/>
              </w:rPr>
            </w:pPr>
            <w:r>
              <w:rPr>
                <w:rFonts w:ascii="Arial" w:cs="Arial" w:eastAsia="Arial" w:hAnsi="Arial"/>
                <w:sz w:val="20"/>
                <w:szCs w:val="20"/>
                <w:color w:val="auto"/>
              </w:rPr>
              <w:t>(217,284)</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r>
      <w:tr>
        <w:trPr>
          <w:trHeight w:val="25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Net cash provided (used in) by financing activities</w:t>
            </w:r>
          </w:p>
        </w:tc>
        <w:tc>
          <w:tcPr>
            <w:tcW w:w="6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(216,741</w:t>
            </w:r>
          </w:p>
        </w:tc>
        <w:tc>
          <w:tcPr>
            <w:tcW w:w="3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6"/>
        </w:trPr>
        <w:tc>
          <w:tcPr>
            <w:tcW w:w="6380" w:type="dxa"/>
            <w:vAlign w:val="bottom"/>
          </w:tcPr>
          <w:p>
            <w:pPr>
              <w:spacing w:after="0" w:line="216" w:lineRule="exact"/>
              <w:rPr>
                <w:sz w:val="20"/>
                <w:szCs w:val="20"/>
                <w:color w:val="auto"/>
              </w:rPr>
            </w:pPr>
            <w:r>
              <w:rPr>
                <w:rFonts w:ascii="Arial" w:cs="Arial" w:eastAsia="Arial" w:hAnsi="Arial"/>
                <w:sz w:val="20"/>
                <w:szCs w:val="20"/>
                <w:b w:val="1"/>
                <w:bCs w:val="1"/>
                <w:color w:val="auto"/>
              </w:rPr>
              <w:t>Net decrease in cash and cash equivalents</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line="216" w:lineRule="exact"/>
              <w:rPr>
                <w:sz w:val="20"/>
                <w:szCs w:val="20"/>
                <w:color w:val="auto"/>
              </w:rPr>
            </w:pPr>
            <w:r>
              <w:rPr>
                <w:rFonts w:ascii="Arial" w:cs="Arial" w:eastAsia="Arial" w:hAnsi="Arial"/>
                <w:sz w:val="20"/>
                <w:szCs w:val="20"/>
                <w:color w:val="auto"/>
              </w:rPr>
              <w:t>(4,911,337)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jc w:val="right"/>
              <w:spacing w:after="0" w:line="216" w:lineRule="exact"/>
              <w:rPr>
                <w:sz w:val="20"/>
                <w:szCs w:val="20"/>
                <w:color w:val="auto"/>
              </w:rPr>
            </w:pPr>
            <w:r>
              <w:rPr>
                <w:rFonts w:ascii="Arial" w:cs="Arial" w:eastAsia="Arial" w:hAnsi="Arial"/>
                <w:sz w:val="20"/>
                <w:szCs w:val="20"/>
                <w:color w:val="auto"/>
              </w:rPr>
              <w:t>(1,956,524)</w:t>
            </w:r>
          </w:p>
        </w:tc>
        <w:tc>
          <w:tcPr>
            <w:tcW w:w="100" w:type="dxa"/>
            <w:vAlign w:val="bottom"/>
            <w:gridSpan w:val="2"/>
          </w:tcPr>
          <w:p>
            <w:pPr>
              <w:spacing w:after="0"/>
              <w:rPr>
                <w:sz w:val="18"/>
                <w:szCs w:val="18"/>
                <w:color w:val="auto"/>
              </w:rPr>
            </w:pPr>
          </w:p>
        </w:tc>
      </w:tr>
      <w:tr>
        <w:trPr>
          <w:trHeight w:val="263"/>
        </w:trPr>
        <w:tc>
          <w:tcPr>
            <w:tcW w:w="638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 at beginning of period</w:t>
            </w:r>
          </w:p>
        </w:tc>
        <w:tc>
          <w:tcPr>
            <w:tcW w:w="6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221"/>
              <w:spacing w:after="0"/>
              <w:rPr>
                <w:sz w:val="20"/>
                <w:szCs w:val="20"/>
                <w:color w:val="auto"/>
              </w:rPr>
            </w:pPr>
            <w:r>
              <w:rPr>
                <w:rFonts w:ascii="Arial" w:cs="Arial" w:eastAsia="Arial" w:hAnsi="Arial"/>
                <w:sz w:val="20"/>
                <w:szCs w:val="20"/>
                <w:color w:val="auto"/>
              </w:rPr>
              <w:t>15,465,243</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20,141,379</w:t>
            </w:r>
          </w:p>
        </w:tc>
        <w:tc>
          <w:tcPr>
            <w:tcW w:w="80" w:type="dxa"/>
            <w:vAlign w:val="bottom"/>
            <w:shd w:val="clear" w:color="auto" w:fill="CCEEFF"/>
          </w:tcPr>
          <w:p>
            <w:pPr>
              <w:spacing w:after="0"/>
              <w:rPr>
                <w:sz w:val="22"/>
                <w:szCs w:val="22"/>
                <w:color w:val="auto"/>
              </w:rPr>
            </w:pPr>
          </w:p>
        </w:tc>
      </w:tr>
      <w:tr>
        <w:trPr>
          <w:trHeight w:val="230"/>
        </w:trPr>
        <w:tc>
          <w:tcPr>
            <w:tcW w:w="6380" w:type="dxa"/>
            <w:vAlign w:val="bottom"/>
            <w:tcBorders>
              <w:top w:val="single" w:sz="8" w:color="CCEEFF"/>
            </w:tcBorders>
          </w:tcPr>
          <w:p>
            <w:pPr>
              <w:spacing w:after="0"/>
              <w:rPr>
                <w:sz w:val="20"/>
                <w:szCs w:val="20"/>
                <w:color w:val="auto"/>
              </w:rPr>
            </w:pPr>
            <w:r>
              <w:rPr>
                <w:rFonts w:ascii="Arial" w:cs="Arial" w:eastAsia="Arial" w:hAnsi="Arial"/>
                <w:sz w:val="20"/>
                <w:szCs w:val="20"/>
                <w:b w:val="1"/>
                <w:bCs w:val="1"/>
                <w:color w:val="auto"/>
              </w:rPr>
              <w:t>Cash and cash equivalents at end of period</w:t>
            </w:r>
          </w:p>
        </w:tc>
        <w:tc>
          <w:tcPr>
            <w:tcW w:w="600" w:type="dxa"/>
            <w:vAlign w:val="bottom"/>
            <w:tcBorders>
              <w:top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10,553,906</w:t>
            </w:r>
          </w:p>
        </w:tc>
        <w:tc>
          <w:tcPr>
            <w:tcW w:w="320" w:type="dxa"/>
            <w:vAlign w:val="bottom"/>
            <w:tcBorders>
              <w:top w:val="single" w:sz="8" w:color="CCEEFF"/>
            </w:tcBorders>
          </w:tcPr>
          <w:p>
            <w:pPr>
              <w:spacing w:after="0"/>
              <w:rPr>
                <w:sz w:val="20"/>
                <w:szCs w:val="20"/>
                <w:color w:val="auto"/>
              </w:rPr>
            </w:pPr>
          </w:p>
        </w:tc>
        <w:tc>
          <w:tcPr>
            <w:tcW w:w="20" w:type="dxa"/>
            <w:vAlign w:val="bottom"/>
            <w:tcBorders>
              <w:top w:val="single" w:sz="8" w:color="CCEEFF"/>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18,184,855</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Genenta Science S.r.l.)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Genenta Science S.p.A. (formerly Genenta Science S.r.l.) (the “Company”) is an early-stage company developing first-in-class cell and gene cancer therapies. The Company is initially developing its clinical leading product, Temferon™, to treat glioblastoma multiforme (“GBM”), a solid tumor affecting the brain. The Company intends to continue its clinical trials in Europe and eventually start a second clinical trial to study Temferon™ in liver cancers, possibly in the United States.</w:t>
      </w:r>
    </w:p>
    <w:p>
      <w:pPr>
        <w:spacing w:after="0" w:line="187" w:lineRule="exact"/>
        <w:rPr>
          <w:sz w:val="20"/>
          <w:szCs w:val="20"/>
          <w:color w:val="auto"/>
        </w:rPr>
      </w:pPr>
    </w:p>
    <w:p>
      <w:pPr>
        <w:ind w:right="80" w:firstLine="647"/>
        <w:spacing w:after="0" w:line="290" w:lineRule="auto"/>
        <w:rPr>
          <w:sz w:val="20"/>
          <w:szCs w:val="20"/>
          <w:color w:val="auto"/>
        </w:rPr>
      </w:pPr>
      <w:r>
        <w:rPr>
          <w:rFonts w:ascii="Arial" w:cs="Arial" w:eastAsia="Arial" w:hAnsi="Arial"/>
          <w:sz w:val="16"/>
          <w:szCs w:val="16"/>
          <w:color w:val="auto"/>
        </w:rPr>
        <w:t>Genenta Science S.p.A. (formerly Genenta Science S.r.l. “società a responsabilità limitata,” similar to a Limited Liability Company in the United States) converted to an Italian corporation (“società per azioni”, or “S.p.A.”) in June 2021, which is similar to a C corporation in the United States. The Company was founded by San Raffaele Hospital (“OSR”), in Milan, Italy, Pierluigi Paracchi, Luigi Naldini and Bernhard Gentner and was incorporated in July 2014. On May 20, 2021, the quotaholders resolved that the Company converted from an S.r.l. to an S.p.A. and determined that the outstanding quota be converted to 15 million common shares at no par value. (See Note 10. Quotaholder’s and stockholder’s equity.) New Bylaws have been adopted, two new Board members were appointed and the existing Board of Directors and Board of Statutory Advisors were re-appointed. The registered office remained located in Milan, Italy. The Company’s reporting currency is Euros. In May 2021, the Company formed a wholly owned, Delaware incorporated subsidiary, Genenta Science, Inc., intended for future operations in the United States. The Company’s subsidiary will operate in US Dollars.</w:t>
      </w:r>
    </w:p>
    <w:p>
      <w:pPr>
        <w:spacing w:after="0" w:line="165" w:lineRule="exact"/>
        <w:rPr>
          <w:sz w:val="20"/>
          <w:szCs w:val="20"/>
          <w:color w:val="auto"/>
        </w:rPr>
      </w:pPr>
    </w:p>
    <w:p>
      <w:pPr>
        <w:ind w:right="80" w:firstLine="647"/>
        <w:spacing w:after="0" w:line="291" w:lineRule="auto"/>
        <w:rPr>
          <w:sz w:val="20"/>
          <w:szCs w:val="20"/>
          <w:color w:val="auto"/>
        </w:rPr>
      </w:pPr>
      <w:r>
        <w:rPr>
          <w:rFonts w:ascii="Arial" w:cs="Arial" w:eastAsia="Arial" w:hAnsi="Arial"/>
          <w:sz w:val="16"/>
          <w:szCs w:val="16"/>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Risks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incurred losses since its inception, including a net loss of €4,047,902 and €2,479,304 for the six-month periods ended June 30, 2021 and 2020, respectively. In addition, at June 30, 2021, the Company had an accumulated deficit of €25,538,377. There is no certainty that the Company will become profitable in the future. The Company has primarily funded these losses through the proceeds from sales of convertible debt and equity quotas, prior to the Company’s conversion into an S.p.A.</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evaluated whether there are conditions and events considered in the aggregate that raise substantial doubt about the Company’s ability to continue as a going concern. Although the Company has incurred recurring losses and expects to continue to incur losses for the foreseeable future, the Company expects that its existing consolidated cash and cash equivalents on hand at September 27, 2021 of approximately €8.9 million will be sufficient to fund projected cash requirements through the fourth quarter of 2022. Therefore, the Company will require significant additional financing in the future to fund operations. Accordingly, the accompanying financial statements have been prepared assuming that the Company will continue as a going concern.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8"/>
        <w:spacing w:after="0" w:line="259" w:lineRule="auto"/>
        <w:rPr>
          <w:sz w:val="20"/>
          <w:szCs w:val="20"/>
          <w:color w:val="auto"/>
        </w:rPr>
      </w:pPr>
      <w:r>
        <w:rPr>
          <w:rFonts w:ascii="Arial" w:cs="Arial" w:eastAsia="Arial" w:hAnsi="Arial"/>
          <w:sz w:val="18"/>
          <w:szCs w:val="18"/>
          <w:color w:val="auto"/>
        </w:rPr>
        <w:t>The future viability of the Company is dependent on its ability to raise additional capital to finance its operations and the Company intends to pursue financings in the US public market.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7"/>
        <w:spacing w:after="0" w:line="270"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U.S. generally accepted accounting principles for interim financial information and with the instructions to Form 20-F and Article 10 of Regulation S-X promulgated by the Securities and Exchange Commission (“SEC”). Accordingly, certain information and footnote disclosures normally included in annual financial statements have been condensed or omitted. In the opinion of management, the accompanying unaudited interim consolidated financial statements reflect all adjustments (including normal recurring adjustments and the elimination of intercompany accounts) considered necessary for a fair statement of all periods presented. The results of operations of the Company for any interim periods are not necessarily indicative of the results of operations for any other interim periods or for a full fiscal year. These unaudited interim condensed consolidated financial statements for the six months ended June 30, 2021 and 2020 should be read in conjunction with the audited consolidated financial statements and footnotes thereto for the years ended December 31, 2020 and 2019, included elsewhere herein.</w:t>
      </w:r>
    </w:p>
    <w:p>
      <w:pPr>
        <w:spacing w:after="0" w:line="181" w:lineRule="exact"/>
        <w:rPr>
          <w:sz w:val="20"/>
          <w:szCs w:val="20"/>
          <w:color w:val="auto"/>
        </w:rPr>
      </w:pPr>
    </w:p>
    <w:p>
      <w:pPr>
        <w:ind w:right="80" w:firstLine="647"/>
        <w:spacing w:after="0" w:line="263" w:lineRule="auto"/>
        <w:rPr>
          <w:sz w:val="20"/>
          <w:szCs w:val="20"/>
          <w:color w:val="auto"/>
        </w:rPr>
      </w:pPr>
      <w:r>
        <w:rPr>
          <w:rFonts w:ascii="Arial" w:cs="Arial" w:eastAsia="Arial" w:hAnsi="Arial"/>
          <w:sz w:val="18"/>
          <w:szCs w:val="18"/>
          <w:color w:val="auto"/>
        </w:rPr>
        <w:t>A summary of the significant accounting policies applied in the preparation of these financial statements is presented below, only for the categories and headings now applicable and that might be applicable in the future based on the Company’s business. These policies have been consistently applied, unless otherwise stated.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All significant intercompany accounts and transactions have been eliminated in consolidation.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financial statements are disclosed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4" w:name="page245"/>
    <w:bookmarkEnd w:id="244"/>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647"/>
        <w:spacing w:after="0" w:line="311"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rPr>
              <w:t>At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in bank</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10,552,591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15,462,805</w:t>
            </w:r>
          </w:p>
        </w:tc>
        <w:tc>
          <w:tcPr>
            <w:tcW w:w="8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in hand &amp; prepaid cards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80" w:type="dxa"/>
            <w:vAlign w:val="bottom"/>
            <w:tcBorders>
              <w:bottom w:val="single" w:sz="8" w:color="CCEEFF"/>
            </w:tcBorders>
          </w:tcPr>
          <w:p>
            <w:pPr>
              <w:spacing w:after="0"/>
              <w:rPr>
                <w:sz w:val="20"/>
                <w:szCs w:val="20"/>
                <w:color w:val="auto"/>
              </w:rPr>
            </w:pPr>
          </w:p>
        </w:tc>
      </w:tr>
      <w:tr>
        <w:trPr>
          <w:trHeight w:val="229"/>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10,553,906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15,465,243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40" w:firstLine="647"/>
        <w:spacing w:after="0" w:line="269" w:lineRule="auto"/>
        <w:rPr>
          <w:sz w:val="20"/>
          <w:szCs w:val="20"/>
          <w:color w:val="auto"/>
        </w:rPr>
      </w:pPr>
      <w:r>
        <w:rPr>
          <w:rFonts w:ascii="Arial" w:cs="Arial" w:eastAsia="Arial" w:hAnsi="Arial"/>
          <w:sz w:val="17"/>
          <w:szCs w:val="17"/>
          <w:color w:val="auto"/>
        </w:rPr>
        <w:t>Loss per share (“EPS”) is computed in accordance with US GAAP. Basic EPS is computed by dividing net loss by the weighted average number of common shares outstanding during the period. Diluted EPS reflects potential dilution and is computed by dividing loss by the weighted average number of common shares outstanding during the period increased by the number of additional common shares that would have been outstanding if all potential common shares had been issued and were dilutive. Since the Company was an S.r.l. in previous periods, QPS (quota per share) has not been included in the historical audited financial statements or the interim Statement of Operations and Comprehensive Loss at June 30, 2020 because the Company determined it was not a meaningful or material disclosure due to the Company’s capital structure. This calculation was applied, after the increase in capital to €50,000 required to be an S.p.A. by Italian law. The Company’s stockholders authorized 59.7 million ordinary common shares. The Company has 15.0 million common shares issued and outstanding at June 30, 2021 with no outstanding options or warrants and 2.7 million common shares reserved for the Company’s Equity Incentive Plan 2021–2025. Diluted EPS is not relevant at June 30, 2021, as there were no common share equivalents. (See Note 10. Quotaholders’ and stockholders’ equity and Note 11. Share-based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firstLine="647"/>
        <w:spacing w:after="0" w:line="273" w:lineRule="auto"/>
        <w:rPr>
          <w:sz w:val="20"/>
          <w:szCs w:val="20"/>
          <w:color w:val="auto"/>
        </w:rPr>
      </w:pPr>
      <w:r>
        <w:rPr>
          <w:rFonts w:ascii="Arial" w:cs="Arial" w:eastAsia="Arial" w:hAnsi="Arial"/>
          <w:sz w:val="17"/>
          <w:szCs w:val="17"/>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During the periods ended June 30, 2021 and 2020, foreign exchange gains and losses were insignificant.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647"/>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7" w:lineRule="exact"/>
        <w:rPr>
          <w:sz w:val="20"/>
          <w:szCs w:val="20"/>
          <w:color w:val="auto"/>
        </w:rPr>
      </w:pPr>
    </w:p>
    <w:p>
      <w:pPr>
        <w:ind w:right="220" w:firstLine="647"/>
        <w:spacing w:after="0" w:line="277" w:lineRule="auto"/>
        <w:rPr>
          <w:sz w:val="20"/>
          <w:szCs w:val="20"/>
          <w:color w:val="auto"/>
        </w:rPr>
      </w:pPr>
      <w:r>
        <w:rPr>
          <w:rFonts w:ascii="Arial" w:cs="Arial" w:eastAsia="Arial" w:hAnsi="Arial"/>
          <w:sz w:val="18"/>
          <w:szCs w:val="18"/>
          <w:color w:val="auto"/>
        </w:rPr>
        <w:t>The carrying values of the Company’s research and development tax credits, VAT credits, accounts payable, accrued expenses and other current liabilities approximate their fair values due to the short-term nature of these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80" w:firstLine="647"/>
        <w:spacing w:after="0" w:line="259"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credit on investments in research and development</w:t>
      </w:r>
    </w:p>
    <w:p>
      <w:pPr>
        <w:spacing w:after="0" w:line="225" w:lineRule="exact"/>
        <w:rPr>
          <w:sz w:val="20"/>
          <w:szCs w:val="20"/>
          <w:color w:val="auto"/>
        </w:rPr>
      </w:pPr>
    </w:p>
    <w:p>
      <w:pPr>
        <w:ind w:right="40" w:firstLine="647"/>
        <w:spacing w:after="0" w:line="301" w:lineRule="auto"/>
        <w:rPr>
          <w:sz w:val="20"/>
          <w:szCs w:val="20"/>
          <w:color w:val="auto"/>
        </w:rPr>
      </w:pPr>
      <w:r>
        <w:rPr>
          <w:rFonts w:ascii="Arial" w:cs="Arial" w:eastAsia="Arial" w:hAnsi="Arial"/>
          <w:sz w:val="16"/>
          <w:szCs w:val="16"/>
          <w:color w:val="auto"/>
        </w:rPr>
        <w:t>In line with the legislation in force until June 30, 2021, companies in Italy that invest in eligible research and development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 For eligible R&amp;D activities, the tax credit is equal to 20% (12% in FY 2020) of the eligible costs incurred, with a maximum annual amount of €4.0 million (€3.0 million for FY 2020).</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6" w:name="page247"/>
    <w:bookmarkEnd w:id="246"/>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color w:val="auto"/>
        </w:rPr>
        <w:t>The eligible activities consist of fundamental research, industrial research, and experimental development as defined respectively of the letters m),</w:t>
      </w:r>
    </w:p>
    <w:p>
      <w:pPr>
        <w:spacing w:after="0" w:line="46" w:lineRule="exact"/>
        <w:rPr>
          <w:sz w:val="20"/>
          <w:szCs w:val="20"/>
          <w:color w:val="auto"/>
        </w:rPr>
      </w:pPr>
    </w:p>
    <w:p>
      <w:pPr>
        <w:ind w:right="4300" w:firstLine="8"/>
        <w:spacing w:after="0" w:line="521" w:lineRule="auto"/>
        <w:tabs>
          <w:tab w:leader="none" w:pos="19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and j) of point 15, par. 1.3 of the Communication no. 198/2014 of the European Commission. To determine the cost basis of the benefit, the following expenses are eligible:</w:t>
      </w: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Personnel costs;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Depreciation charges, costs of the financial or simple lease and other expenses related to movable tangible assets and software used in research and development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Expenses for extra-euro research contracts concerning the direct execution of eligible research and development activities by the provider;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Depreciation charges;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Expenses for consulting services and equivalent services related to eligible research and development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Expenses for materials, supplies, and other similar products used in research and development projects.</w:t>
      </w:r>
    </w:p>
    <w:p>
      <w:pPr>
        <w:spacing w:after="0" w:line="225" w:lineRule="exact"/>
        <w:rPr>
          <w:sz w:val="20"/>
          <w:szCs w:val="20"/>
          <w:color w:val="auto"/>
        </w:rPr>
      </w:pPr>
    </w:p>
    <w:p>
      <w:pPr>
        <w:ind w:right="120" w:firstLine="647"/>
        <w:spacing w:after="0" w:line="259" w:lineRule="auto"/>
        <w:rPr>
          <w:sz w:val="20"/>
          <w:szCs w:val="20"/>
          <w:color w:val="auto"/>
        </w:rPr>
      </w:pPr>
      <w:r>
        <w:rPr>
          <w:rFonts w:ascii="Arial" w:cs="Arial" w:eastAsia="Arial" w:hAnsi="Arial"/>
          <w:sz w:val="18"/>
          <w:szCs w:val="18"/>
          <w:color w:val="auto"/>
        </w:rPr>
        <w:t xml:space="preserve">The Company, by analogy, accounts for this receivable in accordance with International Accounting Standards (IAS) 20,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Grants and Disclosure of Government Assistance</w:t>
      </w:r>
      <w:r>
        <w:rPr>
          <w:rFonts w:ascii="Arial" w:cs="Arial" w:eastAsia="Arial" w:hAnsi="Arial"/>
          <w:sz w:val="18"/>
          <w:szCs w:val="18"/>
          <w:color w:val="auto"/>
        </w:rPr>
        <w:t>. The receivable is recognized when there is reasonable assurance that: (1) the recipient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the relevant conditions; and, (2) the grant will be received. The Company has elected to present it net of the related expenditure on the consolidated statements of operations and comprehensive loss.</w:t>
      </w:r>
    </w:p>
    <w:p>
      <w:pPr>
        <w:spacing w:after="0" w:line="187" w:lineRule="exact"/>
        <w:rPr>
          <w:sz w:val="20"/>
          <w:szCs w:val="20"/>
          <w:color w:val="auto"/>
        </w:rPr>
      </w:pPr>
    </w:p>
    <w:p>
      <w:pPr>
        <w:ind w:right="80" w:firstLine="647"/>
        <w:spacing w:after="0" w:line="259" w:lineRule="auto"/>
        <w:rPr>
          <w:sz w:val="20"/>
          <w:szCs w:val="20"/>
          <w:color w:val="auto"/>
        </w:rPr>
      </w:pPr>
      <w:r>
        <w:rPr>
          <w:rFonts w:ascii="Arial" w:cs="Arial" w:eastAsia="Arial" w:hAnsi="Arial"/>
          <w:sz w:val="18"/>
          <w:szCs w:val="18"/>
          <w:color w:val="auto"/>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40" w:firstLine="647"/>
        <w:spacing w:after="0" w:line="275" w:lineRule="auto"/>
        <w:rPr>
          <w:sz w:val="20"/>
          <w:szCs w:val="20"/>
          <w:color w:val="auto"/>
        </w:rPr>
      </w:pPr>
      <w:r>
        <w:rPr>
          <w:rFonts w:ascii="Arial" w:cs="Arial" w:eastAsia="Arial" w:hAnsi="Arial"/>
          <w:sz w:val="17"/>
          <w:szCs w:val="17"/>
          <w:color w:val="auto"/>
        </w:rPr>
        <w:t>To reward the efforts of employees, directors, and certain consultants and to promote the growth of the Company, the Company’s Board of Directors has approved, prior to the Company’s conversion to an S.p.A., various share-based awards. All options have been awarded with an exercise price of €1 per quota and, when exercised, all options have been converted to Quota B. The options granted had the vesting condition that the individual must remain in his/her role at least one year or as otherwise specified for each person. At June 30, 2021, there were no outstanding options, as all options had been vested and/or accelerated and exercised prior to the Company’s conversion to an S.p.A.</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measures share-based awards granted to recipients based on the fair value on the date of the grant and recognizes compensation expense for those awards over the requisite service period(s), which is the vesting period of the respective award. Forfeitures were accounted for as they occurred. The measurement date for option awards was the date of the grant. The Company classifies share-based compensation expense in its consolidated statements of operations and comprehensive loss in the same manner in which the award recipient’s payroll costs are classified or in which the award recipient’s service payments are classified.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7" w:name="page248"/>
    <w:bookmarkEnd w:id="247"/>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firstLine="647"/>
        <w:spacing w:after="0" w:line="259" w:lineRule="auto"/>
        <w:rPr>
          <w:sz w:val="20"/>
          <w:szCs w:val="20"/>
          <w:color w:val="auto"/>
        </w:rPr>
      </w:pPr>
      <w:r>
        <w:rPr>
          <w:rFonts w:ascii="Arial" w:cs="Arial" w:eastAsia="Arial" w:hAnsi="Arial"/>
          <w:sz w:val="18"/>
          <w:szCs w:val="18"/>
          <w:color w:val="auto"/>
        </w:rPr>
        <w:t>With the adoption of ASU No. 2018-07, Compensation— 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20" w:firstLine="647"/>
        <w:spacing w:after="0" w:line="259" w:lineRule="auto"/>
        <w:rPr>
          <w:sz w:val="20"/>
          <w:szCs w:val="20"/>
          <w:color w:val="auto"/>
        </w:rPr>
      </w:pPr>
      <w:r>
        <w:rPr>
          <w:rFonts w:ascii="Arial" w:cs="Arial" w:eastAsia="Arial" w:hAnsi="Arial"/>
          <w:sz w:val="18"/>
          <w:szCs w:val="18"/>
          <w:color w:val="auto"/>
        </w:rPr>
        <w:t>Property and equipment are stated at cost, including any accessory and direct costs that are necessary to make the assets fit for use, and adjusted by the corresponding accumulated depreciation. The depreciation rates recorded in the consolidated financial statements have been calculated by taking into consideration the use, purpose, and financial-technical duration of the assets, on the basis of their estimated useful economic lives. The Company believes the above criteria to be represented by the following depreciation rates:</w:t>
      </w:r>
    </w:p>
    <w:p>
      <w:pPr>
        <w:spacing w:after="0" w:line="187"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Equipment &amp; Furniture: 15 years;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Electronic office equipment: 10 years;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Leasehold Improvements: based on the shorter of the life of the leasehold improvement or the remaining term of the lease.</w:t>
      </w:r>
    </w:p>
    <w:p>
      <w:pPr>
        <w:spacing w:after="0" w:line="225" w:lineRule="exact"/>
        <w:rPr>
          <w:sz w:val="20"/>
          <w:szCs w:val="20"/>
          <w:color w:val="auto"/>
        </w:rPr>
      </w:pPr>
    </w:p>
    <w:p>
      <w:pPr>
        <w:ind w:right="160" w:firstLine="647"/>
        <w:spacing w:after="0" w:line="275" w:lineRule="auto"/>
        <w:rPr>
          <w:sz w:val="20"/>
          <w:szCs w:val="20"/>
          <w:color w:val="auto"/>
        </w:rPr>
      </w:pPr>
      <w:r>
        <w:rPr>
          <w:rFonts w:ascii="Arial" w:cs="Arial" w:eastAsia="Arial" w:hAnsi="Arial"/>
          <w:sz w:val="17"/>
          <w:szCs w:val="17"/>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accordance with ASC Topic 360-10-20, ‘‘Property, Plant and Equipment,” the Company performs an impairment test whenever events or circumstances indicate that the carrying value of long- 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write-down the asset to its fair value based on the present value of estimated cash flows. To date, no impairments have been identified for the periods ended June 30, 2021 and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Deferred public offering costs, which primarily consist of direct, incremental legal and accounting fees relating to fundraising activities (e.g., an initial public offering (IPO)), are capitalized within prepaid expenses and other current assets. The deferred offering costs will be offset against proceeds from fundraising activities (e.g., an IPO) upon the consummation of an offering. In the event the fundraising activities are terminated without raising capital, any deferred offering costs will be expensed. The Company has incurred €373,545 in deferred offering costs for the six months ended June 30, 2021. (Also, see Note 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100" w:firstLine="647"/>
        <w:spacing w:after="0" w:line="291" w:lineRule="auto"/>
        <w:rPr>
          <w:sz w:val="20"/>
          <w:szCs w:val="20"/>
          <w:color w:val="auto"/>
        </w:rPr>
      </w:pPr>
      <w:r>
        <w:rPr>
          <w:rFonts w:ascii="Arial" w:cs="Arial" w:eastAsia="Arial" w:hAnsi="Arial"/>
          <w:sz w:val="16"/>
          <w:szCs w:val="16"/>
          <w:color w:val="auto"/>
        </w:rPr>
        <w:t>In December 2019, the FASB issued ASU 2019-12, Income Taxes: Simplifying the Accounting for Income Taxes. The new standard intended to simplify the accounting for income taxes by eliminating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non-public entities, the standard is effective for annual periods beginning after December 15, 2021, with early adoption permitted. Adoption of the standard requires certain changes to primarily be made prospectively, with some changes to be made retrospectively. The Company is currently evaluating the impact that the adoption of ASU 2019-12 will have on its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Research and development</w:t>
      </w:r>
    </w:p>
    <w:p>
      <w:pPr>
        <w:spacing w:after="0" w:line="229" w:lineRule="exact"/>
        <w:rPr>
          <w:sz w:val="20"/>
          <w:szCs w:val="20"/>
          <w:color w:val="auto"/>
        </w:rPr>
      </w:pPr>
    </w:p>
    <w:p>
      <w:pPr>
        <w:ind w:firstLine="647"/>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share- 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78" w:lineRule="exact"/>
        <w:rPr>
          <w:sz w:val="20"/>
          <w:szCs w:val="20"/>
          <w:color w:val="auto"/>
        </w:rPr>
      </w:pPr>
    </w:p>
    <w:p>
      <w:pPr>
        <w:ind w:right="200" w:firstLine="647"/>
        <w:spacing w:after="0" w:line="270" w:lineRule="auto"/>
        <w:rPr>
          <w:sz w:val="20"/>
          <w:szCs w:val="20"/>
          <w:color w:val="auto"/>
        </w:rPr>
      </w:pPr>
      <w:r>
        <w:rPr>
          <w:rFonts w:ascii="Arial" w:cs="Arial" w:eastAsia="Arial" w:hAnsi="Arial"/>
          <w:sz w:val="17"/>
          <w:szCs w:val="17"/>
          <w:color w:val="auto"/>
        </w:rPr>
        <w:t>The Company yearly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General and administrative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is subject to taxation in Italy, including the standard corporate income tax (“IRES”) and a regional business tax (“IRAP”). Taxes are recorded on an accrual basis. They therefore represent the allowances for taxes paid or to be paid for the year, calculated according to the current enacted rates and applicable laws. The Company is taxed in various countries where it has permanent establishment, as applicable. Due to the tax loss position reported, no income taxes were due for the periods ending June 30, 2021 and 2020.</w:t>
      </w:r>
    </w:p>
    <w:p>
      <w:pPr>
        <w:spacing w:after="0" w:line="171" w:lineRule="exact"/>
        <w:rPr>
          <w:sz w:val="20"/>
          <w:szCs w:val="20"/>
          <w:color w:val="auto"/>
        </w:rPr>
      </w:pPr>
    </w:p>
    <w:p>
      <w:pPr>
        <w:ind w:firstLine="647"/>
        <w:spacing w:after="0" w:line="259" w:lineRule="auto"/>
        <w:rPr>
          <w:sz w:val="20"/>
          <w:szCs w:val="20"/>
          <w:color w:val="auto"/>
        </w:rPr>
      </w:pPr>
      <w:r>
        <w:rPr>
          <w:rFonts w:ascii="Arial" w:cs="Arial" w:eastAsia="Arial" w:hAnsi="Arial"/>
          <w:sz w:val="18"/>
          <w:szCs w:val="18"/>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87"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At each reporting date, the Company considers existing evidence, both positive and negative, that could impact its view with regards to future realization of deferred tax assets. In consideration of the start-up status of the Company, a full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61" w:lineRule="exact"/>
        <w:rPr>
          <w:sz w:val="20"/>
          <w:szCs w:val="20"/>
          <w:color w:val="auto"/>
        </w:rPr>
      </w:pPr>
    </w:p>
    <w:p>
      <w:pPr>
        <w:ind w:right="140" w:firstLine="697"/>
        <w:spacing w:after="0" w:line="286" w:lineRule="auto"/>
        <w:rPr>
          <w:sz w:val="20"/>
          <w:szCs w:val="20"/>
          <w:color w:val="auto"/>
        </w:rPr>
      </w:pPr>
      <w:r>
        <w:rPr>
          <w:rFonts w:ascii="Arial" w:cs="Arial" w:eastAsia="Arial" w:hAnsi="Arial"/>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The prior five years of tax returns (2016-2020) are potentially subject to audit.</w:t>
      </w:r>
    </w:p>
    <w:p>
      <w:pPr>
        <w:spacing w:after="0" w:line="165" w:lineRule="exact"/>
        <w:rPr>
          <w:sz w:val="20"/>
          <w:szCs w:val="20"/>
          <w:color w:val="auto"/>
        </w:rPr>
      </w:pPr>
    </w:p>
    <w:p>
      <w:pPr>
        <w:ind w:right="500" w:firstLine="697"/>
        <w:spacing w:after="0" w:line="277" w:lineRule="auto"/>
        <w:rPr>
          <w:sz w:val="20"/>
          <w:szCs w:val="20"/>
          <w:color w:val="auto"/>
        </w:rPr>
      </w:pPr>
      <w:r>
        <w:rPr>
          <w:rFonts w:ascii="Arial" w:cs="Arial" w:eastAsia="Arial" w:hAnsi="Arial"/>
          <w:sz w:val="18"/>
          <w:szCs w:val="18"/>
          <w:color w:val="auto"/>
        </w:rPr>
        <w:t>At June 30, 2021 and 2020, the Company believes there are no significant differences with regards to its deferred tax assets and its relevant components, compared to the computations of the preceding periods.</w:t>
      </w:r>
    </w:p>
    <w:p>
      <w:pPr>
        <w:spacing w:after="0" w:line="170" w:lineRule="exact"/>
        <w:rPr>
          <w:sz w:val="20"/>
          <w:szCs w:val="20"/>
          <w:color w:val="auto"/>
        </w:rPr>
      </w:pPr>
    </w:p>
    <w:p>
      <w:pPr>
        <w:ind w:right="140" w:firstLine="647"/>
        <w:spacing w:after="0" w:line="257" w:lineRule="auto"/>
        <w:rPr>
          <w:sz w:val="20"/>
          <w:szCs w:val="20"/>
          <w:color w:val="auto"/>
        </w:rPr>
      </w:pPr>
      <w:r>
        <w:rPr>
          <w:rFonts w:ascii="Arial" w:cs="Arial" w:eastAsia="Arial" w:hAnsi="Arial"/>
          <w:sz w:val="18"/>
          <w:szCs w:val="18"/>
          <w:color w:val="auto"/>
        </w:rPr>
        <w:t>In 2011, the Italian tax authorities issued a set of rules that modified the previous treatment of tax loss carryforwards. According to the DL 98/2011, at the end of 2011, all existing tax loss carryforwards will never expire but they can off-set only 80% of the taxable income of the year. The rules do not affect the tax loss carryforward that refer to the start-up period, defined as the first three years of operations starting from the inception of the Company. The impact of the updated calculation of tax losses carryforward at June 30, 2021 and 2020 is deemed not significant with respect of the preceding periods.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30"/>
        </w:trPr>
        <w:tc>
          <w:tcPr>
            <w:tcW w:w="4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4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480" w:type="dxa"/>
            <w:vAlign w:val="bottom"/>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(VAT)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374,667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156,261</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Advances to suppliers- related party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121,432</w:t>
            </w:r>
          </w:p>
        </w:tc>
        <w:tc>
          <w:tcPr>
            <w:tcW w:w="80" w:type="dxa"/>
            <w:vAlign w:val="bottom"/>
          </w:tcPr>
          <w:p>
            <w:pPr>
              <w:spacing w:after="0"/>
              <w:rPr>
                <w:sz w:val="18"/>
                <w:szCs w:val="18"/>
                <w:color w:val="auto"/>
              </w:rPr>
            </w:pPr>
          </w:p>
        </w:tc>
      </w:tr>
      <w:tr>
        <w:trPr>
          <w:trHeight w:val="250"/>
        </w:trPr>
        <w:tc>
          <w:tcPr>
            <w:tcW w:w="48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prepaids</w:t>
            </w:r>
          </w:p>
        </w:tc>
        <w:tc>
          <w:tcPr>
            <w:tcW w:w="3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77,397</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1,549,766</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1,068,933</w:t>
            </w:r>
          </w:p>
        </w:tc>
        <w:tc>
          <w:tcPr>
            <w:tcW w:w="8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Value Added Tax (VAT) receivables are linked to purchases. Italian VAT (</w:t>
      </w:r>
      <w:r>
        <w:rPr>
          <w:rFonts w:ascii="Arial" w:cs="Arial" w:eastAsia="Arial" w:hAnsi="Arial"/>
          <w:sz w:val="18"/>
          <w:szCs w:val="18"/>
          <w:i w:val="1"/>
          <w:iCs w:val="1"/>
          <w:color w:val="auto"/>
        </w:rPr>
        <w:t>Imposta sul Valore Aggiunto</w:t>
      </w:r>
      <w:r>
        <w:rPr>
          <w:rFonts w:ascii="Arial" w:cs="Arial" w:eastAsia="Arial" w:hAnsi="Arial"/>
          <w:sz w:val="18"/>
          <w:szCs w:val="18"/>
          <w:color w:val="auto"/>
        </w:rPr>
        <w:t>) applies to the supply of goods and services carried out in Italy by entrepreneurs, professionals, or artists and on imports carried out by anyone. Intra-Community acquisitions are also subject to VAT under certain situations. The Italian standard VAT rate for 2021 and 2020 is 22%. Reduced rates are provided for specifically listed supplies of goods and services. It is carried forward indefinitely and does not expire. The Company reclassified to other non-current assets a portion of the receivable which is expected to be realized beyond 12 months.</w:t>
      </w:r>
    </w:p>
    <w:p>
      <w:pPr>
        <w:spacing w:after="0" w:line="188"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€4.2 million at June 30, 2021, and approximately €3.9 million at December 31, 2020,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for 2022.</w:t>
      </w:r>
    </w:p>
    <w:p>
      <w:pPr>
        <w:spacing w:after="0" w:line="192" w:lineRule="exact"/>
        <w:rPr>
          <w:sz w:val="20"/>
          <w:szCs w:val="20"/>
          <w:color w:val="auto"/>
        </w:rPr>
      </w:pPr>
    </w:p>
    <w:p>
      <w:pPr>
        <w:ind w:firstLine="647"/>
        <w:spacing w:after="0" w:line="275" w:lineRule="auto"/>
        <w:rPr>
          <w:sz w:val="20"/>
          <w:szCs w:val="20"/>
          <w:color w:val="auto"/>
        </w:rPr>
      </w:pPr>
      <w:r>
        <w:rPr>
          <w:rFonts w:ascii="Arial" w:cs="Arial" w:eastAsia="Arial" w:hAnsi="Arial"/>
          <w:sz w:val="17"/>
          <w:szCs w:val="17"/>
          <w:color w:val="auto"/>
        </w:rPr>
        <w:t>During the six months ended June 30, 2021, the Company utilized approximately €204,000 to offset certain social contributions and taxes payable, while during the financial year 2020, the Company utilized approximately €281,000. The benefit recorded for the six months ended June, 2021 and 2020, to offset research and development expenses was approximately €204,000 and €136,000, respectively. The Company reclassified to other non-current assets as a portion of the receivable, which is expected to be realized beyond 12 months. The utilization rate of research and development credit, in the periods following June 30, 2021, is projected in a consistent manner to previous periods.</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amount of €373,545 in “deferred offering costs” in the chart above, mainly relate to legal fees incurred from fundraising activities</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(€263,368) and audit expenses (€110,177). Fundraising deferred offering costs will be offset against the funding proceeds and reclassified to common</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stock upon completion of the funding effort. If the funding is unsuccessful, the Company will expense all the related fundraising costs. (See Note 2.) The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amount of €77,397 in “other prepaids” in the chart above, mainly relates to insurance expenses (€30,824) and various advance payments and operational</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prepaid expenses.</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remaining balance is comprised of miscellaneous minor prepaid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 net</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28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 of the following:</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rPr>
              <w:t>At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At</w:t>
            </w:r>
          </w:p>
        </w:tc>
      </w:tr>
      <w:tr>
        <w:trPr>
          <w:trHeight w:val="241"/>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1140" w:type="dxa"/>
            <w:vAlign w:val="bottom"/>
          </w:tcPr>
          <w:p>
            <w:pPr>
              <w:spacing w:after="0"/>
              <w:rPr>
                <w:sz w:val="19"/>
                <w:szCs w:val="19"/>
                <w:color w:val="auto"/>
              </w:rPr>
            </w:pPr>
          </w:p>
        </w:tc>
        <w:tc>
          <w:tcPr>
            <w:tcW w:w="4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2021</w:t>
            </w: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22,740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w:t>
            </w:r>
          </w:p>
        </w:tc>
        <w:tc>
          <w:tcPr>
            <w:tcW w:w="80" w:type="dxa"/>
            <w:vAlign w:val="bottom"/>
            <w:shd w:val="clear" w:color="auto" w:fill="CCEEFF"/>
          </w:tcPr>
          <w:p>
            <w:pPr>
              <w:spacing w:after="0"/>
              <w:rPr>
                <w:sz w:val="18"/>
                <w:szCs w:val="18"/>
                <w:color w:val="auto"/>
              </w:rPr>
            </w:pPr>
          </w:p>
        </w:tc>
      </w:tr>
      <w:tr>
        <w:trPr>
          <w:trHeight w:val="283"/>
        </w:trPr>
        <w:tc>
          <w:tcPr>
            <w:tcW w:w="1140" w:type="dxa"/>
            <w:vAlign w:val="bottom"/>
          </w:tcPr>
          <w:p>
            <w:pPr>
              <w:spacing w:after="0"/>
              <w:rPr>
                <w:sz w:val="24"/>
                <w:szCs w:val="24"/>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10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80" w:type="dxa"/>
            <w:vAlign w:val="bottom"/>
            <w:tcBorders>
              <w:bottom w:val="single" w:sz="8" w:color="CCEEFF"/>
            </w:tcBorders>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24,598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20,871</w:t>
            </w:r>
          </w:p>
        </w:tc>
        <w:tc>
          <w:tcPr>
            <w:tcW w:w="80" w:type="dxa"/>
            <w:vAlign w:val="bottom"/>
            <w:shd w:val="clear" w:color="auto" w:fill="CCEEFF"/>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229"/>
        </w:trPr>
        <w:tc>
          <w:tcPr>
            <w:tcW w:w="114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Property and equipment consist of computers and furniture and fixtures of our office space in Milan, Italy. There were no disposals, nor impairments during the periods. Depreciation has been calculated by taking into consideration the use, purpose and financial-technical duration of the assets, based on their estimated economic lives. No significant purchases occurred during the six months ended June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non-current assets consist of the long-term portion of the VAT receivable and R&amp;D tax credit, as follows: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Value Added Tax (VAT)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Research and development tax credit</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w:t>
      </w:r>
    </w:p>
    <w:p>
      <w:pPr>
        <w:spacing w:after="0" w:line="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assets- related party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rPr>
              <w:t>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rPr>
              <w:t>At</w:t>
            </w: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r>
      <w:tr>
        <w:trPr>
          <w:trHeight w:val="202"/>
        </w:trPr>
        <w:tc>
          <w:tcPr>
            <w:tcW w:w="20" w:type="dxa"/>
            <w:vAlign w:val="bottom"/>
          </w:tcPr>
          <w:p>
            <w:pPr>
              <w:spacing w:after="0"/>
              <w:rPr>
                <w:sz w:val="17"/>
                <w:szCs w:val="17"/>
                <w:color w:val="auto"/>
              </w:rPr>
            </w:pPr>
          </w:p>
        </w:tc>
        <w:tc>
          <w:tcPr>
            <w:tcW w:w="3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975,215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1" w:lineRule="exact"/>
              <w:rPr>
                <w:sz w:val="20"/>
                <w:szCs w:val="20"/>
                <w:color w:val="auto"/>
              </w:rPr>
            </w:pPr>
            <w:r>
              <w:rPr>
                <w:rFonts w:ascii="Arial" w:cs="Arial" w:eastAsia="Arial" w:hAnsi="Arial"/>
                <w:sz w:val="18"/>
                <w:szCs w:val="18"/>
                <w:color w:val="auto"/>
              </w:rPr>
              <w:t>664,987</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187,333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280,631</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1,166,725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945,618</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-3312795</wp:posOffset>
            </wp:positionH>
            <wp:positionV relativeFrom="paragraph">
              <wp:posOffset>-770890</wp:posOffset>
            </wp:positionV>
            <wp:extent cx="5700395" cy="146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-488315</wp:posOffset>
            </wp:positionV>
            <wp:extent cx="5700395"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-179070</wp:posOffset>
            </wp:positionV>
            <wp:extent cx="5700395" cy="162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60"/>
          </w:cols>
          <w:pgMar w:left="320" w:top="1440" w:right="359" w:bottom="1440" w:gutter="0" w:footer="0" w:header="0"/>
          <w:type w:val="continuous"/>
        </w:sectPr>
      </w:pPr>
    </w:p>
    <w:p>
      <w:pPr>
        <w:spacing w:after="0" w:line="2" w:lineRule="exact"/>
        <w:rPr>
          <w:sz w:val="20"/>
          <w:szCs w:val="20"/>
          <w:color w:val="auto"/>
        </w:rPr>
      </w:pPr>
    </w:p>
    <w:p>
      <w:pPr>
        <w:ind w:right="180" w:firstLine="647"/>
        <w:spacing w:after="0" w:line="277" w:lineRule="auto"/>
        <w:rPr>
          <w:sz w:val="20"/>
          <w:szCs w:val="20"/>
          <w:color w:val="auto"/>
        </w:rPr>
      </w:pPr>
      <w:r>
        <w:rPr>
          <w:rFonts w:ascii="Arial" w:cs="Arial" w:eastAsia="Arial" w:hAnsi="Arial"/>
          <w:sz w:val="18"/>
          <w:szCs w:val="18"/>
          <w:color w:val="auto"/>
        </w:rPr>
        <w:t>Other assets - related party include a security deposit of €3,350 paid to Ospedale San Raffaele (“OSR”) as security guarantee for the office lease contract. (See Note 13.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obligation</w:t>
      </w:r>
    </w:p>
    <w:p>
      <w:pPr>
        <w:spacing w:after="0" w:line="229" w:lineRule="exact"/>
        <w:rPr>
          <w:sz w:val="20"/>
          <w:szCs w:val="20"/>
          <w:color w:val="auto"/>
        </w:rPr>
      </w:pPr>
    </w:p>
    <w:p>
      <w:pPr>
        <w:ind w:right="40" w:firstLine="647"/>
        <w:spacing w:after="0" w:line="254" w:lineRule="auto"/>
        <w:rPr>
          <w:sz w:val="20"/>
          <w:szCs w:val="20"/>
          <w:color w:val="auto"/>
        </w:rPr>
      </w:pPr>
      <w:r>
        <w:rPr>
          <w:rFonts w:ascii="Arial" w:cs="Arial" w:eastAsia="Arial" w:hAnsi="Arial"/>
          <w:sz w:val="18"/>
          <w:szCs w:val="18"/>
          <w:color w:val="auto"/>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The amount of the obligation at June 30, 2021, and December 31, 2020 was €21,645 and €17,388,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Quotaholders’ and stockholders’ equity</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was an S.r.l., which is an Italian limited liability company similar to a limited liability company in the United States. The Articles of Incorporation, Shareholders’ Agreement and the By-laws of the Company provided for different quotas, which represented the Company’s corporate capital, rather than shares of stock as ownership.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252" w:name="page253"/>
    <w:bookmarkEnd w:id="252"/>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400300" cy="5575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Corporate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S.r.l., the Company’s ownership was called “corporate capital” and “quotas” rather than shares, stock or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capital was divided between the five quotas as summarized below at December 31, 2020:</w:t>
      </w:r>
    </w:p>
    <w:p>
      <w:pPr>
        <w:spacing w:after="0" w:line="221"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b w:val="1"/>
                <w:bCs w:val="1"/>
                <w:color w:val="auto"/>
              </w:rPr>
              <w:t>At December 31,</w:t>
            </w:r>
          </w:p>
        </w:tc>
        <w:tc>
          <w:tcPr>
            <w:tcW w:w="15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Ownership</w:t>
            </w:r>
          </w:p>
        </w:tc>
      </w:tr>
      <w:tr>
        <w:trPr>
          <w:trHeight w:val="24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Quota</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6,886</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4,034</w:t>
            </w: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1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34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37,056</w:t>
            </w:r>
          </w:p>
        </w:tc>
        <w:tc>
          <w:tcPr>
            <w:tcW w:w="18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five (5) quotas:</w:t>
      </w:r>
    </w:p>
    <w:p>
      <w:pPr>
        <w:spacing w:after="0" w:line="225" w:lineRule="exact"/>
        <w:rPr>
          <w:sz w:val="20"/>
          <w:szCs w:val="20"/>
          <w:color w:val="auto"/>
        </w:rPr>
      </w:pPr>
    </w:p>
    <w:p>
      <w:pPr>
        <w:ind w:left="660" w:right="60" w:hanging="328"/>
        <w:spacing w:after="0" w:line="259"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Quota A. Quota A was reserved for certain founders. One of the founders had the right to appoint three (3) board members out of five (5), appoint the Chair from these three (3) persons and appoint one (1) member of the Board of Statutory Auditors. One other founder had the right to appoint two (2) board members out of five (5), appoint two (2) statutory auditors and appoint the Chair of the statutory auditors from the two (2) appointees. Quota A had voting rights.</w:t>
      </w:r>
    </w:p>
    <w:p>
      <w:pPr>
        <w:spacing w:after="0" w:line="18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Quota B. Quota B had no voting rights, the same profit-sharing rights as Quota A and was priced at a nominal amount of €1.00. The Company had historically utilized Quota B for its share-based compensation program offered to board members, employees, and consultants. Quota B was also held by certain co-founders. The Company’s stock options were exercisable into Quota B for past and present board members, employees, and consultants.</w:t>
      </w:r>
    </w:p>
    <w:p>
      <w:pPr>
        <w:spacing w:after="0" w:line="186" w:lineRule="exact"/>
        <w:rPr>
          <w:rFonts w:ascii="Arial" w:cs="Arial" w:eastAsia="Arial" w:hAnsi="Arial"/>
          <w:sz w:val="18"/>
          <w:szCs w:val="18"/>
          <w:color w:val="auto"/>
        </w:rPr>
      </w:pPr>
    </w:p>
    <w:p>
      <w:pPr>
        <w:ind w:left="660" w:right="40" w:hanging="328"/>
        <w:spacing w:after="0" w:line="308" w:lineRule="auto"/>
        <w:tabs>
          <w:tab w:leader="none" w:pos="6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Quota C. Quota C had the right to appoint one (1) member of the Board of Statutory Auditors; specifically, the one (1) that a founder had the right to appoint. Investors received Quota C in the Company’s first funding round (2014/2015) where approximately €10 million was raised.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Quota D. Investors received Quota D in the Company’s second funding round (2017) where approximately €7 million was raised.</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Quota E. Investors received Quota E in the Company’s third funding round (through December 31, 2019) where approximately €14.8 million was raised approximately (€15.1 million gross, net of approximately €0.3 million of financing fees). Investors received Quota E in the Company’s second tranche of the third funding round (through December 31, 2020) where approximately €1.4 million was raised (approximately €1.5 million gross, net of approximately €0.1 million of financing fees).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jc w:val="both"/>
        <w:ind w:left="660" w:hanging="328"/>
        <w:spacing w:after="0" w:line="269"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Quotas A, C, D &amp; E. During a divestiture proceeding (meaning Quotas representing 100% of the corporate capital of the Company) or a dissolution of the Company, Quotas C, D &amp; E all had the same rights with respect to the proceeds of a divestiture, i.e., all three (3) quotas shared the divestiture consideration equally (on a pari passu basis) up to the amount of their investment. If there was any consideration remaining after payment to quotas C, D &amp; E, then quota A was entitled to the amount remaining up to the amount of their investment. If proceeds of a divestiture were less than or equal to €50 million, then any proceeds remaining after payment of quotas A, C, D &amp; E, were to be shared equally among quotas A, C, D &amp; E; however, if proceeds of a divestiture were greater than €50 million, then any proceeds remaining after payment of quotas A, C, D &amp; E, were to be distributed to each quota separately according to a detailed formula specified in the Company’s By-Laws, including quota B. Similar to a divestiture, net profits, if any, were to be distributed in the same manner to quotas A, B, C, D &amp; E, after deducting not less than five (5) percent for a legal reserve (up to where this reserve equals one-fifth of the quota capital). A, C, D, E had equal voting rights and the Company By-laws specify protective provisions for each class of quota for A, C, D &amp; E.</w:t>
      </w:r>
    </w:p>
    <w:p>
      <w:pPr>
        <w:spacing w:after="0" w:line="18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During the six months ended June 30, 2021, two events occurred which together had a significant impact on the Company’s equity:</w:t>
      </w:r>
    </w:p>
    <w:p>
      <w:pPr>
        <w:spacing w:after="0" w:line="225" w:lineRule="exact"/>
        <w:rPr>
          <w:rFonts w:ascii="Arial" w:cs="Arial" w:eastAsia="Arial" w:hAnsi="Arial"/>
          <w:sz w:val="17"/>
          <w:szCs w:val="17"/>
          <w:color w:val="auto"/>
        </w:rPr>
      </w:pPr>
    </w:p>
    <w:p>
      <w:pPr>
        <w:jc w:val="both"/>
        <w:ind w:left="660"/>
        <w:spacing w:after="0" w:line="257" w:lineRule="auto"/>
        <w:rPr>
          <w:rFonts w:ascii="Arial" w:cs="Arial" w:eastAsia="Arial" w:hAnsi="Arial"/>
          <w:sz w:val="17"/>
          <w:szCs w:val="17"/>
          <w:color w:val="auto"/>
        </w:rPr>
      </w:pPr>
      <w:r>
        <w:rPr>
          <w:rFonts w:ascii="Arial" w:cs="Arial" w:eastAsia="Arial" w:hAnsi="Arial"/>
          <w:sz w:val="18"/>
          <w:szCs w:val="18"/>
          <w:color w:val="auto"/>
        </w:rPr>
        <w:t>On April 1, 2021, the Board of Directors resolved to grant to employees and non-employees stock options and accelerate the vesting of other stock options on €715 quota B and €172 quota B were repurchased at nominal value, cancelled, and allocated to the option plan as available for grant by Drs. Naldini and Gentner, leaving a net equity increase of €543 quota B. All quota B ownership has limited rights and carry a par value of €1 per quota. The Corporate Capital amount was € 37,771 (€37,056 corporate capital at December 31, 2020 + €715 exercise of Quota B options before the conversion).</w:t>
      </w:r>
    </w:p>
    <w:p>
      <w:pPr>
        <w:spacing w:after="0" w:line="187"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On May 20, 2021, at a special Quotaholders’ meeting in May 2021, the Quotaholders resolved to convert the Company from an S.r.l. to an S.p.A., which conversion became effective on June 18, 2021. As consequence of the conversion, the Corporate Capital has been converted to ordinary common stock with no par value and it was increased to €50,000 to satisfy the minimum capital requirement to qualify as an S.p.A. This increase was an adjustment from Additional Paid-in Capital to Common stock, no par value.</w:t>
      </w:r>
    </w:p>
    <w:p>
      <w:pPr>
        <w:spacing w:after="0" w:line="187" w:lineRule="exact"/>
        <w:rPr>
          <w:sz w:val="20"/>
          <w:szCs w:val="20"/>
          <w:color w:val="auto"/>
        </w:rPr>
      </w:pPr>
    </w:p>
    <w:p>
      <w:pPr>
        <w:ind w:right="100" w:firstLine="647"/>
        <w:spacing w:after="0" w:line="293" w:lineRule="auto"/>
        <w:rPr>
          <w:sz w:val="20"/>
          <w:szCs w:val="20"/>
          <w:color w:val="auto"/>
        </w:rPr>
      </w:pPr>
      <w:r>
        <w:rPr>
          <w:rFonts w:ascii="Arial" w:cs="Arial" w:eastAsia="Arial" w:hAnsi="Arial"/>
          <w:sz w:val="16"/>
          <w:szCs w:val="16"/>
          <w:color w:val="auto"/>
        </w:rPr>
        <w:t>As a result of the Company conversion, the Corporate Capital was reclassified as ordinary Common Stock no par value, combining the minimum capital amount of €50,000 with the Additional Paid-In Capital for a total of €37,139,431. The outstanding quota of €50,000 before the conversion were all converted into 15 million shares of ordinary common stock no par value after the conversion at the same conversion rate of approximately 300 quota percentage of ownership. All preferences related to the quota classes were terminated and all stockholders now hold ordinary common stock, no par value. All of shares outstanding after the conversion are held in ledger form. The Company adopted a new Article of Association, appointed two new directors (including Mr. Squinto as Chairman) and re-appointed the existing members of the Board of Directors and the existing Board of Statutory Auditors.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jc w:val="both"/>
        <w:ind w:right="120" w:firstLine="647"/>
        <w:spacing w:after="0" w:line="286" w:lineRule="auto"/>
        <w:rPr>
          <w:sz w:val="20"/>
          <w:szCs w:val="20"/>
          <w:color w:val="auto"/>
        </w:rPr>
      </w:pPr>
      <w:r>
        <w:rPr>
          <w:rFonts w:ascii="Arial" w:cs="Arial" w:eastAsia="Arial" w:hAnsi="Arial"/>
          <w:sz w:val="17"/>
          <w:szCs w:val="17"/>
          <w:color w:val="auto"/>
        </w:rPr>
        <w:t>The Company granted options on its Corporate Capital to certain directors, officers, employees, and consultants, as an incentive and as additional compensation prior to the Company’s conversion to an S.p.A. All options converted into Quota B when vested and exercised. All options had an exercise price of €1.00 per quota. Options generally vested over a one-to-three-year period and have been exercised when vested.</w:t>
      </w:r>
    </w:p>
    <w:p>
      <w:pPr>
        <w:spacing w:after="0" w:line="165" w:lineRule="exact"/>
        <w:rPr>
          <w:sz w:val="20"/>
          <w:szCs w:val="20"/>
          <w:color w:val="auto"/>
        </w:rPr>
      </w:pPr>
    </w:p>
    <w:p>
      <w:pPr>
        <w:ind w:right="160" w:firstLine="647"/>
        <w:spacing w:after="0" w:line="279" w:lineRule="auto"/>
        <w:rPr>
          <w:sz w:val="20"/>
          <w:szCs w:val="20"/>
          <w:color w:val="auto"/>
        </w:rPr>
      </w:pPr>
      <w:r>
        <w:rPr>
          <w:rFonts w:ascii="Arial" w:cs="Arial" w:eastAsia="Arial" w:hAnsi="Arial"/>
          <w:sz w:val="17"/>
          <w:szCs w:val="17"/>
          <w:color w:val="auto"/>
        </w:rPr>
        <w:t>At December 31, 2019, there were no options available for grant, as all remaining authorized options were granted in 2019; therefore, no options were granted in 2020. However, in April 2021, €172 of quota B shares were repurchased, cancelled and allocated to the option plan as available for grant. The Board approved new option grants on €169 of quota B and accelerated the vesting of options on €546 quota B and all options were exercised. This totals €715 quota B that were issued and exercised during the six months ended June 30,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00" w:firstLine="647"/>
        <w:spacing w:after="0" w:line="296" w:lineRule="auto"/>
        <w:rPr>
          <w:sz w:val="20"/>
          <w:szCs w:val="20"/>
          <w:color w:val="auto"/>
        </w:rPr>
      </w:pPr>
      <w:r>
        <w:rPr>
          <w:rFonts w:ascii="Arial" w:cs="Arial" w:eastAsia="Arial" w:hAnsi="Arial"/>
          <w:sz w:val="16"/>
          <w:szCs w:val="16"/>
          <w:color w:val="auto"/>
        </w:rPr>
        <w:t>Also, in May 2021 as part of the conversion to an S.p.A., the shareholders adopted a medium-to long-term incentive plan, “Equity Incentive Plan 2021–2025,” (the “Plan”) with the purpose of providing incentive and retention for key officers, directors, employees and consultants with a view to developing the Company’s business over the next few years. The Board of Directors and the Board of Statutory Auditors reviewed a draft of the Plan. The Plan is intended to last four years and will have a maximum of 2,700,000 new ordinary common shares, or 10% of the total outstanding common shares of the Company. No grants were made under the Plan and the Compensation Committee of the Board of Directors will administer the Plan.</w:t>
      </w:r>
    </w:p>
    <w:p>
      <w:pPr>
        <w:spacing w:after="0" w:line="16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June 18, 2021, the date of the Company’s conversion to an S.p.A., all stock options were granted, fully vested, exercised and converted into ordinary common stock with no par value. At June 30, 2021, there were no outstanding stock options.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 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Number of</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 Average</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Contractual 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Aggregate</w:t>
            </w:r>
          </w:p>
        </w:tc>
      </w:tr>
      <w:tr>
        <w:trPr>
          <w:trHeight w:val="237"/>
        </w:trPr>
        <w:tc>
          <w:tcPr>
            <w:tcW w:w="47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Options on Quota</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Intrinsic Value</w:t>
            </w: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Outstanding, vested and expected to vest as of January 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982</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1,056,316</w:t>
            </w:r>
          </w:p>
        </w:tc>
        <w:tc>
          <w:tcPr>
            <w:tcW w:w="80" w:type="dxa"/>
            <w:vAlign w:val="bottom"/>
            <w:shd w:val="clear" w:color="auto" w:fill="CCEEFF"/>
          </w:tcPr>
          <w:p>
            <w:pPr>
              <w:spacing w:after="0"/>
              <w:rPr>
                <w:sz w:val="20"/>
                <w:szCs w:val="20"/>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472,184</w:t>
            </w:r>
          </w:p>
        </w:tc>
        <w:tc>
          <w:tcPr>
            <w:tcW w:w="80" w:type="dxa"/>
            <w:vAlign w:val="bottom"/>
            <w:shd w:val="clear" w:color="auto" w:fill="CCEEFF"/>
          </w:tcPr>
          <w:p>
            <w:pPr>
              <w:spacing w:after="0"/>
              <w:rPr>
                <w:sz w:val="18"/>
                <w:szCs w:val="18"/>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8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188"/>
        </w:trPr>
        <w:tc>
          <w:tcPr>
            <w:tcW w:w="47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Outstanding, vested and expected to vest as of December 31,</w:t>
            </w: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64"/>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584,132</w:t>
            </w:r>
          </w:p>
        </w:tc>
        <w:tc>
          <w:tcPr>
            <w:tcW w:w="80" w:type="dxa"/>
            <w:vAlign w:val="bottom"/>
            <w:shd w:val="clear" w:color="auto" w:fill="CCEEFF"/>
          </w:tcPr>
          <w:p>
            <w:pPr>
              <w:spacing w:after="0"/>
              <w:rPr>
                <w:sz w:val="22"/>
                <w:szCs w:val="22"/>
                <w:color w:val="auto"/>
              </w:rPr>
            </w:pP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Exercisable as of December 31, 2020</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169</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183,831</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Vested and exercised</w:t>
            </w:r>
          </w:p>
        </w:tc>
        <w:tc>
          <w:tcPr>
            <w:tcW w:w="18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715</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777,920</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5"/>
              </w:rPr>
              <w:t>Outstanding, vested and expected to vest as of June 30, 2021</w:t>
            </w: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Exercisable as of June 30, 2021</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share-based compensation expense for the six months ended June 30, 2021 and 2020, is represented by the following table:</w:t>
      </w:r>
    </w:p>
    <w:p>
      <w:pPr>
        <w:spacing w:after="0" w:line="258"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7"/>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37"/>
        </w:trPr>
        <w:tc>
          <w:tcPr>
            <w:tcW w:w="456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Research &amp; development expense - related party</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179,480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163,200</w:t>
            </w:r>
          </w:p>
        </w:tc>
        <w:tc>
          <w:tcPr>
            <w:tcW w:w="60" w:type="dxa"/>
            <w:vAlign w:val="bottom"/>
          </w:tcPr>
          <w:p>
            <w:pPr>
              <w:spacing w:after="0"/>
              <w:rPr>
                <w:sz w:val="18"/>
                <w:szCs w:val="18"/>
                <w:color w:val="auto"/>
              </w:rPr>
            </w:pPr>
          </w:p>
        </w:tc>
      </w:tr>
      <w:tr>
        <w:trPr>
          <w:trHeight w:val="25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w:t>
            </w: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234,955</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66,897</w:t>
            </w:r>
          </w:p>
        </w:tc>
      </w:tr>
      <w:tr>
        <w:trPr>
          <w:trHeight w:val="217"/>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497,104</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230,097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fair value of the options granted during 2021 was €1,088.</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For the periods ended June 30, 2021 and 2020, the Company recorded €497,104 and €230,097, respectively as the fair value of the stock options granted. There was no amount of unrecognized expense at June 30, 2021, since there were no outstanding stock options and approximately €540,000 of unrecognized expense at June 30,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i w:val="1"/>
          <w:iCs w:val="1"/>
          <w:color w:val="auto"/>
        </w:rPr>
        <w:t>Quota B Valuations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fair value of the Quota B underlying the Company’s stock-based compensation grants had historically been determined by the Company’s board of directors, with input from management and third-party valuations. The Company believes that the board of directors has the relevant experience and expertise to determine the fair value of its Quota B, when also securing third-party assistance. Given the absence of a public trading market of the Company’s equity, and in accordance with the American Institute of Certified Public Accountants Practice Aid, Valuation of Privately- Held Company Equity Securities Issued as Compensation, the board of directors exercised reasonable judgment and considered numerous objective and subjective factors to determine the best estimate of the fair value of the Company’s equity at each grant date. These factors include:</w:t>
      </w:r>
    </w:p>
    <w:p>
      <w:pPr>
        <w:spacing w:after="0" w:line="164"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valuations of the Quota B equity performed by third-party specialists;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price of the Company’s equity to third-party, arms-length, sophisticated, and qualified investors;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prices, rights, preferences, and privileges of the Company’s Quota C, D, and E preferred equity classes relative to those of the Company’s equity;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lack of marketability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lack of voting rights of the Quota 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hiring of key personnel and the experience of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Company’s stage of development;</w:t>
      </w:r>
    </w:p>
    <w:p>
      <w:pPr>
        <w:spacing w:after="0" w:line="225"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timing, progress and results of the Company’s pre-clinical studies and clinical trials for the Company’s programs and product candidates; including statements regarding the timing of initiation and completion of trials or studies and related preparatory work, the period during which the results of the trials will become available and the Company’s research and development programs;</w:t>
      </w:r>
    </w:p>
    <w:p>
      <w:pPr>
        <w:spacing w:after="0" w:line="183"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a merger or acquisition of the Company given prevailing market conditions, or other liquidation events;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European, U.S. and global capital market conditions.</w:t>
      </w:r>
    </w:p>
    <w:p>
      <w:pPr>
        <w:spacing w:after="0" w:line="225"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In valuing the Company’s Quota B class of options, the board of directors determined the equity value of the Company’s business using various valuation methods. The board of directors engaged a third-party valuation firm who performed analyses in accordance with the guidance outlined in the American Institute of Certified Public Accountants’ Accounting and Valuation Guide, Valuation of Privately-Held-Company Equity Securities Issued as Compensation. The Company’s option valuations were prepared using an option pricing method (“OPM”), which used market approaches to estimate the Company’s enterprise value.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OPM treats each equity class as a call option on the total equity value of a company, with exercise prices (i.e., breakpoints) based on the value thresholds at which the allocation among the various holders of a company’s securities changes. A discount was considered for Lack of Marketability (“DLOM”), which is an amount or percentage that is deducted from the value in order to reflect the absence of a viable market. The DLOM was then applied to arrive at an indication of value for the option. Also, considered in the valuation was volatility and the fact that the Quota B class of equity did not carry voting rights. The expected volatility used in the OPM is based upon the historical volatility of a number of publicly traded companies in similar stages of clinical development.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6" w:name="page257"/>
    <w:bookmarkEnd w:id="256"/>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8"/>
        <w:spacing w:after="0" w:line="257" w:lineRule="auto"/>
        <w:rPr>
          <w:sz w:val="20"/>
          <w:szCs w:val="20"/>
          <w:color w:val="auto"/>
        </w:rPr>
      </w:pPr>
      <w:r>
        <w:rPr>
          <w:rFonts w:ascii="Arial" w:cs="Arial" w:eastAsia="Arial" w:hAnsi="Arial"/>
          <w:sz w:val="18"/>
          <w:szCs w:val="18"/>
          <w:color w:val="auto"/>
        </w:rPr>
        <w:t>Application of the Company’s approach involved the use of estimates, judgment, and assumptions that are highly complex and subjective, such as those regarding the selection of comparable companies, and the expected timing of an initial public offering (“IPO”) or other liquidity event. Changes in any or all of these estimates and assumptions or the relationships between those assumptions impact the valuations at each valuation date and may have a material impact on the valuation of the Company’s Quota B equity class, and consequently, the Company’s share-based compensation expense could be materially different.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Weighted average shares</w:t>
      </w:r>
    </w:p>
    <w:p>
      <w:pPr>
        <w:spacing w:after="0" w:line="218"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As a result of the Company’s conversion to an S.P.A., the Company was able to calculate both a weighted average and pro forma weighted average number of shares outstanding. The calculation was performed by taking the number of quota outstanding during a given period and weighting them for the number of days that number of quota were outstanding and then converting the quota to common stock using the same conversion that was used at June 18, 2021. The quota carried different rights and privileges, as indicated above, so the Company was not sure how all quota would be treated in a conversion; however, all classes of quota were treated the same. Therefore, the conversion was straight forward. For the six months ended June 30, 2021 and 2020, there was a weighted average of €37,029.65 and €35, 190.54 quota, respectively, which converted into 14,772,610 and 14,038.916 shares of the Company’s common stock, no par value, after the Corporate Capital adjustment.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research and development expenses are a combination of third-party expenses,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525,978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1,541,526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2,067,504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717,905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717,905</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221,900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179,480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401,380</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10,445</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10,445</w:t>
            </w:r>
          </w:p>
        </w:tc>
      </w:tr>
      <w:tr>
        <w:trPr>
          <w:trHeight w:val="25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7"/>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1,478,228</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1,721,006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3,199,234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4"/>
              </w:rPr>
              <w:t>For the Six Months Ended 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46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rPr>
              <w:t>Third Parties</w:t>
            </w: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Related Parties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20"/>
                <w:szCs w:val="20"/>
                <w:color w:val="auto"/>
              </w:rPr>
            </w:pPr>
          </w:p>
        </w:tc>
      </w:tr>
      <w:tr>
        <w:trPr>
          <w:trHeight w:val="21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Consultants &amp; other Services</w:t>
            </w:r>
          </w:p>
        </w:tc>
        <w:tc>
          <w:tcPr>
            <w:tcW w:w="1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383,901</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727,458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1,111,359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Materials &amp; supplies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608,831</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608,831</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155,633</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163,200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318,833</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Travel &amp; entertainment</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31,106</w:t>
            </w:r>
          </w:p>
        </w:tc>
        <w:tc>
          <w:tcPr>
            <w:tcW w:w="12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31,106</w:t>
            </w:r>
          </w:p>
        </w:tc>
      </w:tr>
      <w:tr>
        <w:trPr>
          <w:trHeight w:val="25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1"/>
                <w:szCs w:val="21"/>
                <w:color w:val="auto"/>
              </w:rPr>
            </w:pPr>
          </w:p>
        </w:tc>
      </w:tr>
      <w:tr>
        <w:trPr>
          <w:trHeight w:val="216"/>
        </w:trPr>
        <w:tc>
          <w:tcPr>
            <w:tcW w:w="4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1,181,471</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890,658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2,072,129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Research and development (related party) expenses during the six months ended June 30, 2021, mainly relate to the clinical trial activity done as per the agreement with the San Raffaele Hospital. This trial activity increased significantly from the second half of 2020 both for number of patients enrolled in the trial and the number of patients subsequently dosed. (Also see </w:t>
      </w:r>
      <w:r>
        <w:rPr>
          <w:rFonts w:ascii="Arial" w:cs="Arial" w:eastAsia="Arial" w:hAnsi="Arial"/>
          <w:sz w:val="17"/>
          <w:szCs w:val="17"/>
          <w:b w:val="1"/>
          <w:bCs w:val="1"/>
          <w:i w:val="1"/>
          <w:iCs w:val="1"/>
          <w:color w:val="auto"/>
        </w:rPr>
        <w:t>OSR – San Raffaele Hospital</w:t>
      </w:r>
      <w:r>
        <w:rPr>
          <w:rFonts w:ascii="Arial" w:cs="Arial" w:eastAsia="Arial" w:hAnsi="Arial"/>
          <w:sz w:val="17"/>
          <w:szCs w:val="17"/>
          <w:color w:val="auto"/>
        </w:rPr>
        <w:t xml:space="preserve"> section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Company’s general and administrative expenses are also a combination of third-party and related party expenses, as detailed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258,514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685,039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842,236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11"/>
          </w:tcPr>
          <w:p>
            <w:pPr>
              <w:ind w:left="660"/>
              <w:spacing w:after="0"/>
              <w:rPr>
                <w:sz w:val="20"/>
                <w:szCs w:val="20"/>
                <w:color w:val="auto"/>
              </w:rPr>
            </w:pPr>
            <w:r>
              <w:rPr>
                <w:rFonts w:ascii="Arial" w:cs="Arial" w:eastAsia="Arial" w:hAnsi="Arial"/>
                <w:sz w:val="18"/>
                <w:szCs w:val="18"/>
                <w:b w:val="1"/>
                <w:bCs w:val="1"/>
                <w:color w:val="auto"/>
                <w:w w:val="96"/>
              </w:rPr>
              <w:t>For the Six Months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9"/>
              </w:rPr>
              <w:t>Related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8"/>
              </w:rPr>
              <w:t>Third Parties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Parties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(including share-based)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Accounting, legal &amp; other professional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 &amp; IT related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Facility &amp; insurance related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Consultants &amp; other third parties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247,685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157,200</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404,885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6"/>
          </w:tcPr>
          <w:p>
            <w:pPr>
              <w:spacing w:after="0"/>
              <w:rPr>
                <w:sz w:val="20"/>
                <w:szCs w:val="20"/>
                <w:color w:val="auto"/>
              </w:rPr>
            </w:pPr>
            <w:r>
              <w:rPr>
                <w:rFonts w:ascii="Arial" w:cs="Arial" w:eastAsia="Arial" w:hAnsi="Arial"/>
                <w:sz w:val="18"/>
                <w:szCs w:val="18"/>
                <w:color w:val="auto"/>
                <w:w w:val="91"/>
              </w:rPr>
              <w:t>The Company’s accounts payable to related parties are comprised as follows: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20" w:type="dxa"/>
            <w:vAlign w:val="bottom"/>
            <w:gridSpan w:val="5"/>
          </w:tcPr>
          <w:p>
            <w:pPr>
              <w:ind w:left="980"/>
              <w:spacing w:after="0"/>
              <w:rPr>
                <w:sz w:val="20"/>
                <w:szCs w:val="20"/>
                <w:color w:val="auto"/>
              </w:rPr>
            </w:pPr>
            <w:r>
              <w:rPr>
                <w:rFonts w:ascii="Arial" w:cs="Arial" w:eastAsia="Arial" w:hAnsi="Arial"/>
                <w:sz w:val="18"/>
                <w:szCs w:val="18"/>
                <w:b w:val="1"/>
                <w:bCs w:val="1"/>
                <w:color w:val="auto"/>
              </w:rPr>
              <w:t>At June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4"/>
          </w:tcPr>
          <w:p>
            <w:pPr>
              <w:spacing w:after="0"/>
              <w:rPr>
                <w:sz w:val="20"/>
                <w:szCs w:val="20"/>
                <w:color w:val="auto"/>
              </w:rPr>
            </w:pPr>
            <w:r>
              <w:rPr>
                <w:rFonts w:ascii="Arial" w:cs="Arial" w:eastAsia="Arial" w:hAnsi="Arial"/>
                <w:sz w:val="18"/>
                <w:szCs w:val="18"/>
                <w:b w:val="1"/>
                <w:bCs w:val="1"/>
                <w:color w:val="auto"/>
                <w:w w:val="92"/>
              </w:rPr>
              <w:t>At 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XDG Biomed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5,942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Pierluigi Paracchi</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Naldini</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Genter</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8"/>
                <w:szCs w:val="18"/>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88,392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10,027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Drs. Naldini and Gentner outstanding balances represent the “quotas” reimbursement due to the Company as a result of the quota repurchase.</w:t>
      </w:r>
    </w:p>
    <w:p>
      <w:pPr>
        <w:spacing w:after="0" w:line="24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980" w:top="1440" w:right="759" w:bottom="1440" w:gutter="0" w:footer="0" w:header="0"/>
        </w:sectPr>
      </w:pPr>
    </w:p>
    <w:bookmarkStart w:id="258" w:name="page259"/>
    <w:bookmarkEnd w:id="258"/>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The Company’s accrued expenses to related parties are comprised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2480" w:type="dxa"/>
            <w:vAlign w:val="bottom"/>
            <w:gridSpan w:val="4"/>
          </w:tcPr>
          <w:p>
            <w:pPr>
              <w:ind w:left="920"/>
              <w:spacing w:after="0"/>
              <w:rPr>
                <w:sz w:val="20"/>
                <w:szCs w:val="20"/>
                <w:color w:val="auto"/>
              </w:rPr>
            </w:pPr>
            <w:r>
              <w:rPr>
                <w:rFonts w:ascii="Arial" w:cs="Arial" w:eastAsia="Arial" w:hAnsi="Arial"/>
                <w:sz w:val="18"/>
                <w:szCs w:val="18"/>
                <w:b w:val="1"/>
                <w:bCs w:val="1"/>
                <w:color w:val="auto"/>
              </w:rPr>
              <w:t>At June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w:t>
            </w:r>
          </w:p>
        </w:tc>
      </w:tr>
      <w:tr>
        <w:trPr>
          <w:trHeight w:val="223"/>
        </w:trPr>
        <w:tc>
          <w:tcPr>
            <w:tcW w:w="24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19"/>
                <w:szCs w:val="19"/>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San Raffaele Hospital</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1,309,191</w:t>
            </w:r>
          </w:p>
        </w:tc>
        <w:tc>
          <w:tcPr>
            <w:tcW w:w="60" w:type="dxa"/>
            <w:vAlign w:val="bottom"/>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Pierluigi Paracchi</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Pr>
          <w:p>
            <w:pPr>
              <w:spacing w:after="0"/>
              <w:rPr>
                <w:sz w:val="18"/>
                <w:szCs w:val="18"/>
                <w:color w:val="auto"/>
              </w:rPr>
            </w:pPr>
          </w:p>
        </w:tc>
      </w:tr>
      <w:tr>
        <w:trPr>
          <w:trHeight w:val="249"/>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XDG Biomed</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7"/>
        </w:trPr>
        <w:tc>
          <w:tcPr>
            <w:tcW w:w="24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1,359,191</w:t>
            </w:r>
          </w:p>
        </w:tc>
        <w:tc>
          <w:tcPr>
            <w:tcW w:w="6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No amounts were due and recorded at June 30, 2021 to Mr. Paracchi and XDG Biomed, since their performance bonuses were paid in June 2021.</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has identified the following related parties:</w:t>
      </w:r>
    </w:p>
    <w:p>
      <w:pPr>
        <w:spacing w:after="0" w:line="225" w:lineRule="exact"/>
        <w:rPr>
          <w:sz w:val="20"/>
          <w:szCs w:val="20"/>
          <w:color w:val="auto"/>
        </w:rPr>
      </w:pP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Pierluigi Paracchi (director and co-founder of the Company);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Luigi Naldini (co-founder of the Company and executive scientific advisory board chairman);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Carlo Russo (through XDG Biomed LLC- Chief Medical Officer);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Bernard Rudolph Gentner (co-founder of the Company and member of scientific advisory board);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San Raffaele Hospital (co-founder and main supplier of services).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the nature of the transactions between the Company and these related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Pierluigi Paracchi</w:t>
      </w:r>
    </w:p>
    <w:p>
      <w:pPr>
        <w:spacing w:after="0" w:line="229" w:lineRule="exact"/>
        <w:rPr>
          <w:sz w:val="20"/>
          <w:szCs w:val="20"/>
          <w:color w:val="auto"/>
        </w:rPr>
      </w:pPr>
    </w:p>
    <w:p>
      <w:pPr>
        <w:ind w:right="100" w:firstLine="647"/>
        <w:spacing w:after="0" w:line="296" w:lineRule="auto"/>
        <w:rPr>
          <w:sz w:val="20"/>
          <w:szCs w:val="20"/>
          <w:color w:val="auto"/>
        </w:rPr>
      </w:pPr>
      <w:r>
        <w:rPr>
          <w:rFonts w:ascii="Arial" w:cs="Arial" w:eastAsia="Arial" w:hAnsi="Arial"/>
          <w:sz w:val="16"/>
          <w:szCs w:val="16"/>
          <w:color w:val="auto"/>
        </w:rPr>
        <w:t>Pierluigi Parcchi, former President and Chairman of the Company prior to the conversion, is the Chief Executive Officer as well as co-founder. His annual compensation amounts to of €250,000 plus an annual performance bonus of €50,000, maturing in the period July-June of each year payable after Board of Directors approval. In 2020, the bonus was paid in July 2020. In 2021, the bonus was paid in June 2021. For the six months ended June 30, 2021 and 2020, the Company expensed €150,000 each period, respectively, related to compensation for Mr. Paracchi. At June 30, 2021 and the year ended December 31, 2020, the Company accrued €0 and €25,000, respectively, related to compensation for Mr. Paracchi.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Luigi Naldini/Bernard Rudolph Gentner</w:t>
      </w:r>
    </w:p>
    <w:p>
      <w:pPr>
        <w:spacing w:after="0" w:line="229" w:lineRule="exact"/>
        <w:rPr>
          <w:sz w:val="20"/>
          <w:szCs w:val="20"/>
          <w:color w:val="auto"/>
        </w:rPr>
      </w:pPr>
    </w:p>
    <w:p>
      <w:pPr>
        <w:ind w:right="80" w:firstLine="647"/>
        <w:spacing w:after="0" w:line="255" w:lineRule="auto"/>
        <w:rPr>
          <w:sz w:val="20"/>
          <w:szCs w:val="20"/>
          <w:color w:val="auto"/>
        </w:rPr>
      </w:pPr>
      <w:r>
        <w:rPr>
          <w:rFonts w:ascii="Arial" w:cs="Arial" w:eastAsia="Arial" w:hAnsi="Arial"/>
          <w:sz w:val="18"/>
          <w:szCs w:val="18"/>
          <w:color w:val="auto"/>
        </w:rPr>
        <w:t>Drs. Naldini and Gentner are co-founders of Genenta and part of the SAB – Scientific Advisory Board, with Dr. Naldini as Chairman, and Dr. Gentner as a member. Dr. Naldini has an advisory agreement approved by the Board of Directors and performs the pre-clinical studies for the Company. In particular, the pre- clinical experiments are in solid tumor indications. The last agreement with Dr. Naldini was signed in 2019 and it is still in force. The annual fee is €50,000. During the six months ended June 30, 2020, he billed additional fees for €6,250. For the six months ended June 30, 2021 and 2020, the Company expensed €25,000 and €31,250, respectively, related to Dr. Naldini. At June 30, 2021 and the year ended December 31, 2020, the Company did not accrue anything related to Dr. Naldini.</w:t>
      </w:r>
    </w:p>
    <w:p>
      <w:pPr>
        <w:spacing w:after="0" w:line="192" w:lineRule="exact"/>
        <w:rPr>
          <w:sz w:val="20"/>
          <w:szCs w:val="20"/>
          <w:color w:val="auto"/>
        </w:rPr>
      </w:pPr>
    </w:p>
    <w:p>
      <w:pPr>
        <w:ind w:right="300" w:firstLine="647"/>
        <w:spacing w:after="0" w:line="259" w:lineRule="auto"/>
        <w:rPr>
          <w:sz w:val="20"/>
          <w:szCs w:val="20"/>
          <w:color w:val="auto"/>
        </w:rPr>
      </w:pPr>
      <w:r>
        <w:rPr>
          <w:rFonts w:ascii="Arial" w:cs="Arial" w:eastAsia="Arial" w:hAnsi="Arial"/>
          <w:sz w:val="18"/>
          <w:szCs w:val="18"/>
          <w:color w:val="auto"/>
        </w:rPr>
        <w:t>Dr. Gentner, like Dr. Naldini, oversees pre-clinical research related to the platform technology. In addition, he analyzes clinical biological data. The last agreement with Dr. Gentner, which is still in force, was signed in 2017. His annual fee is €30,000. For the six months ended June 30, 2021 and 2020, the Company expensed €15,000 and €22,950, respectively, related to Dr. Gentner. At June 30, 2021 and the year ended December 31, 2020, the Company did not accrue anything related to Dr. Gentner.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XDG Biomed LLC</w:t>
      </w:r>
    </w:p>
    <w:p>
      <w:pPr>
        <w:spacing w:after="0" w:line="229" w:lineRule="exact"/>
        <w:rPr>
          <w:sz w:val="20"/>
          <w:szCs w:val="20"/>
          <w:color w:val="auto"/>
        </w:rPr>
      </w:pPr>
    </w:p>
    <w:p>
      <w:pPr>
        <w:ind w:right="120" w:firstLine="647"/>
        <w:spacing w:after="0" w:line="272" w:lineRule="auto"/>
        <w:rPr>
          <w:sz w:val="20"/>
          <w:szCs w:val="20"/>
          <w:color w:val="auto"/>
        </w:rPr>
      </w:pPr>
      <w:r>
        <w:rPr>
          <w:rFonts w:ascii="Arial" w:cs="Arial" w:eastAsia="Arial" w:hAnsi="Arial"/>
          <w:sz w:val="17"/>
          <w:szCs w:val="17"/>
          <w:color w:val="auto"/>
        </w:rPr>
        <w:t>This is the LLC of Dr. Carlo Russo. Dr. Russo has a single contract signed by XDG and the Company that has been approved by the Board of Directors and was subject to multiple amendments. In particular, Dr. Russo, via XDG, serves as the Company’s Chief Medical Officer and Head of Development. Dr. Russo is responsible for the clinical development of Temferon™, the Company’s gene therapy platform. The applicable recurring fees are €300,000 per year, plus a performance bonus of €50,000 maturing for the period July-June of each year and payable after Board of Directors approval. In 2020, the bonus was paid in July 2020. In 2021, the bonus was paid in June 2021. For the six months ended June 30, 2021 and 2020, the Company expensed €175,000 and €175,000, respectively, related to XDG Biomed. At June 30, 2021 and the year ended December 31, 2020, the Company accrued €0 and €25,000, respectively, related to XDG Biomed.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OSR – San Raffaele Hospital</w:t>
      </w:r>
    </w:p>
    <w:p>
      <w:pPr>
        <w:spacing w:after="0" w:line="229" w:lineRule="exact"/>
        <w:rPr>
          <w:sz w:val="20"/>
          <w:szCs w:val="20"/>
          <w:color w:val="auto"/>
        </w:rPr>
      </w:pPr>
    </w:p>
    <w:p>
      <w:pPr>
        <w:ind w:right="60" w:firstLine="647"/>
        <w:spacing w:after="0" w:line="301" w:lineRule="auto"/>
        <w:rPr>
          <w:sz w:val="20"/>
          <w:szCs w:val="20"/>
          <w:color w:val="auto"/>
        </w:rPr>
      </w:pPr>
      <w:r>
        <w:rPr>
          <w:rFonts w:ascii="Arial" w:cs="Arial" w:eastAsia="Arial" w:hAnsi="Arial"/>
          <w:sz w:val="16"/>
          <w:szCs w:val="16"/>
          <w:color w:val="auto"/>
        </w:rPr>
        <w:t>San Raffaele Hospital (“OSR”) is a co-founder of the Company, and the Company is a corporate and research spin-off of OSR. At June 30, 2021, OSR held 12.64% of the Company’s common shares.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w:t>
      </w:r>
    </w:p>
    <w:p>
      <w:pPr>
        <w:spacing w:after="0" w:line="225" w:lineRule="exact"/>
        <w:rPr>
          <w:sz w:val="20"/>
          <w:szCs w:val="20"/>
          <w:color w:val="auto"/>
        </w:rPr>
      </w:pPr>
    </w:p>
    <w:p>
      <w:pPr>
        <w:ind w:right="20" w:firstLine="647"/>
        <w:spacing w:after="0" w:line="257" w:lineRule="auto"/>
        <w:rPr>
          <w:sz w:val="20"/>
          <w:szCs w:val="20"/>
          <w:color w:val="auto"/>
        </w:rPr>
      </w:pPr>
      <w:r>
        <w:rPr>
          <w:rFonts w:ascii="Arial" w:cs="Arial" w:eastAsia="Arial" w:hAnsi="Arial"/>
          <w:sz w:val="18"/>
          <w:szCs w:val="18"/>
          <w:color w:val="auto"/>
        </w:rPr>
        <w:t>The Company has a License Agreement with OSR entered in December 2014, for the exclusive use of different patents. In particular, OSR granted the Company an exclusive, world-wide, royalty bearing license under certain technology to conduct research and develop, make, use, import and sell licensed products. The license agreement covers patents and patent applications, as well as proprietary technologies. The Company’s rights to use these patents and patent applications and to utilize the inventions claimed in these licensed patents are subject to the continuation of, and the Company’s compliance with, the terms of the license agreement.</w:t>
      </w:r>
    </w:p>
    <w:p>
      <w:pPr>
        <w:spacing w:after="0" w:line="188"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Based on the preclinical studies carried out by OSR, in particular by its SR-TIGET Institute (San Raffaele Telethon Institute for Gene Therapy), on a specific gene therapy strategy with respect to lympho-hematopoietic indication and/or solid cancer indication, the Company decided to develop a new therapy to treat cancer through a cell and gene therapy strategy. The “Field of Use” as defined in the License Agreement is:</w:t>
      </w:r>
    </w:p>
    <w:p>
      <w:pPr>
        <w:spacing w:after="0" w:line="24" w:lineRule="exact"/>
        <w:rPr>
          <w:sz w:val="20"/>
          <w:szCs w:val="20"/>
          <w:color w:val="auto"/>
        </w:rPr>
      </w:pPr>
    </w:p>
    <w:p>
      <w:pPr>
        <w:ind w:left="1300" w:hanging="320"/>
        <w:spacing w:after="0"/>
        <w:tabs>
          <w:tab w:leader="none" w:pos="1300" w:val="left"/>
        </w:tabs>
        <w:numPr>
          <w:ilvl w:val="0"/>
          <w:numId w:val="151"/>
        </w:numPr>
        <w:rPr>
          <w:rFonts w:ascii="Arial" w:cs="Arial" w:eastAsia="Arial" w:hAnsi="Arial"/>
          <w:sz w:val="36"/>
          <w:szCs w:val="36"/>
          <w:color w:val="auto"/>
          <w:vertAlign w:val="superscript"/>
        </w:rPr>
      </w:pPr>
      <w:r>
        <w:rPr>
          <w:rFonts w:ascii="Arial" w:cs="Arial" w:eastAsia="Arial" w:hAnsi="Arial"/>
          <w:sz w:val="18"/>
          <w:szCs w:val="18"/>
          <w:color w:val="auto"/>
        </w:rPr>
        <w:t>Lympho-Hematopoietic Indication</w:t>
      </w:r>
      <w:r>
        <w:rPr>
          <w:rFonts w:ascii="Arial" w:cs="Arial" w:eastAsia="Arial" w:hAnsi="Arial"/>
          <w:sz w:val="29"/>
          <w:szCs w:val="29"/>
          <w:color w:val="auto"/>
          <w:vertAlign w:val="superscript"/>
        </w:rPr>
        <w:t>1</w:t>
      </w:r>
      <w:r>
        <w:rPr>
          <w:rFonts w:ascii="Arial" w:cs="Arial" w:eastAsia="Arial" w:hAnsi="Arial"/>
          <w:sz w:val="18"/>
          <w:szCs w:val="18"/>
          <w:color w:val="auto"/>
        </w:rPr>
        <w:t>; and,</w:t>
      </w:r>
    </w:p>
    <w:p>
      <w:pPr>
        <w:ind w:left="1300" w:hanging="320"/>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Solid Cancer Indication.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provided for an upfront fee of €250,000 (which was paid in 2015), future option fees are as follows:</w:t>
      </w:r>
    </w:p>
    <w:p>
      <w:pPr>
        <w:spacing w:after="0" w:line="225" w:lineRule="exact"/>
        <w:rPr>
          <w:sz w:val="20"/>
          <w:szCs w:val="20"/>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option fee on the first indication = €1.0 million (subsequently reduced to €0.5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option fee on the second indication = €0.5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option fee on the third indication = €0.3 million;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option fee on any additional indications = no license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99" w:lineRule="exact"/>
        <w:rPr>
          <w:sz w:val="20"/>
          <w:szCs w:val="20"/>
          <w:color w:val="auto"/>
        </w:rPr>
      </w:pPr>
    </w:p>
    <w:p>
      <w:pPr>
        <w:ind w:firstLine="8"/>
        <w:spacing w:after="0" w:line="194" w:lineRule="auto"/>
        <w:tabs>
          <w:tab w:leader="none" w:pos="120" w:val="left"/>
        </w:tabs>
        <w:numPr>
          <w:ilvl w:val="0"/>
          <w:numId w:val="153"/>
        </w:numPr>
        <w:rPr>
          <w:rFonts w:ascii="Arial" w:cs="Arial" w:eastAsia="Arial" w:hAnsi="Arial"/>
          <w:sz w:val="30"/>
          <w:szCs w:val="30"/>
          <w:color w:val="auto"/>
          <w:vertAlign w:val="superscript"/>
        </w:rPr>
      </w:pPr>
      <w:r>
        <w:rPr>
          <w:rFonts w:ascii="Arial" w:cs="Arial" w:eastAsia="Arial" w:hAnsi="Arial"/>
          <w:sz w:val="18"/>
          <w:szCs w:val="18"/>
          <w:color w:val="auto"/>
        </w:rPr>
        <w:t>The Company later amended the License agreement focusing on GBM options. The TEM-MM option fee has never been exercised and instead the related research was abandoned in early 2021.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120" w:firstLine="647"/>
        <w:spacing w:after="0" w:line="277" w:lineRule="auto"/>
        <w:rPr>
          <w:sz w:val="20"/>
          <w:szCs w:val="20"/>
          <w:color w:val="auto"/>
        </w:rPr>
      </w:pPr>
      <w:r>
        <w:rPr>
          <w:rFonts w:ascii="Arial" w:cs="Arial" w:eastAsia="Arial" w:hAnsi="Arial"/>
          <w:sz w:val="18"/>
          <w:szCs w:val="18"/>
          <w:color w:val="auto"/>
        </w:rPr>
        <w:t>In addition, the Company would be obligated make payments on milestones depending on the Field of Use (as defined in the agreement) and pay royalties of 4% of net sales of each Licensed Product (as defined in the agreement).</w:t>
      </w:r>
    </w:p>
    <w:p>
      <w:pPr>
        <w:spacing w:after="0" w:line="170" w:lineRule="exact"/>
        <w:rPr>
          <w:sz w:val="20"/>
          <w:szCs w:val="20"/>
          <w:color w:val="auto"/>
        </w:rPr>
      </w:pPr>
    </w:p>
    <w:p>
      <w:pPr>
        <w:ind w:right="60" w:firstLine="647"/>
        <w:spacing w:after="0" w:line="296" w:lineRule="auto"/>
        <w:rPr>
          <w:sz w:val="20"/>
          <w:szCs w:val="20"/>
          <w:color w:val="auto"/>
        </w:rPr>
      </w:pPr>
      <w:r>
        <w:rPr>
          <w:rFonts w:ascii="Arial" w:cs="Arial" w:eastAsia="Arial" w:hAnsi="Arial"/>
          <w:sz w:val="16"/>
          <w:szCs w:val="16"/>
          <w:color w:val="auto"/>
        </w:rPr>
        <w:t>In connection to the License Agreement, the Company engaged OSR to provide certain research activities regarding the Licensed Products in the Field of Use, based on a mutually agreed study plan and utilizing the extensive resources at OSR. (See Note 13. Commitments and contingencies.) In consideration of the research activities provided by OSR, the Company agreed to pay scientific collaboration research fees in advance. In December 2014, the Company and OSR signed a Scientific Collaboration Agreement and subsequently modified the Agreement with Research Addenda 1, 2 and 3 in 2016, 2017 and 2018, respectively. During the six months ended June 30, 2021 and 2020, there were no costs incurred for the above activities.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protocol TEM-GBM_001received approval by national Competent Authorities in September 2018 and recruited the first patient in April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#2</w:t>
      </w:r>
    </w:p>
    <w:p>
      <w:pPr>
        <w:spacing w:after="0" w:line="225" w:lineRule="exact"/>
        <w:rPr>
          <w:sz w:val="20"/>
          <w:szCs w:val="20"/>
          <w:color w:val="auto"/>
        </w:rPr>
      </w:pPr>
    </w:p>
    <w:p>
      <w:pPr>
        <w:ind w:right="100" w:firstLine="647"/>
        <w:spacing w:after="0" w:line="288" w:lineRule="auto"/>
        <w:rPr>
          <w:sz w:val="20"/>
          <w:szCs w:val="20"/>
          <w:color w:val="auto"/>
        </w:rPr>
      </w:pPr>
      <w:r>
        <w:rPr>
          <w:rFonts w:ascii="Arial" w:cs="Arial" w:eastAsia="Arial" w:hAnsi="Arial"/>
          <w:sz w:val="16"/>
          <w:szCs w:val="16"/>
          <w:color w:val="auto"/>
        </w:rPr>
        <w:t>In February 2019, the Company and OSR entered into Amendment #2 of the License Agreement to conduct a clinical trial according to the protocol TEM-GBM_001 and EudraCT 2018-001404-11 entitled: “A phase I/IIa dose escalation study evaluating the safety and efficacy of autologous CD34+ enriched hematopoietic progenitor cells genetically modified with a lentiviral vector encoding for the human interferon-α2 in patients with GBMwho have an unmethylated O-6-methylguanine-DNA methyltransferase gene promoter.” In Amendment #2, the Company and OSR also revised the license fee requirement for the first Solid Cancer indication (GBM). In relation to the GBM trial, the Company and OSR agreed that the Company would be obligated to pay OSR the €1.0 million Option Fee only in the event that the Company was able to dose its tenth patient. Under this Amendment, the Company is also obligated to pay for the costs of the study-related procedures performed on the patients recruited in the trial, according to periodic study reports delivered by OSR. The first GBM patient was recruited in April 2019 and related clinical activity costs were recorded by the Company. During the six months ended June 30, 2021, the comparable costs incurred and expensed for the GBM program were approximately €0.8 million. During the six months ended June 30, 2020, the comparable costs incurred and expensed for the GBM program were approximately €0.5 million.</w:t>
      </w:r>
    </w:p>
    <w:p>
      <w:pPr>
        <w:spacing w:after="0" w:line="168" w:lineRule="exact"/>
        <w:rPr>
          <w:sz w:val="20"/>
          <w:szCs w:val="20"/>
          <w:color w:val="auto"/>
        </w:rPr>
      </w:pPr>
    </w:p>
    <w:p>
      <w:pPr>
        <w:ind w:right="340" w:firstLine="647"/>
        <w:spacing w:after="0" w:line="277" w:lineRule="auto"/>
        <w:rPr>
          <w:sz w:val="20"/>
          <w:szCs w:val="20"/>
          <w:color w:val="auto"/>
        </w:rPr>
      </w:pPr>
      <w:r>
        <w:rPr>
          <w:rFonts w:ascii="Arial" w:cs="Arial" w:eastAsia="Arial" w:hAnsi="Arial"/>
          <w:sz w:val="18"/>
          <w:szCs w:val="18"/>
          <w:color w:val="auto"/>
        </w:rPr>
        <w:t>Under this Amendment, the Company is obligated to cover the costs of the study-related procedures performed on the patients recruited in the Trial, according to periodic study reports delivered by OSR.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Amendment #3</w:t>
      </w:r>
    </w:p>
    <w:p>
      <w:pPr>
        <w:spacing w:after="0" w:line="225" w:lineRule="exact"/>
        <w:rPr>
          <w:sz w:val="20"/>
          <w:szCs w:val="20"/>
          <w:color w:val="auto"/>
        </w:rPr>
      </w:pPr>
    </w:p>
    <w:p>
      <w:pPr>
        <w:ind w:firstLine="647"/>
        <w:spacing w:after="0" w:line="255" w:lineRule="auto"/>
        <w:rPr>
          <w:sz w:val="20"/>
          <w:szCs w:val="20"/>
          <w:color w:val="auto"/>
        </w:rPr>
      </w:pPr>
      <w:r>
        <w:rPr>
          <w:rFonts w:ascii="Arial" w:cs="Arial" w:eastAsia="Arial" w:hAnsi="Arial"/>
          <w:sz w:val="18"/>
          <w:szCs w:val="18"/>
          <w:color w:val="auto"/>
        </w:rPr>
        <w:t>In December 2020, the Company and OSR entered into Amendment #3 of the License Agreement: The initial €1.0 million payment in the event of the tenth patient dosed in the GBM trial was reduced to €0.5 million, in exchange for the Company’s agreement to exercise a second option for an additional Solid Cancer indication (possibly Liver Cancer) and an agreement to execute a Sponsored Research Agreement in February 2021. Note: If the Company is not be able to obtain approval from the competent authorities to initiate a human clinical trial on or before the expiration of nine months (from December 2020), the Company has the right, at no additional costs, to convert this second solid cancer option to an “Alternate Indication,” i.e., an indication other than liver cancer.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summary, the Amendment #3 formalized the new arrangement as follows:</w:t>
      </w:r>
    </w:p>
    <w:p>
      <w:pPr>
        <w:spacing w:after="0" w:line="225" w:lineRule="exact"/>
        <w:rPr>
          <w:sz w:val="20"/>
          <w:szCs w:val="20"/>
          <w:color w:val="auto"/>
        </w:rPr>
      </w:pPr>
    </w:p>
    <w:p>
      <w:pPr>
        <w:ind w:left="980" w:right="540" w:hanging="324"/>
        <w:spacing w:after="0" w:line="258" w:lineRule="auto"/>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exercise of option fee on the first solid cancer indication = €0.5 million (accrued in 2019, since it was considered probable, and paid in December 2020); plus,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commitment to enter into a Sponsored Research Agreement by February 2021;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exercise of option fee on the second indication = €0.5 million (accrued at December 31, 2020 and was paid on June 30,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1" w:name="page262"/>
    <w:bookmarkEnd w:id="261"/>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80" w:firstLine="647"/>
        <w:spacing w:after="0" w:line="301" w:lineRule="auto"/>
        <w:rPr>
          <w:sz w:val="20"/>
          <w:szCs w:val="20"/>
          <w:color w:val="auto"/>
        </w:rPr>
      </w:pPr>
      <w:r>
        <w:rPr>
          <w:rFonts w:ascii="Arial" w:cs="Arial" w:eastAsia="Arial" w:hAnsi="Arial"/>
          <w:sz w:val="16"/>
          <w:szCs w:val="16"/>
          <w:color w:val="auto"/>
        </w:rPr>
        <w:t>At June 30, 2021, no milestones were achieved related to any indication, as provided by License Agreement and subsequent amendments, therefore, no payments were due to OSR. The Company has paid €0.75 million to OSR, since inception under the license agreement. No events have occurred or have been achieved (and none are considered probable) to trigger any contingent payments under the license agreement at December 31, 2020. For information relating to the contingency payments or future milestones for these indications, please refer to Note 13 - Commitments and Contingencies.</w:t>
      </w:r>
    </w:p>
    <w:p>
      <w:pPr>
        <w:spacing w:after="0" w:line="157" w:lineRule="exact"/>
        <w:rPr>
          <w:sz w:val="20"/>
          <w:szCs w:val="20"/>
          <w:color w:val="auto"/>
        </w:rPr>
      </w:pPr>
    </w:p>
    <w:p>
      <w:pPr>
        <w:ind w:right="60" w:firstLine="647"/>
        <w:spacing w:after="0" w:line="255" w:lineRule="auto"/>
        <w:rPr>
          <w:sz w:val="20"/>
          <w:szCs w:val="20"/>
          <w:color w:val="auto"/>
        </w:rPr>
      </w:pPr>
      <w:r>
        <w:rPr>
          <w:rFonts w:ascii="Arial" w:cs="Arial" w:eastAsia="Arial" w:hAnsi="Arial"/>
          <w:sz w:val="18"/>
          <w:szCs w:val="18"/>
          <w:color w:val="auto"/>
        </w:rPr>
        <w:t>OSR may terminate the Company’s rights as to certain fields of use for the Company’s failure to develop (a) with respect to a solid cancer indication, upon third anniversary of the date the Company exercised such option, if the Company has not filed an IND with respect to such optioned solid cancer indication specifically, as to GBM, the Company is required to file an IND regarding Temferon for GBM prior to February 2022, or (b) with respect to a lympho-hematopoietic indication, on the earlier of (i) the fifth anniversary of the initiation (first patient dosed) of the first human clinical trial for a licensed product in any lympho hematopoietic indication or solid cancer indication if a patient has not been dosed with a licensed product in a Phase 3 clinical trial and (ii) September 1, 2025.</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six months ended June 30, 2021, the Company recorded expenses for OSR for clinical trial in the amount of approximately €1.3 million, while during the six months ended June 30, 2020, the expenses for clinical trials was approximately €0.5 million. The difference between the two periods is due to the increase of the trial activity in the second half of 2020, since a greater number of patients were included in the trial and subsequently dosed.</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At June 30, 2021, the total amount of expenses for the OSR clinical trial activity amounted to €8.1 million and it includes the cost for the exercise of the first and the second Solid Cancer indication Option fee.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Funding Agreement</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In March 2019, the Company and OSR entered a Research Funding Agreement to conduct a clinical trial according to the multiple myeloma protocol, TEM-MM-101 and EudraCT 2018-001741-14, entitled “A Phase I/II dose escalation study evaluating safety and activity of autologous CD34+ enriched hematopoietic progenitor cells genetically modified with a lentiviral vector encoding for the human interferon-α2 in multiple myeloma patients with early relapse after intensive front-line therapy.” This agreement required OSR to perform certain clinical procedures and exploratory analyses on the study population, as per the protocol approved by the relevant competent authorities. The Company was required to fund the costs of the study-related procedures performed on patients recruited in the Trial, according to periodic study reports delivered by OSR. TEM-MM-101 received approval by national Competent Authorities in November 2018 and the first TEM-MM-101 trial patient was enrolled in August 2019.</w:t>
      </w:r>
    </w:p>
    <w:p>
      <w:pPr>
        <w:spacing w:after="0" w:line="17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six months ended June 30, 2021 and 2020, the Company expensed €0 and approximately €65,000, respectively, for the analysis performed by OSR for multiple myeloma and there were no clinical procedures performed by OSR’s Hematology and Bone Transplant Unit for multiple myeloma. The Company discontinued the multiple myeloma program in early 2021 due to the relatively small number of eligible patients, and the highly competitive MM landscape. (See Note 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Research Agreement (SRA)</w:t>
      </w:r>
    </w:p>
    <w:p>
      <w:pPr>
        <w:spacing w:after="0" w:line="225" w:lineRule="exact"/>
        <w:rPr>
          <w:sz w:val="20"/>
          <w:szCs w:val="20"/>
          <w:color w:val="auto"/>
        </w:rPr>
      </w:pPr>
    </w:p>
    <w:p>
      <w:pPr>
        <w:ind w:right="80" w:firstLine="647"/>
        <w:spacing w:after="0" w:line="286" w:lineRule="auto"/>
        <w:rPr>
          <w:sz w:val="20"/>
          <w:szCs w:val="20"/>
          <w:color w:val="auto"/>
        </w:rPr>
      </w:pPr>
      <w:r>
        <w:rPr>
          <w:rFonts w:ascii="Arial" w:cs="Arial" w:eastAsia="Arial" w:hAnsi="Arial"/>
          <w:sz w:val="17"/>
          <w:szCs w:val="17"/>
          <w:color w:val="auto"/>
        </w:rPr>
        <w:t>As stated above, in exchange for a reduction in the first Solid Cancer indication option fee from €1.0 million to €0.5 million, the Company agreed to enter into a Sponsored Research Agreement (SRA). The Company and OSR executed the agreement in February 2021. Under the SRA, sponsored research activities will be conducted for between €0.5 million and €1.0 million (minimum commitment €0.5 million). The activities relate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left="1620" w:right="320" w:hanging="316"/>
        <w:spacing w:after="0" w:line="277" w:lineRule="auto"/>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Research 1: Additional preclinical mouse model studies directed to identify Temferon effectors cells (transduced Tie2-expressing cells) and to test Temferon in combination with CAR-T in a GBM mouse model; and,</w:t>
      </w:r>
    </w:p>
    <w:p>
      <w:pPr>
        <w:spacing w:after="0" w:line="170" w:lineRule="exact"/>
        <w:rPr>
          <w:rFonts w:ascii="Arial" w:cs="Arial" w:eastAsia="Arial" w:hAnsi="Arial"/>
          <w:sz w:val="18"/>
          <w:szCs w:val="18"/>
          <w:color w:val="auto"/>
        </w:rPr>
      </w:pPr>
    </w:p>
    <w:p>
      <w:pPr>
        <w:ind w:left="1620" w:hanging="316"/>
        <w:spacing w:after="0" w:line="263" w:lineRule="auto"/>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Research 2: Additional exploratory analyses, including single cell sequencing, to be conducted on samples collected from patients belonging to TEM-GBM_001 clinical trial aimed to deepen Temferon mechanism of action and get a broader insight on its biological activity in humans.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six months ended June 30, 2021, the Company paid and expensed €375,000 related to the SRA. At June 30, 2021, the Company accrued €125,000 related to the SRA.</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a non-cancelable lease agreement for office space in January 2020.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right="300" w:firstLine="647"/>
        <w:spacing w:after="0" w:line="293" w:lineRule="auto"/>
        <w:rPr>
          <w:sz w:val="20"/>
          <w:szCs w:val="20"/>
          <w:color w:val="auto"/>
        </w:rPr>
      </w:pPr>
      <w:r>
        <w:rPr>
          <w:rFonts w:ascii="Arial" w:cs="Arial" w:eastAsia="Arial" w:hAnsi="Arial"/>
          <w:sz w:val="16"/>
          <w:szCs w:val="16"/>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 obligations by contractual maturity at June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8"/>
              </w:rPr>
              <w:t>Payments by period</w:t>
            </w: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6"/>
              </w:rPr>
              <w:t>Less than a</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More than 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year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w w:val="88"/>
              </w:rPr>
              <w:t>4 to 5 years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years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OSR operating leases and office rent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26,800</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180" w:type="dxa"/>
            <w:vAlign w:val="bottom"/>
          </w:tcPr>
          <w:p>
            <w:pPr>
              <w:spacing w:after="0"/>
              <w:rPr>
                <w:sz w:val="20"/>
                <w:szCs w:val="20"/>
                <w:color w:val="auto"/>
              </w:rPr>
            </w:pPr>
            <w:r>
              <w:rPr>
                <w:rFonts w:ascii="Arial" w:cs="Arial" w:eastAsia="Arial" w:hAnsi="Arial"/>
                <w:sz w:val="18"/>
                <w:szCs w:val="18"/>
                <w:color w:val="auto"/>
              </w:rPr>
              <w:t>AGC</w:t>
            </w:r>
          </w:p>
        </w:tc>
        <w:tc>
          <w:tcPr>
            <w:tcW w:w="2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40,250</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8,050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32,200</w:t>
            </w:r>
          </w:p>
        </w:tc>
        <w:tc>
          <w:tcPr>
            <w:tcW w:w="1020" w:type="dxa"/>
            <w:vAlign w:val="bottom"/>
          </w:tcPr>
          <w:p>
            <w:pPr>
              <w:spacing w:after="0"/>
              <w:rPr>
                <w:sz w:val="20"/>
                <w:szCs w:val="20"/>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04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59,000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CMOs and CROs agreements</w:t>
      </w:r>
    </w:p>
    <w:p>
      <w:pPr>
        <w:spacing w:after="0" w:line="225" w:lineRule="exact"/>
        <w:rPr>
          <w:sz w:val="20"/>
          <w:szCs w:val="20"/>
          <w:color w:val="auto"/>
        </w:rPr>
      </w:pPr>
    </w:p>
    <w:p>
      <w:pPr>
        <w:ind w:right="40" w:firstLine="647"/>
        <w:spacing w:after="0" w:line="296" w:lineRule="auto"/>
        <w:rPr>
          <w:sz w:val="20"/>
          <w:szCs w:val="20"/>
          <w:color w:val="auto"/>
        </w:rPr>
      </w:pPr>
      <w:r>
        <w:rPr>
          <w:rFonts w:ascii="Arial" w:cs="Arial" w:eastAsia="Arial" w:hAnsi="Arial"/>
          <w:sz w:val="16"/>
          <w:szCs w:val="16"/>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OSR - San Raffaele Hospital</w:t>
      </w:r>
    </w:p>
    <w:p>
      <w:pPr>
        <w:spacing w:after="0" w:line="225" w:lineRule="exact"/>
        <w:rPr>
          <w:sz w:val="20"/>
          <w:szCs w:val="20"/>
          <w:color w:val="auto"/>
        </w:rPr>
      </w:pPr>
    </w:p>
    <w:p>
      <w:pPr>
        <w:ind w:firstLine="647"/>
        <w:spacing w:after="0" w:line="272" w:lineRule="auto"/>
        <w:rPr>
          <w:sz w:val="20"/>
          <w:szCs w:val="20"/>
          <w:color w:val="auto"/>
        </w:rPr>
      </w:pPr>
      <w:r>
        <w:rPr>
          <w:rFonts w:ascii="Arial" w:cs="Arial" w:eastAsia="Arial" w:hAnsi="Arial"/>
          <w:sz w:val="17"/>
          <w:szCs w:val="17"/>
          <w:color w:val="auto"/>
        </w:rPr>
        <w:t>The license agreement in place with OSR provides milestone payments and royalties. The OSR agreements are non-cancelable, except in the case of breach of contract, and include total potential milestone payments of up to €10 million related to the Lympho-Hematopoietic Indication of each Licensed Product, and up to €53 million related to each Solid Cancer indication (as defined in the agreement); however, starting with the fifth Solid Cancer indication, the first two related milestone payments totaling €7.0 million, are reduced to €3.5 million. The milestones relate to certain events such as, dosing of the first patient with a licensed product in Phase II and III of the trial, MAA (marketing authorization application) and NDA (new-drug application) approval of the licensed product, the first commercial sale of the product in the US and major European countries, and annual sales for the licensed product exceeding a certain amount in different territories.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Multiple myeloma (MM)</w:t>
      </w:r>
    </w:p>
    <w:p>
      <w:pPr>
        <w:spacing w:after="0" w:line="225" w:lineRule="exact"/>
        <w:rPr>
          <w:sz w:val="20"/>
          <w:szCs w:val="20"/>
          <w:color w:val="auto"/>
        </w:rPr>
      </w:pPr>
    </w:p>
    <w:p>
      <w:pPr>
        <w:jc w:val="both"/>
        <w:ind w:right="40" w:firstLine="647"/>
        <w:spacing w:after="0" w:line="263" w:lineRule="auto"/>
        <w:rPr>
          <w:sz w:val="20"/>
          <w:szCs w:val="20"/>
          <w:color w:val="auto"/>
        </w:rPr>
      </w:pPr>
      <w:r>
        <w:rPr>
          <w:rFonts w:ascii="Arial" w:cs="Arial" w:eastAsia="Arial" w:hAnsi="Arial"/>
          <w:sz w:val="18"/>
          <w:szCs w:val="18"/>
          <w:color w:val="auto"/>
        </w:rPr>
        <w:t>As discussed in Note 12, the Company’s MM program was discontinued in early 2021 due to the relatively small number of eligible patients, and the highly competitive MM landscape. No milestones were achieved with respect to the MM program, and as such no contingent payments were due under the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Glioblastoma multiforme (GBM)</w:t>
      </w:r>
    </w:p>
    <w:p>
      <w:pPr>
        <w:spacing w:after="0" w:line="225" w:lineRule="exact"/>
        <w:rPr>
          <w:sz w:val="20"/>
          <w:szCs w:val="20"/>
          <w:color w:val="auto"/>
        </w:rPr>
      </w:pPr>
    </w:p>
    <w:p>
      <w:pPr>
        <w:ind w:right="300" w:firstLine="647"/>
        <w:spacing w:after="0" w:line="277" w:lineRule="auto"/>
        <w:rPr>
          <w:sz w:val="20"/>
          <w:szCs w:val="20"/>
          <w:color w:val="auto"/>
        </w:rPr>
      </w:pPr>
      <w:r>
        <w:rPr>
          <w:rFonts w:ascii="Arial" w:cs="Arial" w:eastAsia="Arial" w:hAnsi="Arial"/>
          <w:sz w:val="18"/>
          <w:szCs w:val="18"/>
          <w:color w:val="auto"/>
        </w:rPr>
        <w:t>As discussed in Note 12, in December 2020, the Company had one indication ongoing, GBM. The Company’s contingent liability for this first solid cancer indication potentially payable to OSR was €53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Liver cancer (LC)</w:t>
      </w:r>
    </w:p>
    <w:p>
      <w:pPr>
        <w:spacing w:after="0" w:line="225" w:lineRule="exact"/>
        <w:rPr>
          <w:sz w:val="20"/>
          <w:szCs w:val="20"/>
          <w:color w:val="auto"/>
        </w:rPr>
      </w:pPr>
    </w:p>
    <w:p>
      <w:pPr>
        <w:ind w:right="100" w:firstLine="647"/>
        <w:spacing w:after="0" w:line="275" w:lineRule="auto"/>
        <w:rPr>
          <w:sz w:val="20"/>
          <w:szCs w:val="20"/>
          <w:color w:val="auto"/>
        </w:rPr>
      </w:pPr>
      <w:r>
        <w:rPr>
          <w:rFonts w:ascii="Arial" w:cs="Arial" w:eastAsia="Arial" w:hAnsi="Arial"/>
          <w:sz w:val="17"/>
          <w:szCs w:val="17"/>
          <w:color w:val="auto"/>
        </w:rPr>
        <w:t>In relation to the option exercised by the Company for the second solid cancer indication, the Company and OSR agreed that the payment due in relation to the “First patient dosed with a Licensed Product in Phase I/II Clinical Trial,” as stated in the agreement, was reduced to €0.5 million rather than €1.0 million. The reduction applied to the first license fee payment only. All the additional contingent payments, other than the last contingent payment of €5.0 million, remained a contingent liability of the Company and potentially payable to OSR. Therefore, for the second solid cancer indication (liver cancer), the total potential commitment of possible contingent payments could amount to €47.5 million.</w:t>
      </w:r>
    </w:p>
    <w:p>
      <w:pPr>
        <w:spacing w:after="0" w:line="176" w:lineRule="exact"/>
        <w:rPr>
          <w:sz w:val="20"/>
          <w:szCs w:val="20"/>
          <w:color w:val="auto"/>
        </w:rPr>
      </w:pPr>
    </w:p>
    <w:p>
      <w:pPr>
        <w:ind w:right="200" w:firstLine="647"/>
        <w:spacing w:after="0" w:line="286" w:lineRule="auto"/>
        <w:rPr>
          <w:sz w:val="20"/>
          <w:szCs w:val="20"/>
          <w:color w:val="auto"/>
        </w:rPr>
      </w:pPr>
      <w:r>
        <w:rPr>
          <w:rFonts w:ascii="Arial" w:cs="Arial" w:eastAsia="Arial" w:hAnsi="Arial"/>
          <w:sz w:val="17"/>
          <w:szCs w:val="17"/>
          <w:color w:val="auto"/>
        </w:rPr>
        <w:t>The agreements also include a €7.8 million commitment related to the development and manufacturing of licensed products, of which the Company had incurred €1.5 million of expense during the six months ended June 30, 2020 compared to €2.6 million of cumulative expense for 2019 and prior years. The Company has incurred approximately €682,000 during the six months ended June 30, 2021.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AGC Biologics (formerly MolMed)</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AGC Biologics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 In February 2020, the Company entered into Amendment 4 to the Framework Service Agreement with AGC Biologics related to production and testing of the Company’s GBM trials, for a total amount of €360,000. In March 2020, the Company entered into Amendment 5 to the Framework Service Agreement with AGC Biologics related to production and testing of the Company’s GBM trials, for a total amount of €259,000. In March 2020, the Company entered into Amendment 6 to the Framework Service Agreement with ACG Biologics related to production and testing of the Company’s GBM trials, for a total amount of €41,000. In August 2020, the Company entered into Amendment 7 to the Framework Service Agreement with ACG Biologics related to production and testing of the Company’s GBM trials, which provides the Company with an option to accelerate GBM production as stated in Amendment 5 at a 20% cost increase. In October 2020, the Company entered into Amendment 8 to the Framework Service Agreement with ACG Biologics related to production and testing of the Company’s GBM trials, for a total amount of €17,000.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4" w:name="page265"/>
    <w:bookmarkEnd w:id="264"/>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ind w:right="60" w:firstLine="647"/>
        <w:spacing w:after="0" w:line="286" w:lineRule="auto"/>
        <w:rPr>
          <w:sz w:val="20"/>
          <w:szCs w:val="20"/>
          <w:color w:val="auto"/>
        </w:rPr>
      </w:pPr>
      <w:r>
        <w:rPr>
          <w:rFonts w:ascii="Arial" w:cs="Arial" w:eastAsia="Arial" w:hAnsi="Arial"/>
          <w:sz w:val="17"/>
          <w:szCs w:val="17"/>
          <w:color w:val="auto"/>
        </w:rPr>
        <w:t>In the early 2020, the Company and AGC amended the Master Service Agreement for the fourth time to regulate some new production activities for which the total estimated budget amounts to €0.3 million. For the six months ended June 30, 2021, the Company is committed to pay a total of €40,250 relating to various stability timepoints, which will be realized and come due at different times through 2025.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Adaptive Biotechnologies</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The Adaptive Biotechnologies agreement on exploratory analyses for trial endpoints is non-cancelable, except in the case of breach of contract, and carries a total cost for the entire trial of €0.2 million, of which approximately €20,000 and €20,000 have been incurred for the six months ended June 30,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Biogazelle NV</w:t>
      </w:r>
    </w:p>
    <w:p>
      <w:pPr>
        <w:spacing w:after="0" w:line="225"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The Biogazelle agreement on exploratory analyses for trial endpoints is a five-year agreement that can be withdrawn by each party with a notice period of six months, or in case of breach. The Company shall compensate Biogazelle for any and all work (including but not limited to work-in-progress) performed or commenced prior to the effective date of termination or expiration and reimburse Biogazelle for any and all costs, expenses and consumables (including non-refundable) approved by the Company and incurred by Biogazelle prior to the effective date of termination or expiration of this agreement. For the six months ended June 30, 2021 and 2020, the Company had incurred and paid approximately €14,000 and €12,000, respectively. At June 30, 2021, there were no future commitment to Biogazelle identified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On January 1, 2020, the Company began a six-year non-cancelable lease agreement for office space with OSR. Withdrawal is allowed from the fourth year with a notice of 12 months. Since the annual rent amounts to €13,400, at June 30, 2021, outstanding minimum payments amount to €33,500 until January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The Company is not currently party to any material legal proceedings. At each reporting date, the Company evaluates whether or not a potential loss amount or a potential range of loss is probable and reasonably estimable under the provisions of ASC 450, Contingencies. The Company was notified by Theravectys of the possible infringement by the Company of Theravectys’ exclusive license to patents no. EP 1071804, EP 1224314, and EP 1222300 granted from the owner of the patents Institut Pasteur. Each of these patents is now expired, having each reached the end of it its patent term on April 23, 2019 for EP 1071804 and October 10, 2020 for EP 1224314, and EP 1222300. The Company considered the situation and determined that the likelihood of a material adverse effect on its business is remote. To date, the Company has not engaged in any such discussions with Theravectys nor has the Company received any further communication from Theravectys. The Company expenses as incurred the costs related to its legal proceedings, if 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5" w:name="page266"/>
    <w:bookmarkEnd w:id="265"/>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5575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575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March 11, 2020, the World health Organization declared the outbreak of a coronavirus (COVID-19) pandemic. Significant uncertainties may arise with respect to potential shutdowns of operations or government orders to cease activities due to emergency declarations, inability to operate, or employee shortages, claims for business interruption insurance, etc. Although the Company has experienced minimal disruption to date and still has staff working remotely from home, the Company may find it difficult to enroll patients in its clinical trials, which could delay or prevent the Company from proceeding with the clinical trials of its product candidates; therefore, the coronavirus pandemic may still have a significant impact on the future results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July 2021, the Company signed a financial advisory agreement with Roth Capital. The minimum commitment relates to some expenses to be reimbursed by the Company up to US$50,000, or €42,373, using the spot exchange rate at the time the agreement was signed. The agreement also calls for the Company to pay Roth variable commission, estimated to average six percent of funds raised, if and when determined.</w:t>
      </w:r>
    </w:p>
    <w:p>
      <w:pPr>
        <w:spacing w:after="0" w:line="165" w:lineRule="exact"/>
        <w:rPr>
          <w:sz w:val="20"/>
          <w:szCs w:val="20"/>
          <w:color w:val="auto"/>
        </w:rPr>
      </w:pPr>
    </w:p>
    <w:p>
      <w:pPr>
        <w:ind w:right="560" w:firstLine="647"/>
        <w:spacing w:after="0" w:line="342" w:lineRule="auto"/>
        <w:rPr>
          <w:sz w:val="20"/>
          <w:szCs w:val="20"/>
          <w:color w:val="auto"/>
        </w:rPr>
      </w:pPr>
      <w:r>
        <w:rPr>
          <w:rFonts w:ascii="Arial" w:cs="Arial" w:eastAsia="Arial" w:hAnsi="Arial"/>
          <w:sz w:val="16"/>
          <w:szCs w:val="16"/>
          <w:color w:val="auto"/>
        </w:rPr>
        <w:t>In September 2021, the Company entered a new service agreement for shipment services with Marken. The budget provided through 2024 amounts to approximately €106,000, but the agreement can be withdrawal at any time with a reasonable but non-specific notice period.</w:t>
      </w:r>
    </w:p>
    <w:p>
      <w:pPr>
        <w:spacing w:after="0" w:line="124" w:lineRule="exact"/>
        <w:rPr>
          <w:sz w:val="20"/>
          <w:szCs w:val="20"/>
          <w:color w:val="auto"/>
        </w:rPr>
      </w:pPr>
    </w:p>
    <w:p>
      <w:pPr>
        <w:jc w:val="both"/>
        <w:ind w:right="140" w:firstLine="647"/>
        <w:spacing w:after="0" w:line="263" w:lineRule="auto"/>
        <w:rPr>
          <w:sz w:val="20"/>
          <w:szCs w:val="20"/>
          <w:color w:val="auto"/>
        </w:rPr>
      </w:pPr>
      <w:r>
        <w:rPr>
          <w:rFonts w:ascii="Arial" w:cs="Arial" w:eastAsia="Arial" w:hAnsi="Arial"/>
          <w:sz w:val="18"/>
          <w:szCs w:val="18"/>
          <w:color w:val="auto"/>
        </w:rPr>
        <w:t>In August and September 2021, the Company entered into two new purchase orders with AGC for a total amount of €155,200 to be delivered by the end of the year. The purchase orders with AGC are non-cancelable, except in the case of breach of contract, consistent with the disclosure in Note 13 above.</w:t>
      </w:r>
    </w:p>
    <w:p>
      <w:pPr>
        <w:spacing w:after="0" w:line="184" w:lineRule="exact"/>
        <w:rPr>
          <w:sz w:val="20"/>
          <w:szCs w:val="20"/>
          <w:color w:val="auto"/>
        </w:rPr>
      </w:pPr>
    </w:p>
    <w:p>
      <w:pPr>
        <w:jc w:val="both"/>
        <w:ind w:firstLine="647"/>
        <w:spacing w:after="0" w:line="342" w:lineRule="auto"/>
        <w:rPr>
          <w:sz w:val="20"/>
          <w:szCs w:val="20"/>
          <w:color w:val="auto"/>
        </w:rPr>
      </w:pPr>
      <w:r>
        <w:rPr>
          <w:rFonts w:ascii="Arial" w:cs="Arial" w:eastAsia="Arial" w:hAnsi="Arial"/>
          <w:sz w:val="16"/>
          <w:szCs w:val="16"/>
          <w:color w:val="auto"/>
        </w:rPr>
        <w:t>In September 2021, the Company signed two purchase order with Cross NT amounting to €141,006 to be executed in three years through January 2024. Based on the Master Service Agreement in place with Cross NT, the Company can withdraw any task order with a notice period of 60 business days.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6" w:name="page267"/>
    <w:bookmarkEnd w:id="266"/>
    <w:p>
      <w:pPr>
        <w:jc w:val="center"/>
        <w:spacing w:after="0"/>
        <w:rPr>
          <w:sz w:val="20"/>
          <w:szCs w:val="20"/>
          <w:color w:val="auto"/>
        </w:rPr>
      </w:pPr>
      <w:r>
        <w:rPr>
          <w:rFonts w:ascii="Arial" w:cs="Arial" w:eastAsia="Arial" w:hAnsi="Arial"/>
          <w:sz w:val="25"/>
          <w:szCs w:val="25"/>
          <w:b w:val="1"/>
          <w:bCs w:val="1"/>
          <w:color w:val="auto"/>
        </w:rPr>
        <w:t>American Depositary Shares</w:t>
      </w:r>
    </w:p>
    <w:p>
      <w:pPr>
        <w:spacing w:after="0" w:line="200" w:lineRule="exact"/>
        <w:rPr>
          <w:sz w:val="20"/>
          <w:szCs w:val="20"/>
          <w:color w:val="auto"/>
        </w:rPr>
      </w:pPr>
    </w:p>
    <w:p>
      <w:pPr>
        <w:spacing w:after="0" w:line="296" w:lineRule="exact"/>
        <w:rPr>
          <w:sz w:val="20"/>
          <w:szCs w:val="20"/>
          <w:color w:val="auto"/>
        </w:rPr>
      </w:pPr>
    </w:p>
    <w:p>
      <w:pPr>
        <w:ind w:left="3500"/>
        <w:spacing w:after="0"/>
        <w:tabs>
          <w:tab w:leader="none" w:pos="5920" w:val="left"/>
        </w:tabs>
        <w:rPr>
          <w:sz w:val="20"/>
          <w:szCs w:val="20"/>
          <w:color w:val="auto"/>
        </w:rPr>
      </w:pPr>
      <w:r>
        <w:rPr>
          <w:rFonts w:ascii="Arial" w:cs="Arial" w:eastAsia="Arial" w:hAnsi="Arial"/>
          <w:sz w:val="25"/>
          <w:szCs w:val="25"/>
          <w:b w:val="1"/>
          <w:bCs w:val="1"/>
          <w:color w:val="auto"/>
        </w:rPr>
        <w:t>Representing</w:t>
      </w:r>
      <w:r>
        <w:rPr>
          <w:sz w:val="20"/>
          <w:szCs w:val="20"/>
          <w:color w:val="auto"/>
        </w:rPr>
        <w:tab/>
      </w: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328930</wp:posOffset>
            </wp:positionV>
            <wp:extent cx="4286250" cy="9683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28625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Genenta Science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481965</wp:posOffset>
            </wp:positionV>
            <wp:extent cx="21431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54610</wp:posOffset>
            </wp:positionV>
            <wp:extent cx="21431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Roth Capital Partners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Lead Manager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Maxim Group LLC</w:t>
      </w:r>
    </w:p>
    <w:p>
      <w:pPr>
        <w:spacing w:after="0" w:line="26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2021</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Through and including , 2021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an underwriter and with respect to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67" w:name="page268"/>
    <w:bookmarkEnd w:id="267"/>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56"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Under Italian law, a corporation is not required to indemnify its directors or officers against losses and expenses, including attorney’s fees, judgments, fines and settlement amounts actually and reasonably incurred in a civil or criminal action, suit or proceeding arising from being the representative of, or serving at the request of, the corporation.</w:t>
      </w:r>
    </w:p>
    <w:p>
      <w:pPr>
        <w:spacing w:after="0" w:line="2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Italian law requires directors and members of any committee designated by the board of directors to perform their duties in good faith and with that degree of diligence that is required by the nature of their office and under their specific level of competence. If directors fail to comply with such obligations, they may be liable towards the company, its creditors, individual shareholders and third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responsibility action may be brought by:</w:t>
      </w:r>
    </w:p>
    <w:p>
      <w:pPr>
        <w:spacing w:after="0" w:line="252"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shareholders’ meeting of the company;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shareholders representing at least 20% of the share capital.</w:t>
      </w:r>
    </w:p>
    <w:p>
      <w:pPr>
        <w:spacing w:after="0" w:line="25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company may waive the liability action and may settle, provided that the waiver and settlement are approved by express resolution of the shareholders’ meeting, and provided that there is no vote against by a minority of shareholders representing at least 20% of the share capital.</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Liability action against directors for the non-fulfilment of their duties may also be brought by creditors when the company’s assets are insufficient to satisfy their claims.</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responsibility of directors is imperative and the articles of association cannot, as general rule, exempt directors from the liability provided for by law nor limit it to malicious conduct alone.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enter into directors’ and officers’ liability insurance to cover certain actions undertaken by our board of directors and executive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3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and controlling persons of the Company, the Company has been advised that, in the opinion of the Securities and Exchange Commission, such indemnification is against public policy as expressed in the Securities Act, and is, therefore, unenforceable.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5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Set forth below are the sales of all securities by the Company since 2017, which were not registered under the Securities Act. The Company believes that each of such issuances was exempt from registration under the Securities Act in reliance on Section 4(a)(2) of the Securities Act, Rule 701 and/or Regulation S under the Securities Act.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2014, the Company was organized with a total corporate capital equal to €11,650, comprised of €10,458.21 class A Quotas and €1,191.79 class B Quotas.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through 2017, the Company issued 8,644.40 class C Quotas from convertible notes and 2,958.50 class B Quotas.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Company issued an aggregate maximum amount of 4,033.85 of class D Quotas.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and 2019 the Company issued 2,300 of class B Quotas and an additional 6,462.12 class E Quotas.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68" w:name="page269"/>
    <w:bookmarkEnd w:id="268"/>
    <w:p>
      <w:pPr>
        <w:ind w:right="320" w:firstLine="648"/>
        <w:spacing w:after="0" w:line="277" w:lineRule="auto"/>
        <w:rPr>
          <w:sz w:val="20"/>
          <w:szCs w:val="20"/>
          <w:color w:val="auto"/>
        </w:rPr>
      </w:pPr>
      <w:r>
        <w:rPr>
          <w:rFonts w:ascii="Arial" w:cs="Arial" w:eastAsia="Arial" w:hAnsi="Arial"/>
          <w:sz w:val="18"/>
          <w:szCs w:val="18"/>
          <w:color w:val="auto"/>
        </w:rPr>
        <w:t>In 2020, the Company issued 571.34 class E Quotas, from the 2019 offering which was extended in 2020 to provide an additional €1.5 million plus 436.00 class B Quotas from options.</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were acquiring the securities for investment and not distribution. Such purchasers were advised the securities had not been registered under the Securities Act and that any resale in the United States must be made pursuant to a registration or an available exemption from such registration. All of the foregoing securities are deemed restricted securities for the purposes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1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Underwriting Agreement</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6"/>
                <w:szCs w:val="16"/>
                <w:color w:val="auto"/>
              </w:rPr>
            </w:pPr>
          </w:p>
        </w:tc>
        <w:tc>
          <w:tcPr>
            <w:tcW w:w="10140" w:type="dxa"/>
            <w:vAlign w:val="bottom"/>
            <w:gridSpan w:val="7"/>
          </w:tcPr>
          <w:p>
            <w:pPr>
              <w:spacing w:after="0" w:line="190" w:lineRule="exact"/>
              <w:rPr>
                <w:sz w:val="20"/>
                <w:szCs w:val="20"/>
                <w:color w:val="auto"/>
              </w:rPr>
            </w:pPr>
            <w:r>
              <w:rPr>
                <w:rFonts w:ascii="Arial" w:cs="Arial" w:eastAsia="Arial" w:hAnsi="Arial"/>
                <w:sz w:val="18"/>
                <w:szCs w:val="18"/>
                <w:color w:val="0000EE"/>
              </w:rPr>
              <w:t>Deed of Incorporation of Genenta Science S.p.A.</w:t>
            </w: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5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By-laws of Genenta Science S.p.A.</w:t>
            </w:r>
          </w:p>
        </w:tc>
        <w:tc>
          <w:tcPr>
            <w:tcW w:w="66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Form of Deposit Agreement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Form of American Depositary Receipt (included in exhibit 4.1)</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6"/>
                <w:szCs w:val="16"/>
                <w:color w:val="auto"/>
              </w:rPr>
            </w:pPr>
          </w:p>
        </w:tc>
        <w:tc>
          <w:tcPr>
            <w:tcW w:w="226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92"/>
              </w:rPr>
              <w:t>Form of Underwriter’s Warrant</w:t>
            </w:r>
          </w:p>
        </w:tc>
        <w:tc>
          <w:tcPr>
            <w:tcW w:w="78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40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Form of Subscription Agreement for Reserved Offering</w:t>
            </w:r>
          </w:p>
        </w:tc>
        <w:tc>
          <w:tcPr>
            <w:tcW w:w="6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Arial" w:cs="Arial" w:eastAsia="Arial" w:hAnsi="Arial"/>
                <w:sz w:val="18"/>
                <w:szCs w:val="18"/>
                <w:color w:val="0000EE"/>
              </w:rPr>
              <w:t>Opinion of Giovanelli and Associates, Italian counsel to Genenta</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80" w:type="dxa"/>
            <w:vAlign w:val="bottom"/>
            <w:gridSpan w:val="4"/>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w w:val="91"/>
              </w:rPr>
              <w:t>License Agreement between Ospedale San Raffaele S.r.l. and Genenta Science S.r.l. dated December 15, 2014 (OSR License Agreement)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First Amendment to the OSR License Agreement dated March 16, 2017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Second Amendment to the OSR License Agreement dated February 1, 2019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Third Amendment to the OSR License Agreement dated December 23, 2020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Sponsored Research Agreement with OSR dated February 12, 2021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Know-How License Agreement with Fondazione Telethon dated February 2, 2016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Master Service Agreement dated March 6, 2019 between Molecular Medicine S.p.A. and Genenta Science S.r.l.</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Form of 2021-2025 Genenta Science Employee Share Option Plan with Chairman Sub-Plan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Form of Employment Agreement of Pierluigi Paracchi</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Form of Employment Agreement of Carlo Russo</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Form of Employment Agreement of Richard Slansky</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Fourth Amendment to the OSR License Agreement dated September 28, 2021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Arial" w:cs="Arial" w:eastAsia="Arial" w:hAnsi="Arial"/>
                <w:sz w:val="18"/>
                <w:szCs w:val="18"/>
                <w:color w:val="auto"/>
              </w:rPr>
              <w:t>Consent of Mayer Hoffman McCann, P.C.</w:t>
            </w:r>
          </w:p>
        </w:tc>
        <w:tc>
          <w:tcPr>
            <w:tcW w:w="0" w:type="dxa"/>
            <w:vAlign w:val="bottom"/>
          </w:tcPr>
          <w:p>
            <w:pPr>
              <w:spacing w:after="0"/>
              <w:rPr>
                <w:sz w:val="1"/>
                <w:szCs w:val="1"/>
                <w:color w:val="auto"/>
              </w:rPr>
            </w:pP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6"/>
                <w:szCs w:val="16"/>
                <w:color w:val="auto"/>
              </w:rPr>
            </w:pPr>
          </w:p>
        </w:tc>
        <w:tc>
          <w:tcPr>
            <w:tcW w:w="10140" w:type="dxa"/>
            <w:vAlign w:val="bottom"/>
            <w:gridSpan w:val="7"/>
          </w:tcPr>
          <w:p>
            <w:pPr>
              <w:spacing w:after="0" w:line="190" w:lineRule="exact"/>
              <w:rPr>
                <w:sz w:val="20"/>
                <w:szCs w:val="20"/>
                <w:color w:val="auto"/>
              </w:rPr>
            </w:pPr>
            <w:r>
              <w:rPr>
                <w:rFonts w:ascii="Arial" w:cs="Arial" w:eastAsia="Arial" w:hAnsi="Arial"/>
                <w:sz w:val="18"/>
                <w:szCs w:val="18"/>
                <w:color w:val="0000EE"/>
              </w:rPr>
              <w:t>Consent of Giovanelli and Associates, Italian counsel to Genenta (included in Exhibit 5.1).</w:t>
            </w: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12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270">
              <w:r>
                <w:rPr>
                  <w:rFonts w:ascii="Arial" w:cs="Arial" w:eastAsia="Arial" w:hAnsi="Arial"/>
                  <w:sz w:val="18"/>
                  <w:szCs w:val="18"/>
                  <w:color w:val="0000EE"/>
                  <w:w w:val="90"/>
                </w:rPr>
                <w:t>Power of Attorney (included on the signature page of this Registration Statement).</w:t>
              </w:r>
            </w:hyperlink>
          </w:p>
        </w:tc>
        <w:tc>
          <w:tcPr>
            <w:tcW w:w="600" w:type="dxa"/>
            <w:vAlign w:val="bottom"/>
            <w:tcBorders>
              <w:top w:val="single" w:sz="8" w:color="0000EE"/>
            </w:tcBorders>
          </w:tcPr>
          <w:p>
            <w:pPr>
              <w:spacing w:after="0"/>
              <w:rPr>
                <w:sz w:val="17"/>
                <w:szCs w:val="17"/>
                <w:color w:val="auto"/>
              </w:rPr>
            </w:pPr>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9160" w:firstLine="8"/>
        <w:spacing w:after="0" w:line="342" w:lineRule="auto"/>
        <w:tabs>
          <w:tab w:leader="none" w:pos="13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right="20" w:firstLine="656"/>
        <w:spacing w:after="0" w:line="291" w:lineRule="auto"/>
        <w:tabs>
          <w:tab w:leader="none" w:pos="89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3" w:lineRule="exact"/>
        <w:rPr>
          <w:rFonts w:ascii="Arial" w:cs="Arial" w:eastAsia="Arial" w:hAnsi="Arial"/>
          <w:sz w:val="16"/>
          <w:szCs w:val="16"/>
          <w:color w:val="auto"/>
        </w:rPr>
      </w:pPr>
    </w:p>
    <w:p>
      <w:pPr>
        <w:ind w:left="1300" w:hanging="64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52" w:lineRule="exact"/>
        <w:rPr>
          <w:rFonts w:ascii="Arial" w:cs="Arial" w:eastAsia="Arial" w:hAnsi="Arial"/>
          <w:sz w:val="18"/>
          <w:szCs w:val="18"/>
          <w:color w:val="auto"/>
        </w:rPr>
      </w:pPr>
    </w:p>
    <w:p>
      <w:pPr>
        <w:ind w:left="1620" w:right="20" w:hanging="316"/>
        <w:spacing w:after="0" w:line="259"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right="280" w:hanging="316"/>
        <w:spacing w:after="0" w:line="263"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254"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w:t>
      </w: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duly authorized, in Milan, Italy on</w:t>
            </w:r>
          </w:p>
        </w:tc>
        <w:tc>
          <w:tcPr>
            <w:tcW w:w="7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undersigned officers and directors of Genenta Science S.p.A. hereby constitute and appoint Pierluigi Paracchi and Richard Slansky with full power of substitution, each of them singly our true and lawful attorneys-in-fact and agents to take any actions to enable the Company to comply with the Securities Act, and any rules, regulations and requirements of the SEC, in connection with this registration statement on Form F-1, including the power and authority to sign for us in our names in the capacities indicated below any and all further amendments to this registration statement and any other registration statement filed pursuant to the provisions of Rule 462 under the Securities Act.</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6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5"/>
                <w:szCs w:val="15"/>
                <w:color w:val="auto"/>
              </w:rPr>
            </w:pPr>
          </w:p>
        </w:tc>
        <w:tc>
          <w:tcPr>
            <w:tcW w:w="494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5"/>
                <w:szCs w:val="15"/>
                <w:color w:val="auto"/>
              </w:rPr>
            </w:pPr>
          </w:p>
        </w:tc>
        <w:tc>
          <w:tcPr>
            <w:tcW w:w="180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66"/>
        </w:trPr>
        <w:tc>
          <w:tcPr>
            <w:tcW w:w="4060" w:type="dxa"/>
            <w:vAlign w:val="bottom"/>
            <w:tcBorders>
              <w:bottom w:val="single" w:sz="8" w:color="auto"/>
            </w:tcBorders>
          </w:tcPr>
          <w:p>
            <w:pPr>
              <w:spacing w:after="0"/>
              <w:rPr>
                <w:sz w:val="24"/>
                <w:szCs w:val="24"/>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Vice Chairman</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Pierluigi Paracchi</w:t>
            </w:r>
          </w:p>
        </w:tc>
        <w:tc>
          <w:tcPr>
            <w:tcW w:w="53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Executive Officer)</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Richard Slansky</w:t>
            </w:r>
          </w:p>
        </w:tc>
        <w:tc>
          <w:tcPr>
            <w:tcW w:w="53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(Principal Financial and Accounting Officer)</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Roger Abravanel</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Daniela Bellomo</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Guido Guidi</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Luca Guidotti</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Chairman of the Board and 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Stephen Squinto</w:t>
            </w:r>
          </w:p>
        </w:tc>
        <w:tc>
          <w:tcPr>
            <w:tcW w:w="538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auto"/>
            </w:tcBorders>
          </w:tcPr>
          <w:p>
            <w:pPr>
              <w:spacing w:after="0"/>
              <w:rPr>
                <w:sz w:val="18"/>
                <w:szCs w:val="18"/>
                <w:color w:val="auto"/>
              </w:rPr>
            </w:pPr>
          </w:p>
        </w:tc>
        <w:tc>
          <w:tcPr>
            <w:tcW w:w="5380" w:type="dxa"/>
            <w:vAlign w:val="bottom"/>
            <w:gridSpan w:val="3"/>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Anthony Marucci</w:t>
            </w: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ind w:left="1200"/>
              <w:spacing w:after="0"/>
              <w:rPr>
                <w:sz w:val="20"/>
                <w:szCs w:val="20"/>
                <w:color w:val="auto"/>
              </w:rPr>
            </w:pPr>
            <w:r>
              <w:rPr>
                <w:rFonts w:ascii="Arial" w:cs="Arial" w:eastAsia="Arial" w:hAnsi="Arial"/>
                <w:sz w:val="18"/>
                <w:szCs w:val="18"/>
                <w:color w:val="auto"/>
              </w:rPr>
              <w:t>II-3</w:t>
            </w: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270" w:name="page271"/>
    <w:bookmarkEnd w:id="270"/>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Securities Act of 1933, as amended, the undersigned, Cogency Global Inc., the duly authorized representative in the United States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w w:val="96"/>
              </w:rPr>
              <w:t>of Genenta Science S.p.A., has signed this registration statement on</w:t>
            </w:r>
          </w:p>
        </w:tc>
        <w:tc>
          <w:tcPr>
            <w:tcW w:w="92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15" w:right="4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t>EXHIBIT 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TRANSLATION: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document is an English translation of a document in Italian language. In preparing this document, an attempt has been made to translate as literally as possible without jeopardizing the overall continuity of the text. Inevitably, however, differences may occur in translation and if they do, the Italian text will govern by law. In this translation, Italian legal concepts are expressed in English terms and not in their original Italian terms. The concepts concerned may not be identical to concepts described by the English terms as such terms may be understood under the laws of other jurisdictions.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UNOFFICIAL ENGLISH TRANSLATION OF THE DEED OF INCORPORATION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S.R.L.</w:t>
      </w:r>
    </w:p>
    <w:p>
      <w:pPr>
        <w:spacing w:after="0" w:line="211" w:lineRule="exact"/>
        <w:rPr>
          <w:sz w:val="20"/>
          <w:szCs w:val="20"/>
          <w:color w:val="auto"/>
        </w:rPr>
      </w:pPr>
    </w:p>
    <w:p>
      <w:pPr>
        <w:ind w:left="2200"/>
        <w:spacing w:after="0"/>
        <w:tabs>
          <w:tab w:leader="none" w:pos="7840" w:val="left"/>
        </w:tabs>
        <w:rPr>
          <w:sz w:val="20"/>
          <w:szCs w:val="20"/>
          <w:color w:val="auto"/>
        </w:rPr>
      </w:pPr>
      <w:r>
        <w:rPr>
          <w:rFonts w:ascii="Arial" w:cs="Arial" w:eastAsia="Arial" w:hAnsi="Arial"/>
          <w:sz w:val="18"/>
          <w:szCs w:val="18"/>
          <w:color w:val="auto"/>
        </w:rPr>
        <w:t>Repertory no. 56</w:t>
      </w:r>
      <w:r>
        <w:rPr>
          <w:sz w:val="20"/>
          <w:szCs w:val="20"/>
          <w:color w:val="auto"/>
        </w:rPr>
        <w:tab/>
      </w:r>
      <w:r>
        <w:rPr>
          <w:rFonts w:ascii="Arial" w:cs="Arial" w:eastAsia="Arial" w:hAnsi="Arial"/>
          <w:sz w:val="16"/>
          <w:szCs w:val="16"/>
          <w:color w:val="auto"/>
        </w:rPr>
        <w:t>Collection no. 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INCORPORATION OF LIMITED LIABILITY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ITALIAN REPUBLIC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year 2014 (two thousand fourteen),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day 24 (twenty-four),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month of July,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Milan, Via Agnello no.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Before me, Andrea De Costa, public notary in Novate Milanese, registered at the Notary Register of Milan, the following persons appeared:</w:t>
      </w:r>
    </w:p>
    <w:p>
      <w:pPr>
        <w:spacing w:after="0" w:line="207" w:lineRule="exact"/>
        <w:rPr>
          <w:sz w:val="20"/>
          <w:szCs w:val="20"/>
          <w:color w:val="auto"/>
        </w:rPr>
      </w:pPr>
    </w:p>
    <w:p>
      <w:pPr>
        <w:ind w:left="340" w:hanging="332"/>
        <w:spacing w:after="0" w:line="282" w:lineRule="auto"/>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Paracchi Pierluigi</w:t>
      </w:r>
      <w:r>
        <w:rPr>
          <w:rFonts w:ascii="Arial" w:cs="Arial" w:eastAsia="Arial" w:hAnsi="Arial"/>
          <w:sz w:val="18"/>
          <w:szCs w:val="18"/>
          <w:color w:val="auto"/>
        </w:rPr>
        <w:t>, born in Milan, on 22 May 1973, resident and domiciled in Milan, Piazza Maria Adelaide di Savoia, no. 1, fiscal code</w:t>
      </w:r>
      <w:r>
        <w:rPr>
          <w:rFonts w:ascii="Arial" w:cs="Arial" w:eastAsia="Arial" w:hAnsi="Arial"/>
          <w:sz w:val="18"/>
          <w:szCs w:val="18"/>
          <w:b w:val="1"/>
          <w:bCs w:val="1"/>
          <w:color w:val="auto"/>
        </w:rPr>
        <w:t xml:space="preserve"> </w:t>
      </w:r>
      <w:r>
        <w:rPr>
          <w:rFonts w:ascii="Arial" w:cs="Arial" w:eastAsia="Arial" w:hAnsi="Arial"/>
          <w:sz w:val="18"/>
          <w:szCs w:val="18"/>
          <w:color w:val="auto"/>
        </w:rPr>
        <w:t>PRCPLG73E22F205F, Italian citizen;</w:t>
      </w:r>
    </w:p>
    <w:p>
      <w:pPr>
        <w:spacing w:after="0" w:line="188"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Naldini Luigi</w:t>
      </w:r>
      <w:r>
        <w:rPr>
          <w:rFonts w:ascii="Arial" w:cs="Arial" w:eastAsia="Arial" w:hAnsi="Arial"/>
          <w:sz w:val="18"/>
          <w:szCs w:val="18"/>
          <w:color w:val="auto"/>
        </w:rPr>
        <w:t>, born in Turin, on 5 March 1959, resident and domiciled in San Felice di Pioltello (Milan), Strada Malaspina no. 16, fiscal code</w:t>
      </w:r>
      <w:r>
        <w:rPr>
          <w:rFonts w:ascii="Arial" w:cs="Arial" w:eastAsia="Arial" w:hAnsi="Arial"/>
          <w:sz w:val="18"/>
          <w:szCs w:val="18"/>
          <w:b w:val="1"/>
          <w:bCs w:val="1"/>
          <w:color w:val="auto"/>
        </w:rPr>
        <w:t xml:space="preserve"> </w:t>
      </w:r>
      <w:r>
        <w:rPr>
          <w:rFonts w:ascii="Arial" w:cs="Arial" w:eastAsia="Arial" w:hAnsi="Arial"/>
          <w:sz w:val="18"/>
          <w:szCs w:val="18"/>
          <w:color w:val="auto"/>
        </w:rPr>
        <w:t>NLDLGU59C05L219G, Italian citizen;</w:t>
      </w:r>
    </w:p>
    <w:p>
      <w:pPr>
        <w:spacing w:after="0" w:line="188"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Genter Bernard Rudolf</w:t>
      </w:r>
      <w:r>
        <w:rPr>
          <w:rFonts w:ascii="Arial" w:cs="Arial" w:eastAsia="Arial" w:hAnsi="Arial"/>
          <w:sz w:val="18"/>
          <w:szCs w:val="18"/>
          <w:color w:val="auto"/>
        </w:rPr>
        <w:t>, born in Donauwoerth (Germany), on 9 November 1975, resident and domiciled in Milan, Via San Maurilio no. 13, fiscal</w:t>
      </w:r>
      <w:r>
        <w:rPr>
          <w:rFonts w:ascii="Arial" w:cs="Arial" w:eastAsia="Arial" w:hAnsi="Arial"/>
          <w:sz w:val="18"/>
          <w:szCs w:val="18"/>
          <w:b w:val="1"/>
          <w:bCs w:val="1"/>
          <w:color w:val="auto"/>
        </w:rPr>
        <w:t xml:space="preserve"> </w:t>
      </w:r>
      <w:r>
        <w:rPr>
          <w:rFonts w:ascii="Arial" w:cs="Arial" w:eastAsia="Arial" w:hAnsi="Arial"/>
          <w:sz w:val="18"/>
          <w:szCs w:val="18"/>
          <w:color w:val="auto"/>
        </w:rPr>
        <w:t>code GNTBNH75S09Z112A, German citizen;</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159"/>
        </w:numPr>
        <w:rPr>
          <w:rFonts w:ascii="Arial" w:cs="Arial" w:eastAsia="Arial" w:hAnsi="Arial"/>
          <w:sz w:val="16"/>
          <w:szCs w:val="16"/>
          <w:color w:val="auto"/>
        </w:rPr>
      </w:pPr>
      <w:r>
        <w:rPr>
          <w:rFonts w:ascii="Arial" w:cs="Arial" w:eastAsia="Arial" w:hAnsi="Arial"/>
          <w:sz w:val="16"/>
          <w:szCs w:val="16"/>
          <w:b w:val="1"/>
          <w:bCs w:val="1"/>
          <w:color w:val="auto"/>
        </w:rPr>
        <w:t>Bedin Nicola</w:t>
      </w:r>
      <w:r>
        <w:rPr>
          <w:rFonts w:ascii="Arial" w:cs="Arial" w:eastAsia="Arial" w:hAnsi="Arial"/>
          <w:sz w:val="16"/>
          <w:szCs w:val="16"/>
          <w:color w:val="auto"/>
        </w:rPr>
        <w:t>, born in Montebelluna (TV), on 8 January 1977, not in his own right but as Managing Director and, as such, in legal representation of:</w:t>
      </w:r>
    </w:p>
    <w:p>
      <w:pPr>
        <w:spacing w:after="0" w:line="248" w:lineRule="exact"/>
        <w:rPr>
          <w:rFonts w:ascii="Arial" w:cs="Arial" w:eastAsia="Arial" w:hAnsi="Arial"/>
          <w:sz w:val="16"/>
          <w:szCs w:val="16"/>
          <w:color w:val="auto"/>
        </w:rPr>
      </w:pPr>
    </w:p>
    <w:p>
      <w:pPr>
        <w:ind w:left="4560"/>
        <w:spacing w:after="0"/>
        <w:rPr>
          <w:rFonts w:ascii="Arial" w:cs="Arial" w:eastAsia="Arial" w:hAnsi="Arial"/>
          <w:sz w:val="16"/>
          <w:szCs w:val="16"/>
          <w:color w:val="auto"/>
        </w:rPr>
      </w:pPr>
      <w:r>
        <w:rPr>
          <w:rFonts w:ascii="Arial" w:cs="Arial" w:eastAsia="Arial" w:hAnsi="Arial"/>
          <w:sz w:val="18"/>
          <w:szCs w:val="18"/>
          <w:b w:val="1"/>
          <w:bCs w:val="1"/>
          <w:color w:val="auto"/>
        </w:rPr>
        <w:t>Ospedale San Raffaele S.r.l.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company incorporated and governed according to Italian law and of Italian nationality, with registered office in Milan, Via Olgettina no. 60, corporate capital equal to Euro 60,817,200.00 fully paid-in, fiscal code and registration number with the Register of Companies of Milan: 07636600962, registered under no. 1972938, duly empowered in execution of the resolution of the Board of Directors dated 14 July 2014 to this deed attached as authenticated extract under “A”.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above-mentioned parties, hereinafter also referred to jointly as the “</w:t>
      </w:r>
      <w:r>
        <w:rPr>
          <w:rFonts w:ascii="Arial" w:cs="Arial" w:eastAsia="Arial" w:hAnsi="Arial"/>
          <w:sz w:val="18"/>
          <w:szCs w:val="18"/>
          <w:b w:val="1"/>
          <w:bCs w:val="1"/>
          <w:color w:val="auto"/>
        </w:rPr>
        <w:t>Constituents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Such parties, whose personal identity I, the notary, am certain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 declaration:</w:t>
      </w:r>
    </w:p>
    <w:p>
      <w:pPr>
        <w:spacing w:after="0" w:line="225" w:lineRule="exact"/>
        <w:rPr>
          <w:sz w:val="20"/>
          <w:szCs w:val="20"/>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regarding to </w:t>
      </w:r>
      <w:r>
        <w:rPr>
          <w:rFonts w:ascii="Arial" w:cs="Arial" w:eastAsia="Arial" w:hAnsi="Arial"/>
          <w:sz w:val="18"/>
          <w:szCs w:val="18"/>
          <w:b w:val="1"/>
          <w:bCs w:val="1"/>
          <w:color w:val="auto"/>
        </w:rPr>
        <w:t>Paracchi Pierluigi</w:t>
      </w:r>
      <w:r>
        <w:rPr>
          <w:rFonts w:ascii="Arial" w:cs="Arial" w:eastAsia="Arial" w:hAnsi="Arial"/>
          <w:sz w:val="18"/>
          <w:szCs w:val="18"/>
          <w:color w:val="auto"/>
        </w:rPr>
        <w:t>, to be married in regime of separation of goods;</w:t>
      </w:r>
    </w:p>
    <w:p>
      <w:pPr>
        <w:spacing w:after="0" w:line="27" w:lineRule="exact"/>
        <w:rPr>
          <w:rFonts w:ascii="Arial" w:cs="Arial" w:eastAsia="Arial" w:hAnsi="Arial"/>
          <w:sz w:val="18"/>
          <w:szCs w:val="18"/>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regarding to </w:t>
      </w:r>
      <w:r>
        <w:rPr>
          <w:rFonts w:ascii="Arial" w:cs="Arial" w:eastAsia="Arial" w:hAnsi="Arial"/>
          <w:sz w:val="18"/>
          <w:szCs w:val="18"/>
          <w:b w:val="1"/>
          <w:bCs w:val="1"/>
          <w:color w:val="auto"/>
        </w:rPr>
        <w:t>Naldini Luigi</w:t>
      </w:r>
      <w:r>
        <w:rPr>
          <w:rFonts w:ascii="Arial" w:cs="Arial" w:eastAsia="Arial" w:hAnsi="Arial"/>
          <w:sz w:val="18"/>
          <w:szCs w:val="18"/>
          <w:color w:val="auto"/>
        </w:rPr>
        <w:t>, to be married in regime of separation of goods;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regarding to </w:t>
      </w:r>
      <w:r>
        <w:rPr>
          <w:rFonts w:ascii="Arial" w:cs="Arial" w:eastAsia="Arial" w:hAnsi="Arial"/>
          <w:sz w:val="18"/>
          <w:szCs w:val="18"/>
          <w:b w:val="1"/>
          <w:bCs w:val="1"/>
          <w:color w:val="auto"/>
        </w:rPr>
        <w:t>Genter Bernhard</w:t>
      </w:r>
      <w:r>
        <w:rPr>
          <w:rFonts w:ascii="Arial" w:cs="Arial" w:eastAsia="Arial" w:hAnsi="Arial"/>
          <w:sz w:val="18"/>
          <w:szCs w:val="18"/>
          <w:color w:val="auto"/>
        </w:rPr>
        <w:t>, to be unmarried.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2" w:name="page273"/>
    <w:bookmarkEnd w:id="272"/>
    <w:p>
      <w:pPr>
        <w:jc w:val="center"/>
        <w:ind w:right="160"/>
        <w:spacing w:after="0"/>
        <w:rPr>
          <w:sz w:val="20"/>
          <w:szCs w:val="20"/>
          <w:color w:val="auto"/>
        </w:rPr>
      </w:pPr>
      <w:r>
        <w:rPr>
          <w:rFonts w:ascii="Arial" w:cs="Arial" w:eastAsia="Arial" w:hAnsi="Arial"/>
          <w:sz w:val="18"/>
          <w:szCs w:val="18"/>
          <w:b w:val="1"/>
          <w:bCs w:val="1"/>
          <w:color w:val="auto"/>
        </w:rPr>
        <w:t>considering that:</w:t>
      </w:r>
    </w:p>
    <w:p>
      <w:pPr>
        <w:spacing w:after="0" w:line="229" w:lineRule="exact"/>
        <w:rPr>
          <w:sz w:val="20"/>
          <w:szCs w:val="20"/>
          <w:color w:val="auto"/>
        </w:rPr>
      </w:pPr>
    </w:p>
    <w:p>
      <w:pPr>
        <w:ind w:left="340" w:hanging="332"/>
        <w:spacing w:after="0" w:line="277" w:lineRule="auto"/>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Constituents have previously expressed the intention to pursue the development, for the purposes of subsequent exploitation, of a project aimed at researching and creating new drugs for the treatment of cancer (the “</w:t>
      </w: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for the purposes of implementing the Project, it is the intention of the Constituents to establish a limited liability company which, according to the common will of the Constituents, as soon as in possession of the requirements of the law, will be qualified as an innovative start-up pursuant to and for the purposes of Decree Law No. 179/2012, converted into Law No. 221/2012, and its subsequent amendments, additions and implementing provisions;</w:t>
      </w:r>
    </w:p>
    <w:p>
      <w:pPr>
        <w:spacing w:after="0" w:line="175"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particular, the Constituents agreed that, within the scope and for the purposes of the realization of the Project, each will contribute according to their specific competencies, and for this reason the Constituents have an interest in the allocation of the stakes of the company to be established in a measure that is not proportional to the initial contributions;</w:t>
      </w:r>
    </w:p>
    <w:p>
      <w:pPr>
        <w:spacing w:after="0" w:line="1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view of the above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 and agree as follows:</w:t>
      </w:r>
    </w:p>
    <w:p>
      <w:pPr>
        <w:spacing w:after="0" w:line="225"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(Name – Registered Office – Duration). </w:t>
      </w:r>
      <w:r>
        <w:rPr>
          <w:rFonts w:ascii="Arial" w:cs="Arial" w:eastAsia="Arial" w:hAnsi="Arial"/>
          <w:sz w:val="18"/>
          <w:szCs w:val="18"/>
          <w:u w:val="single" w:color="auto"/>
          <w:color w:val="auto"/>
        </w:rPr>
        <w:t>It is hereby incorporated by the Constituents a limited liability company to be known as:</w:t>
      </w:r>
    </w:p>
    <w:p>
      <w:pPr>
        <w:spacing w:after="0" w:line="225" w:lineRule="exact"/>
        <w:rPr>
          <w:rFonts w:ascii="Arial" w:cs="Arial" w:eastAsia="Arial" w:hAnsi="Arial"/>
          <w:sz w:val="18"/>
          <w:szCs w:val="18"/>
          <w:b w:val="1"/>
          <w:bCs w:val="1"/>
          <w:color w:val="auto"/>
        </w:rPr>
      </w:pPr>
    </w:p>
    <w:p>
      <w:pPr>
        <w:ind w:left="4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“Genenta Science S.r.l.”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registered office in Milan, Via Olgettina no. 60, and with duration until 31 (thirty-one) December 2014 (two thousand fourteen).</w:t>
      </w:r>
    </w:p>
    <w:p>
      <w:pPr>
        <w:spacing w:after="0" w:line="221"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Corporate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as purpose:</w:t>
      </w:r>
    </w:p>
    <w:p>
      <w:pPr>
        <w:spacing w:after="0" w:line="256" w:lineRule="exact"/>
        <w:rPr>
          <w:sz w:val="20"/>
          <w:szCs w:val="20"/>
          <w:color w:val="auto"/>
        </w:rPr>
      </w:pPr>
    </w:p>
    <w:p>
      <w:pPr>
        <w:jc w:val="both"/>
        <w:ind w:left="660" w:right="140" w:hanging="328"/>
        <w:spacing w:after="0" w:line="263"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research, development, production, industrialization and marketing of new therapeutic compounds of biotechnological, biological and chemical origin, pertaining to the pharmaceutical, biotechnological, molecular/cellular medicine, genetics and diagnostics sectors (hereinafter, the “Activity”);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production, processing of materials and provision of services with respect to the Activity;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development and improvement of new technologies and procedures with respect to the Activity;</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industrialization, production and distribution of pharmaceutical and parapharmaceutical, biotechnological, chemical and biological products and their derivatives, both on their own account and on behalf of third parties;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promotion and organization of courses of a scientific nature.</w:t>
      </w:r>
    </w:p>
    <w:p>
      <w:pPr>
        <w:spacing w:after="0" w:line="225"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 order to achieve the corporate purpose and, only in a residual manner and in any case instrumental to the achievement of the purpose itself, the company may carry out any necessary or useful operation of a movable, immovable, commercial, industrial and financial nature, including the assumption of mortgages in any form with private individuals, companies and credit institutions, the issuing of real and non-real guarantees, including sureties, letters of indemnity and guarantee, endorsements. The company may also directly or indirectly acquire and dispose of interests or shareholdings in other companies or enterprises, whether established or being established, whose purpose is similar or related to its own.</w:t>
      </w:r>
    </w:p>
    <w:p>
      <w:pPr>
        <w:spacing w:after="0" w:line="16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In any case, the exercise towards the public of any activity qualified by law as “financial activity” and, except in cases and in full compliance with the provisions of the law, of reserved professional activity and that which the law reserves for particular physical and legal persons is excluded.</w:t>
      </w:r>
    </w:p>
    <w:p>
      <w:pPr>
        <w:spacing w:after="0" w:line="142" w:lineRule="exact"/>
        <w:rPr>
          <w:sz w:val="20"/>
          <w:szCs w:val="20"/>
          <w:color w:val="auto"/>
        </w:rPr>
      </w:pPr>
    </w:p>
    <w:p>
      <w:pPr>
        <w:ind w:left="660" w:right="140" w:hanging="328"/>
        <w:spacing w:after="0" w:line="282" w:lineRule="auto"/>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Capital)</w:t>
      </w:r>
      <w:r>
        <w:rPr>
          <w:rFonts w:ascii="Arial" w:cs="Arial" w:eastAsia="Arial" w:hAnsi="Arial"/>
          <w:sz w:val="18"/>
          <w:szCs w:val="18"/>
          <w:color w:val="auto"/>
        </w:rPr>
        <w:t>. The initial corporate capital of the company incorporated herein is equal to Euro 11,650.00</w:t>
      </w:r>
      <w:r>
        <w:rPr>
          <w:rFonts w:ascii="Arial" w:cs="Arial" w:eastAsia="Arial" w:hAnsi="Arial"/>
          <w:sz w:val="18"/>
          <w:szCs w:val="18"/>
          <w:b w:val="1"/>
          <w:bCs w:val="1"/>
          <w:color w:val="auto"/>
        </w:rPr>
        <w:t xml:space="preserve"> </w:t>
      </w:r>
      <w:r>
        <w:rPr>
          <w:rFonts w:ascii="Arial" w:cs="Arial" w:eastAsia="Arial" w:hAnsi="Arial"/>
          <w:sz w:val="18"/>
          <w:szCs w:val="18"/>
          <w:color w:val="auto"/>
        </w:rPr>
        <w:t>(eleventhousandsixhundredandfifty/00) subscribed in cash as specified in point 5) below.</w:t>
      </w:r>
    </w:p>
    <w:p>
      <w:pPr>
        <w:spacing w:after="0" w:line="161" w:lineRule="exact"/>
        <w:rPr>
          <w:rFonts w:ascii="Arial" w:cs="Arial" w:eastAsia="Arial" w:hAnsi="Arial"/>
          <w:sz w:val="18"/>
          <w:szCs w:val="18"/>
          <w:b w:val="1"/>
          <w:bCs w:val="1"/>
          <w:color w:val="auto"/>
        </w:rPr>
      </w:pPr>
    </w:p>
    <w:p>
      <w:pPr>
        <w:jc w:val="both"/>
        <w:ind w:left="660" w:right="140" w:hanging="328"/>
        <w:spacing w:after="0" w:line="261" w:lineRule="auto"/>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(By-laws – Operating rules)</w:t>
      </w:r>
      <w:r>
        <w:rPr>
          <w:rFonts w:ascii="Arial" w:cs="Arial" w:eastAsia="Arial" w:hAnsi="Arial"/>
          <w:sz w:val="18"/>
          <w:szCs w:val="18"/>
          <w:color w:val="auto"/>
        </w:rPr>
        <w:t>. The herein constituted company shall be governed and operate in accordance with the rules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(By-laws), including the provisions set forth in the preceding paragraphs, which consists of 20 articles and which, read by me as notary to the appearing parties, approved by them and then signed by me as notary, is attached under “B” as an integral and substantial part of this deed.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3" w:name="page274"/>
    <w:bookmarkEnd w:id="273"/>
    <w:p>
      <w:pPr>
        <w:jc w:val="both"/>
        <w:ind w:left="328" w:right="140" w:hanging="328"/>
        <w:spacing w:after="0" w:line="261" w:lineRule="auto"/>
        <w:tabs>
          <w:tab w:leader="none" w:pos="328"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(Contributions - Stakes of participation - Non-proportional allocation</w:t>
      </w:r>
      <w:r>
        <w:rPr>
          <w:rFonts w:ascii="Arial" w:cs="Arial" w:eastAsia="Arial" w:hAnsi="Arial"/>
          <w:sz w:val="18"/>
          <w:szCs w:val="18"/>
          <w:color w:val="auto"/>
        </w:rPr>
        <w:t>). The corporate capital equal to Euro 11,650.00</w:t>
      </w:r>
      <w:r>
        <w:rPr>
          <w:rFonts w:ascii="Arial" w:cs="Arial" w:eastAsia="Arial" w:hAnsi="Arial"/>
          <w:sz w:val="18"/>
          <w:szCs w:val="18"/>
          <w:b w:val="1"/>
          <w:bCs w:val="1"/>
          <w:color w:val="auto"/>
        </w:rPr>
        <w:t xml:space="preserve"> </w:t>
      </w:r>
      <w:r>
        <w:rPr>
          <w:rFonts w:ascii="Arial" w:cs="Arial" w:eastAsia="Arial" w:hAnsi="Arial"/>
          <w:sz w:val="18"/>
          <w:szCs w:val="18"/>
          <w:color w:val="auto"/>
        </w:rPr>
        <w:t>(eleventhousandsixhundredandfifty/00) is fully subscribed by the quotaholders and the stakes of participation are determined, according to what is allowed by Article 2468, second paragraph of the Italian Civil Code, in an amount not proportional to their respective contributions respectively:</w:t>
      </w:r>
    </w:p>
    <w:p>
      <w:pPr>
        <w:spacing w:after="0" w:line="184" w:lineRule="exact"/>
        <w:rPr>
          <w:sz w:val="20"/>
          <w:szCs w:val="20"/>
          <w:color w:val="auto"/>
        </w:rPr>
      </w:pPr>
    </w:p>
    <w:p>
      <w:pPr>
        <w:ind w:left="328" w:right="140" w:hanging="328"/>
        <w:spacing w:after="0" w:line="258" w:lineRule="auto"/>
        <w:tabs>
          <w:tab w:leader="none" w:pos="32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Paracchi Pierluigi, against a cash contribution of Euro 10,000.00 (ten thousand/00) is assigned a stake equal to 48.96% of the corporate capital, with no express par value;</w:t>
      </w:r>
    </w:p>
    <w:p>
      <w:pPr>
        <w:spacing w:after="0" w:line="1" w:lineRule="exact"/>
        <w:rPr>
          <w:rFonts w:ascii="Arial" w:cs="Arial" w:eastAsia="Arial" w:hAnsi="Arial"/>
          <w:sz w:val="18"/>
          <w:szCs w:val="18"/>
          <w:color w:val="auto"/>
        </w:rPr>
      </w:pPr>
    </w:p>
    <w:p>
      <w:pPr>
        <w:ind w:left="328" w:right="140" w:hanging="328"/>
        <w:spacing w:after="0" w:line="250" w:lineRule="auto"/>
        <w:tabs>
          <w:tab w:leader="none" w:pos="32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Naldini Luigi, against a cash contribution of Euro 100.00 (onehundred/00), is assigned a stake equal to 6.82% of the corporate capital, with no express par value;</w:t>
      </w:r>
    </w:p>
    <w:p>
      <w:pPr>
        <w:ind w:left="328" w:right="140" w:hanging="328"/>
        <w:spacing w:after="0" w:line="250" w:lineRule="auto"/>
        <w:tabs>
          <w:tab w:leader="none" w:pos="32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Genter Bernhard, against a cash contribution of Euro 50.00 (fifty/00), is assigned a stake equal to 3.41% of the corporate capital, with no express par value;</w:t>
      </w:r>
    </w:p>
    <w:p>
      <w:pPr>
        <w:ind w:left="328" w:right="140" w:hanging="328"/>
        <w:spacing w:after="0" w:line="260" w:lineRule="auto"/>
        <w:tabs>
          <w:tab w:leader="none" w:pos="32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Ospedale San Raffaele S.r.l., against a cash contribution of Euro 1,500.00 (onethousandfivehundred/00) is assigned a stake of 40.81% of the corporate capital, with no express par value.</w:t>
      </w:r>
    </w:p>
    <w:p>
      <w:pPr>
        <w:spacing w:after="0" w:line="185"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8"/>
          <w:szCs w:val="18"/>
          <w:color w:val="auto"/>
        </w:rPr>
        <w:t>It is therefore recorded that the value of the contributions is equal to the total amount of the corporate capital. It is also noted that the corporate capital - equal to Euro 11,650.00 (eleventhousandsixhundredandfifty/00) - has been fully paid in by each of the quotaholders (each for his own contribution as determined above) as follows:</w:t>
      </w:r>
    </w:p>
    <w:p>
      <w:pPr>
        <w:spacing w:after="0" w:line="180" w:lineRule="exact"/>
        <w:rPr>
          <w:sz w:val="20"/>
          <w:szCs w:val="20"/>
          <w:color w:val="auto"/>
        </w:rPr>
      </w:pPr>
    </w:p>
    <w:p>
      <w:pPr>
        <w:ind w:left="328" w:right="140" w:hanging="328"/>
        <w:spacing w:after="0" w:line="282" w:lineRule="auto"/>
        <w:tabs>
          <w:tab w:leader="none" w:pos="328"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Paracchi Pierluigi </w:t>
      </w:r>
      <w:r>
        <w:rPr>
          <w:rFonts w:ascii="Arial" w:cs="Arial" w:eastAsia="Arial" w:hAnsi="Arial"/>
          <w:sz w:val="18"/>
          <w:szCs w:val="18"/>
          <w:color w:val="auto"/>
        </w:rPr>
        <w:t>by a non-transferable bank cheque no. 4200132671-07 issued by Banca Ubi branch no. 154 located in Milan, on 23 July</w:t>
      </w:r>
      <w:r>
        <w:rPr>
          <w:rFonts w:ascii="Arial" w:cs="Arial" w:eastAsia="Arial" w:hAnsi="Arial"/>
          <w:sz w:val="18"/>
          <w:szCs w:val="18"/>
          <w:b w:val="1"/>
          <w:bCs w:val="1"/>
          <w:color w:val="auto"/>
        </w:rPr>
        <w:t xml:space="preserve"> </w:t>
      </w:r>
      <w:r>
        <w:rPr>
          <w:rFonts w:ascii="Arial" w:cs="Arial" w:eastAsia="Arial" w:hAnsi="Arial"/>
          <w:sz w:val="18"/>
          <w:szCs w:val="18"/>
          <w:color w:val="auto"/>
        </w:rPr>
        <w:t>2014, for an amount of Euro 10,000.00 (ten thousand/00) in favour of the company incorporated herein;</w:t>
      </w:r>
    </w:p>
    <w:p>
      <w:pPr>
        <w:spacing w:after="0" w:line="107" w:lineRule="exact"/>
        <w:rPr>
          <w:rFonts w:ascii="Arial" w:cs="Arial" w:eastAsia="Arial" w:hAnsi="Arial"/>
          <w:sz w:val="18"/>
          <w:szCs w:val="18"/>
          <w:color w:val="auto"/>
        </w:rPr>
      </w:pPr>
    </w:p>
    <w:p>
      <w:pPr>
        <w:ind w:left="328" w:right="140" w:hanging="328"/>
        <w:spacing w:after="0" w:line="282" w:lineRule="auto"/>
        <w:tabs>
          <w:tab w:leader="none" w:pos="328"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Naldini Luigi </w:t>
      </w:r>
      <w:r>
        <w:rPr>
          <w:rFonts w:ascii="Arial" w:cs="Arial" w:eastAsia="Arial" w:hAnsi="Arial"/>
          <w:sz w:val="18"/>
          <w:szCs w:val="18"/>
          <w:color w:val="auto"/>
        </w:rPr>
        <w:t>by a non-transferable bank cheque no. 6602434700-04 issued by Banca Popolare di Milano branch no. 00361 located in Segrate</w:t>
      </w:r>
      <w:r>
        <w:rPr>
          <w:rFonts w:ascii="Arial" w:cs="Arial" w:eastAsia="Arial" w:hAnsi="Arial"/>
          <w:sz w:val="18"/>
          <w:szCs w:val="18"/>
          <w:b w:val="1"/>
          <w:bCs w:val="1"/>
          <w:color w:val="auto"/>
        </w:rPr>
        <w:t xml:space="preserve"> </w:t>
      </w:r>
      <w:r>
        <w:rPr>
          <w:rFonts w:ascii="Arial" w:cs="Arial" w:eastAsia="Arial" w:hAnsi="Arial"/>
          <w:sz w:val="18"/>
          <w:szCs w:val="18"/>
          <w:color w:val="auto"/>
        </w:rPr>
        <w:t>today for an amount equal to Euro 100 (onehundred/00) in favour of the company incorporated herein</w:t>
      </w:r>
    </w:p>
    <w:p>
      <w:pPr>
        <w:spacing w:after="0" w:line="107" w:lineRule="exact"/>
        <w:rPr>
          <w:rFonts w:ascii="Arial" w:cs="Arial" w:eastAsia="Arial" w:hAnsi="Arial"/>
          <w:sz w:val="18"/>
          <w:szCs w:val="18"/>
          <w:color w:val="auto"/>
        </w:rPr>
      </w:pPr>
    </w:p>
    <w:p>
      <w:pPr>
        <w:ind w:left="328" w:right="140" w:hanging="328"/>
        <w:spacing w:after="0" w:line="282" w:lineRule="auto"/>
        <w:tabs>
          <w:tab w:leader="none" w:pos="328"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 xml:space="preserve">Gentner Bernhard </w:t>
      </w:r>
      <w:r>
        <w:rPr>
          <w:rFonts w:ascii="Arial" w:cs="Arial" w:eastAsia="Arial" w:hAnsi="Arial"/>
          <w:sz w:val="18"/>
          <w:szCs w:val="18"/>
          <w:color w:val="auto"/>
        </w:rPr>
        <w:t>by a non-transferable bank cheque no. 3109753839-10 issued by Intesa San Paolo, San Raffaele branch, located in Milan,</w:t>
      </w:r>
      <w:r>
        <w:rPr>
          <w:rFonts w:ascii="Arial" w:cs="Arial" w:eastAsia="Arial" w:hAnsi="Arial"/>
          <w:sz w:val="18"/>
          <w:szCs w:val="18"/>
          <w:b w:val="1"/>
          <w:bCs w:val="1"/>
          <w:color w:val="auto"/>
        </w:rPr>
        <w:t xml:space="preserve"> </w:t>
      </w:r>
      <w:r>
        <w:rPr>
          <w:rFonts w:ascii="Arial" w:cs="Arial" w:eastAsia="Arial" w:hAnsi="Arial"/>
          <w:sz w:val="18"/>
          <w:szCs w:val="18"/>
          <w:color w:val="auto"/>
        </w:rPr>
        <w:t>on 23 July 2014, for an amount of 50 (fifty/00) in favour of the company incorporated herein</w:t>
      </w:r>
    </w:p>
    <w:p>
      <w:pPr>
        <w:spacing w:after="0" w:line="107" w:lineRule="exact"/>
        <w:rPr>
          <w:rFonts w:ascii="Arial" w:cs="Arial" w:eastAsia="Arial" w:hAnsi="Arial"/>
          <w:sz w:val="18"/>
          <w:szCs w:val="18"/>
          <w:color w:val="auto"/>
        </w:rPr>
      </w:pPr>
    </w:p>
    <w:p>
      <w:pPr>
        <w:ind w:left="328" w:right="140" w:hanging="328"/>
        <w:spacing w:after="0" w:line="347" w:lineRule="auto"/>
        <w:tabs>
          <w:tab w:leader="none" w:pos="328"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 xml:space="preserve">Ospedale San Raffaele S.r.l. </w:t>
      </w:r>
      <w:r>
        <w:rPr>
          <w:rFonts w:ascii="Arial" w:cs="Arial" w:eastAsia="Arial" w:hAnsi="Arial"/>
          <w:sz w:val="16"/>
          <w:szCs w:val="16"/>
          <w:color w:val="auto"/>
        </w:rPr>
        <w:t>by a non-transferable bank cheque no. 3109753840-11 issued by the Intesa Sanpaolo, San Raffaele branch, located</w:t>
      </w:r>
      <w:r>
        <w:rPr>
          <w:rFonts w:ascii="Arial" w:cs="Arial" w:eastAsia="Arial" w:hAnsi="Arial"/>
          <w:sz w:val="16"/>
          <w:szCs w:val="16"/>
          <w:b w:val="1"/>
          <w:bCs w:val="1"/>
          <w:color w:val="auto"/>
        </w:rPr>
        <w:t xml:space="preserve"> </w:t>
      </w:r>
      <w:r>
        <w:rPr>
          <w:rFonts w:ascii="Arial" w:cs="Arial" w:eastAsia="Arial" w:hAnsi="Arial"/>
          <w:sz w:val="16"/>
          <w:szCs w:val="16"/>
          <w:color w:val="auto"/>
        </w:rPr>
        <w:t>in Milan, on 23 July 2014 in the amount of Euro 1,500.00 (one thousand five hundred/00) in favour of the company incorporated herein;</w:t>
      </w:r>
    </w:p>
    <w:p>
      <w:pPr>
        <w:spacing w:after="0" w:line="120"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The said cheques are hereby delivered into the hands of the appointed administrator and herein appeared Mr. Paracchi Pierluigi who, as such, receives them issuing a receipt to the constituents.</w:t>
      </w:r>
    </w:p>
    <w:p>
      <w:pPr>
        <w:spacing w:after="0" w:line="166" w:lineRule="exact"/>
        <w:rPr>
          <w:sz w:val="20"/>
          <w:szCs w:val="20"/>
          <w:color w:val="auto"/>
        </w:rPr>
      </w:pPr>
    </w:p>
    <w:p>
      <w:pPr>
        <w:ind w:left="328" w:right="140" w:hanging="328"/>
        <w:spacing w:after="0" w:line="282" w:lineRule="auto"/>
        <w:tabs>
          <w:tab w:leader="none" w:pos="328"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(Board of directors</w:t>
      </w:r>
      <w:r>
        <w:rPr>
          <w:rFonts w:ascii="Arial" w:cs="Arial" w:eastAsia="Arial" w:hAnsi="Arial"/>
          <w:sz w:val="18"/>
          <w:szCs w:val="18"/>
          <w:color w:val="auto"/>
        </w:rPr>
        <w:t>). The company incorporated herein will be initially managed jointly by two directors that will remain in office until</w:t>
      </w:r>
      <w:r>
        <w:rPr>
          <w:rFonts w:ascii="Arial" w:cs="Arial" w:eastAsia="Arial" w:hAnsi="Arial"/>
          <w:sz w:val="18"/>
          <w:szCs w:val="18"/>
          <w:b w:val="1"/>
          <w:bCs w:val="1"/>
          <w:color w:val="auto"/>
        </w:rPr>
        <w:t xml:space="preserve"> </w:t>
      </w:r>
      <w:r>
        <w:rPr>
          <w:rFonts w:ascii="Arial" w:cs="Arial" w:eastAsia="Arial" w:hAnsi="Arial"/>
          <w:sz w:val="18"/>
          <w:szCs w:val="18"/>
          <w:color w:val="auto"/>
        </w:rPr>
        <w:t>revocation or resignation in the persons of Messrs:</w:t>
      </w:r>
    </w:p>
    <w:p>
      <w:pPr>
        <w:spacing w:after="0" w:line="166" w:lineRule="exact"/>
        <w:rPr>
          <w:sz w:val="20"/>
          <w:szCs w:val="20"/>
          <w:color w:val="auto"/>
        </w:rPr>
      </w:pPr>
    </w:p>
    <w:p>
      <w:pPr>
        <w:ind w:left="328" w:hanging="328"/>
        <w:spacing w:after="0"/>
        <w:tabs>
          <w:tab w:leader="none" w:pos="32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Paracchi Pierluigi, generalised as above and domiciled for the office at the company’s registered office, and</w:t>
      </w:r>
    </w:p>
    <w:p>
      <w:pPr>
        <w:spacing w:after="0" w:line="171"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D’Amelio Einaudi Anna Flavia, born in Rome on 22 June 1982, Italian 1982, Italian citizen, fiscal code DMLNFL82H62H501Z, domiciled for the office at the company’s registered office both of whom meet the legal requirements.</w:t>
      </w:r>
    </w:p>
    <w:p>
      <w:pPr>
        <w:spacing w:after="0" w:line="170" w:lineRule="exact"/>
        <w:rPr>
          <w:sz w:val="20"/>
          <w:szCs w:val="20"/>
          <w:color w:val="auto"/>
        </w:rPr>
      </w:pPr>
    </w:p>
    <w:p>
      <w:pPr>
        <w:ind w:left="8" w:right="20"/>
        <w:spacing w:after="0" w:line="277" w:lineRule="auto"/>
        <w:rPr>
          <w:sz w:val="20"/>
          <w:szCs w:val="20"/>
          <w:color w:val="auto"/>
        </w:rPr>
      </w:pPr>
      <w:r>
        <w:rPr>
          <w:rFonts w:ascii="Arial" w:cs="Arial" w:eastAsia="Arial" w:hAnsi="Arial"/>
          <w:sz w:val="18"/>
          <w:szCs w:val="18"/>
          <w:color w:val="auto"/>
        </w:rPr>
        <w:t>The directors are jointly empowered with all the powers referred to in article 14 of the by-laws as well as jointly representing the company against third parties and in legal proceedings with joint signatures pursuant to Article 15 of the of the same by-laws.</w:t>
      </w:r>
    </w:p>
    <w:p>
      <w:pPr>
        <w:spacing w:after="0" w:line="1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274" w:name="page275"/>
    <w:bookmarkEnd w:id="274"/>
    <w:p>
      <w:pPr>
        <w:ind w:left="660" w:right="140" w:hanging="328"/>
        <w:spacing w:after="0" w:line="282" w:lineRule="auto"/>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Date of end of financial year</w:t>
      </w:r>
      <w:r>
        <w:rPr>
          <w:rFonts w:ascii="Arial" w:cs="Arial" w:eastAsia="Arial" w:hAnsi="Arial"/>
          <w:sz w:val="18"/>
          <w:szCs w:val="18"/>
          <w:color w:val="auto"/>
        </w:rPr>
        <w:t>). The financial years shall end on 31 (thirty-one) December of each year. The first financial year will end on 31 (thirty-one) December 2014 (two thousand fourteen) to coincide with the company’s current expiry date.</w:t>
      </w:r>
    </w:p>
    <w:p>
      <w:pPr>
        <w:spacing w:after="0" w:line="188" w:lineRule="exact"/>
        <w:rPr>
          <w:rFonts w:ascii="Arial" w:cs="Arial" w:eastAsia="Arial" w:hAnsi="Arial"/>
          <w:sz w:val="18"/>
          <w:szCs w:val="18"/>
          <w:b w:val="1"/>
          <w:bCs w:val="1"/>
          <w:color w:val="auto"/>
        </w:rPr>
      </w:pPr>
    </w:p>
    <w:p>
      <w:pPr>
        <w:jc w:val="both"/>
        <w:ind w:left="660" w:right="140" w:hanging="328"/>
        <w:spacing w:after="0" w:line="289" w:lineRule="auto"/>
        <w:tabs>
          <w:tab w:leader="none" w:pos="660"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in the commercial register</w:t>
      </w:r>
      <w:r>
        <w:rPr>
          <w:rFonts w:ascii="Arial" w:cs="Arial" w:eastAsia="Arial" w:hAnsi="Arial"/>
          <w:sz w:val="17"/>
          <w:szCs w:val="17"/>
          <w:color w:val="auto"/>
        </w:rPr>
        <w:t>). The appeasers are hereby expressly authorised, severally and jointly, to carry out all the formalities necessary for the legal existence of the company herein incorporated and to carry out any amendments, corrections, and additions to the text of this deed and the attached by-laws that may be required for registration in the competent commercial register.</w:t>
      </w:r>
    </w:p>
    <w:p>
      <w:pPr>
        <w:spacing w:after="0" w:line="184" w:lineRule="exact"/>
        <w:rPr>
          <w:rFonts w:ascii="Arial" w:cs="Arial" w:eastAsia="Arial" w:hAnsi="Arial"/>
          <w:sz w:val="17"/>
          <w:szCs w:val="17"/>
          <w:b w:val="1"/>
          <w:bCs w:val="1"/>
          <w:color w:val="auto"/>
        </w:rPr>
      </w:pPr>
    </w:p>
    <w:p>
      <w:pPr>
        <w:ind w:left="660" w:right="140" w:hanging="328"/>
        <w:spacing w:after="0" w:line="282" w:lineRule="auto"/>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The approximate total amount of incorporation expenses to be borne by the company is equal to Euro 2,500.00 (twothousandfivehundred/00).</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have read this document to the participants - excluding, due to their express dispensation, the reading of attachment A - and they approve it and sign it with me at eleven o’clock.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deed consists of three sheets written with mechanical means by a person of trust and of nine pages (and the tenth page so far completed) handwritten by 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Pierluigi Paracchi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Luigi Naldini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Bernhard Rudolf Gentner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Nicola Bedin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Andrea De Costa </w:t>
      </w:r>
      <w:r>
        <w:rPr>
          <w:rFonts w:ascii="Arial" w:cs="Arial" w:eastAsia="Arial" w:hAnsi="Arial"/>
          <w:sz w:val="18"/>
          <w:szCs w:val="18"/>
          <w:color w:val="auto"/>
        </w:rPr>
        <w:t>(Notary)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5" w:name="page276"/>
    <w:bookmarkEnd w:id="275"/>
    <w:p>
      <w:pPr>
        <w:jc w:val="center"/>
        <w:ind w:right="-139"/>
        <w:spacing w:after="0"/>
        <w:rPr>
          <w:sz w:val="20"/>
          <w:szCs w:val="20"/>
          <w:color w:val="auto"/>
        </w:rPr>
      </w:pPr>
      <w:r>
        <w:rPr>
          <w:rFonts w:ascii="Arial" w:cs="Arial" w:eastAsia="Arial" w:hAnsi="Arial"/>
          <w:sz w:val="18"/>
          <w:szCs w:val="18"/>
          <w:color w:val="auto"/>
        </w:rPr>
        <w:t>Annex B no. 56/9 of repertory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By-laws</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Title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NAME – CORPORATE PURPOSE – REGISTERED OFFICE – DURATION –</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REGISTER OF QUOTAHOLDERS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 Name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limited liability company is incorporated under the company name: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“Genenta Science S.r.l.”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 Corporate Purpose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as purpose:</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research, development, production, industrialization and marketing of new therapeutic compounds of biotechnological, biological and chemical origin, pertaining to the pharmaceutical, biotechnological, molecular/cellular medicine, genetics and diagnostics sectors (hereinafter, the “</w:t>
      </w:r>
      <w:r>
        <w:rPr>
          <w:rFonts w:ascii="Arial" w:cs="Arial" w:eastAsia="Arial" w:hAnsi="Arial"/>
          <w:sz w:val="18"/>
          <w:szCs w:val="18"/>
          <w:b w:val="1"/>
          <w:bCs w:val="1"/>
          <w:color w:val="auto"/>
        </w:rPr>
        <w:t>Activit</w:t>
      </w:r>
      <w:r>
        <w:rPr>
          <w:rFonts w:ascii="Arial" w:cs="Arial" w:eastAsia="Arial" w:hAnsi="Arial"/>
          <w:sz w:val="18"/>
          <w:szCs w:val="18"/>
          <w:color w:val="auto"/>
        </w:rPr>
        <w:t>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production, processing of materials and provision of services with respect to the Activity;</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development and improvement of new technologies and procedures with respect to the Activity;</w:t>
      </w:r>
    </w:p>
    <w:p>
      <w:pPr>
        <w:spacing w:after="0" w:line="27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industrialization, production and distribution of pharmaceutical and parapharmaceutical, biotechnological, chemical and biological products and their derivatives, both on their own account and on behalf of third parties;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promotion and organization of courses of a scientific nature.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order to achieve the corporate purpose and, only in a residual manner and in any case instrumental to the achievement of the purpose itself, the company may carry out any necessary or useful operation of a movable, immovable, commercial, industrial and financial nature, including the assumption of mortgages in any form with private individuals, companies and credit institutions, the issuing of real and non-real guarantees, including sureties, letters of indemnity and guarantee, endorsements. The company may also directly or indirectly acquire and dispose of interests or shareholdings in other companies or enterprises, whether established or being established, whose purpose is similar or related to its own.</w:t>
      </w:r>
    </w:p>
    <w:p>
      <w:pPr>
        <w:spacing w:after="0" w:line="1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any case, the exercise towards the public of any activity qualified by law as “financial activity” and, except in cases and in full compliance with the provisions of the law, of reserved professional activity and that which the law reserves for particular physical and legal persons are excluded.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Registered office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registered office in Milan.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set up and close branches, offices, subsidiaries, warehouses, and representative offices both in Italy and abroad.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Duration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 duration until 31 December 2014 and can be extended or dissolved prematurely by a resolution of the Quotaholders’ Meeting.</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t>Article 5 – Register of quotaholders. Domicile and address of quotaholders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shall keep, under the responsibility of the directors, in the same manner as established by law for the other corporate books, the register of quotaholders, in which shall be indicated the name and domicile of the quotaholders, the stakes of each, the payments carried out on the stakes, the changes in the persons of the quotaholders, as well as, if communicated, their contact details.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transfer of stakes and the constitution of real rights on the same shall be effective for the company as from the moment of their registration in the register of quotaholders, which shall be carried out by the directors, subject to compliance with the disclosure requirements set out by current regulations.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domicile of the quotaholders and the e-mail address to which notices or communications provided for by the By-laws or otherwise made by the corporation with respect to their dealings with the corporation are validly made, shall be as shown in the register of quotaholders.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CAPITAL – STAKES – DEBT INSTRUMENTS – CONTRIBUTIONS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 Corporate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corporate capital is equal to Euro 11,650.00 (eleventhousandsixhundredandfifty/00), divided into stakes with no express par value.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corporate capital may also be increased, within the limits and in accordance with the procedures established by law, with contributions other than in cash, including contributions of labour or services. In the case referred to in Article 2465, second paragraph of the Italian Civil Code, the authorisation of the quotaholders is not required pursuant to Article 2479 of the Italian Civil Code.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 resolution by the quotaholders to increase the corporate capital by means of new contributions, the quotaholders have the right to subscribe in proportion to the stakes held by them. The quotaholders are entitled to expressly provide in the resolution for the increase that the increase may also be implemented through the offer of newly issuedstakes to third parties, except for the case provided for by Article 2482-</w:t>
      </w:r>
      <w:r>
        <w:rPr>
          <w:rFonts w:ascii="Arial" w:cs="Arial" w:eastAsia="Arial" w:hAnsi="Arial"/>
          <w:sz w:val="18"/>
          <w:szCs w:val="18"/>
          <w:i w:val="1"/>
          <w:iCs w:val="1"/>
          <w:color w:val="auto"/>
        </w:rPr>
        <w:t>ter</w:t>
      </w:r>
      <w:r>
        <w:rPr>
          <w:rFonts w:ascii="Arial" w:cs="Arial" w:eastAsia="Arial" w:hAnsi="Arial"/>
          <w:sz w:val="18"/>
          <w:szCs w:val="18"/>
          <w:color w:val="auto"/>
        </w:rPr>
        <w:t xml:space="preserve"> of the Italian Civil Code; in this case, the quotaholders who did not agree to the decision shall have the right of withdrawal.</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modalities and terms of the exercise of the right of withdrawal, which is exercisable only in cases permitted by law, the provisions of the law shall apply and, in default, in so far as they are compatible, the corresponding provisions provided for the withdrawal of a joint-stock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 Transfer of stakes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of stakes is not allowed until 31 December 2014, during this period the right of withdrawal under this clause is excluded.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 Quotaholders’ payments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company may acquire capital and non-repayable payments from quotaholders or, without prejudice to the provisions of Article 2467 of the Italian Civil Code, and the </w:t>
      </w:r>
      <w:r>
        <w:rPr>
          <w:rFonts w:ascii="Arial" w:cs="Arial" w:eastAsia="Arial" w:hAnsi="Arial"/>
          <w:sz w:val="17"/>
          <w:szCs w:val="17"/>
          <w:i w:val="1"/>
          <w:iCs w:val="1"/>
          <w:color w:val="auto"/>
        </w:rPr>
        <w:t>pro tempore</w:t>
      </w:r>
      <w:r>
        <w:rPr>
          <w:rFonts w:ascii="Arial" w:cs="Arial" w:eastAsia="Arial" w:hAnsi="Arial"/>
          <w:sz w:val="17"/>
          <w:szCs w:val="17"/>
          <w:color w:val="auto"/>
        </w:rPr>
        <w:t xml:space="preserve"> regulations in force concerning the collection of shareholder loans, interest-bearing and non-interest-bearing loans.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t>Title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QUOTAHOLDERS’DECISIONS – QUOTAHODERS’MEETING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 Quotaholders’ Decisions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 quotaholders shall decide on matters reserved to them by law or by this by-laws, as well as on issues submitted for their approval by one or more Directors or by quotaholders representing at least one third of the corporate capital.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quotaholders’decisions are approved by the favourable vote of more than half of the corporate capital, unless otherwise provided for by law.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 Calling of the Quotaholders’Meeting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Quotaholders’ Meeting is convened by the board of directors by registered letter or e-mail, to be sent to the domicile or address of the quotaholders, directors and, if appointed, to the sole auditor, no less than eight days before the Quotaholders’Meeting.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Quotaholders’Meeting can also be convened outside the registered office, provided that it is in Italy.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notice of call shall indicate the place, day, time and agenda of the meeting and may provide for a second call, if necessary, if the first call is not attended by the corporate capital required to resolve.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However, the Quotaholders’Meeting are valid, even if not convened in this way, if the entire corporate capital is represented, and all the directors and the sole auditor, if appointed, are present or otherwise informed of the number of meetings and no one opposes the discussion of the items on the agenda.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 Intervention in the Quotaholders’Meeting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Subject to the obligation of disclosure in accordance with current regulations, all quotaholders registered in the quotaholders’ register may attend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quotaholders are entitled to vote in proportion to their stakes.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quotaholder - who is entitled to attend the Quotaholders’Meeting - may be represented, by written proxy, by another person who is not a director, auditor or employee of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Participation in the meeting can also take place by means of an audio/television connection, under the condition that all participants can be identified and that they can follow the discussion and take part in real time in the discussion of the issues addressed and that they are also informed; if these requirements are met, the Quotaholders’Meeting shall be considered to be held at the place where the Chairman is located and where the Secretary is also located, in order for the minutes to be drawn up and signed in the relevant register.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 is for the chairman of the meeting to ascertain the right to participate in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 Chairman of the Quotaholders’ Meeting and recording of minutes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Quotaholders’ Meeting shall be chaired by the person appointed by the Quotaholders’ Meeting from time to time. The Quotaholders’ Meeting resolutions shall be recorded in minutes signed by the Chairman and the Secretary. In the cases provided for by law and when the Chairman deems it appropriate, the minutes shall be recorded by a notary selected by the Chairman.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 Composition of the board of directors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management of the company is entrusted to two directors jointly in accordance with the combined provisions of Articles 2475 and 2258 of the Italian Civil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8" w:name="page279"/>
    <w:bookmarkEnd w:id="278"/>
    <w:p>
      <w:pPr>
        <w:jc w:val="both"/>
        <w:spacing w:after="0" w:line="263" w:lineRule="auto"/>
        <w:rPr>
          <w:sz w:val="20"/>
          <w:szCs w:val="20"/>
          <w:color w:val="auto"/>
        </w:rPr>
      </w:pPr>
      <w:r>
        <w:rPr>
          <w:rFonts w:ascii="Arial" w:cs="Arial" w:eastAsia="Arial" w:hAnsi="Arial"/>
          <w:sz w:val="18"/>
          <w:szCs w:val="18"/>
          <w:color w:val="auto"/>
        </w:rPr>
        <w:t>The directors may also be non-quotaholders and remain in office for the period established at the time of their appointment; they may be re-elected and are subject to the conditions for ineligibility or resignation provided for in Article 2382 of the Italian Civil Code but not those provided for in Article 2390 of the Italian Civil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 Powers of the board of directors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directors are invested with the widest powers for the ordinary and extraordinary management of the company without any exception of any kind, with the power to carry out all acts, including acts of disposal, that they consider appropriate for the implementation and achievement of the corporate purposes, excluding only those that the law or the by-laws reserve exclusively to the Quotaholders’ Meeting or in any case to the decision of the quotaholders.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 Representation of the company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directors shall be jointly entitled to represent the company in dealings with third parties and in legal proceedings, with the power to promote legal and administrative actions and claims at all levels of jurisdiction and to appoint lawyers and attorneys at law for this purpose.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SOLE STATUTORY AUDITOR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 Sole statutory auditor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cases provided for by law, or when it is in any case advisable, the quotaholders appoint a single auditor registered in the register of legal auditors to carry out management control and auditing functions.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all cases of appointment of a single statutory auditor, the provisions on the board of statutory auditors provided for joint-stock companies also apply with regard to the duration, competences and powers.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YEARS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 Financial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year of the company shall end on 31 December 2014 and any subsequent financial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 Financial statements. Allocation of profits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end of each financial year, the directors shall draw up the financial statements as required by law.</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financial statements shall be submitted to the quotaholders within 120 days after the end of the financial year, or within 180 days when particular requirements necessitate it within the limits and under the conditions indicated in the second paragraph of Article 2364 of the Italian Civil Code.</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annual net profits, after deduction of the amount allocated by law to reserves, are preferably allocated to reserves, unless the quotaholders decide otherwise.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b w:val="1"/>
          <w:bCs w:val="1"/>
          <w:color w:val="auto"/>
        </w:rPr>
        <w:t>Title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WINDING UP AND 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 Winding up and liquidation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the winding up of the company, the Quotaholders’ Meeting shall determine the modalities of the liquidation and appoint one or more liquidators, determining their powers.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winding up before 31 December 2014, the profits of the liquidation will be distributed among the members in the same proportions as the contributions were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REFERRAL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 Reference to legal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all matters not expressly regulated in the present by-laws, the existing legal provisions are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Pierluigi Paracchi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Luigi Naldini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Bernhard Rudolf Gentncr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Nicola Bedin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Andrea De Costa </w:t>
      </w:r>
      <w:r>
        <w:rPr>
          <w:rFonts w:ascii="Arial" w:cs="Arial" w:eastAsia="Arial" w:hAnsi="Arial"/>
          <w:sz w:val="18"/>
          <w:szCs w:val="18"/>
          <w:color w:val="auto"/>
        </w:rPr>
        <w:t>(Notary)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0" w:name="page281"/>
    <w:bookmarkEnd w:id="280"/>
    <w:p>
      <w:pPr>
        <w:ind w:left="1040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UNDERWRITER WARRANT TO PURCHASE AMERICAN DEPOSITARY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Purchase of up to</w:t>
      </w:r>
    </w:p>
    <w:p>
      <w:pPr>
        <w:spacing w:after="0" w:line="225" w:lineRule="exact"/>
        <w:rPr>
          <w:sz w:val="20"/>
          <w:szCs w:val="20"/>
          <w:color w:val="auto"/>
        </w:rPr>
      </w:pPr>
    </w:p>
    <w:p>
      <w:pPr>
        <w:ind w:left="4320" w:right="4300" w:firstLine="65"/>
        <w:spacing w:after="0" w:line="293" w:lineRule="auto"/>
        <w:tabs>
          <w:tab w:leader="none" w:pos="4657"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 Representing [●] Ordinary Shares</w:t>
      </w:r>
    </w:p>
    <w:p>
      <w:pPr>
        <w:spacing w:after="0" w:line="1"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Genenta Science S.p.A.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Republic of Italy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Underwriter Warrant.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THIS CERTIFIES THAT, in consideration of duly paid consideration by or on behalf of (“Holder”), as registered owner of this Underwriter Warrant, to Genenta Science S.p.A. (“Company”), Holder is entitled to subscribe for, purchase and receive, in whole or in part, up to [●] ([●]) American Depositary Shares (“Shares”), each Share representing one ordinary share of the Company at any time on or after [●], 2022 (the “Commencement Date”) and on or prior to 5:00 p.m. (New York City time) on [●], 2026 (the “Expiration Date”) but not thereafter. If the Expiration Date is a day on which banking institutions are authorized by law to close, then this Underwriter Warrant may be exercised on the next succeeding day which is not such a day in accordance with the terms herein. During the period ending on the Expiration Date, the Company agrees not to take any action that would terminate the Underwriter Warrant. This Underwriter Warrant is initially exercisable at $[●] per share purchased (125% of the initial public offering price per share); </w:t>
      </w:r>
      <w:r>
        <w:rPr>
          <w:rFonts w:ascii="Arial" w:cs="Arial" w:eastAsia="Arial" w:hAnsi="Arial"/>
          <w:sz w:val="17"/>
          <w:szCs w:val="17"/>
          <w:i w:val="1"/>
          <w:iCs w:val="1"/>
          <w:color w:val="auto"/>
        </w:rPr>
        <w:t>provided, however</w:t>
      </w:r>
      <w:r>
        <w:rPr>
          <w:rFonts w:ascii="Arial" w:cs="Arial" w:eastAsia="Arial" w:hAnsi="Arial"/>
          <w:sz w:val="17"/>
          <w:szCs w:val="17"/>
          <w:color w:val="auto"/>
        </w:rPr>
        <w:t>, that upon the occurrence of any of the events specified in Section 5 hereof, the rights granted by this Underwriter Warrant,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and the number of Shares to be received upon such exercise, shall be adjusted as therein specified. The term “Exercise Price” shall mean the initial exercise price or the adjusted exercise price, depending on the context.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Exercise.</w:t>
      </w:r>
    </w:p>
    <w:p>
      <w:pPr>
        <w:spacing w:after="0" w:line="225" w:lineRule="exact"/>
        <w:rPr>
          <w:sz w:val="20"/>
          <w:szCs w:val="20"/>
          <w:color w:val="auto"/>
        </w:rPr>
      </w:pPr>
    </w:p>
    <w:p>
      <w:pPr>
        <w:ind w:left="660" w:right="40"/>
        <w:spacing w:after="0" w:line="301"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i w:val="1"/>
          <w:iCs w:val="1"/>
          <w:color w:val="auto"/>
        </w:rPr>
        <w:t>Exercise Form.</w:t>
      </w:r>
      <w:r>
        <w:rPr>
          <w:rFonts w:ascii="Arial" w:cs="Arial" w:eastAsia="Arial" w:hAnsi="Arial"/>
          <w:sz w:val="16"/>
          <w:szCs w:val="16"/>
          <w:color w:val="auto"/>
        </w:rPr>
        <w:t xml:space="preserve"> In order to exercise this Underwriter Warrant, the exercise form attached hereto must be duly executed and completed and delivered to the Company, together with the Exercise Price in cash or by certified check or official bank check for the Shares being purchased. If the subscription rights represented hereby shall not be exercised at or before 5:00 p.m., Eastern time, on the Expiration Date, this Underwriter Warrant shall become and be void without further force or effect, and all rights represented hereby shall cease and expire.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Conversion Right.</w:t>
      </w:r>
    </w:p>
    <w:p>
      <w:pPr>
        <w:spacing w:after="0" w:line="225"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i w:val="1"/>
          <w:iCs w:val="1"/>
          <w:color w:val="auto"/>
        </w:rPr>
        <w:t>Determination of Amount</w:t>
      </w:r>
      <w:r>
        <w:rPr>
          <w:rFonts w:ascii="Arial" w:cs="Arial" w:eastAsia="Arial" w:hAnsi="Arial"/>
          <w:sz w:val="16"/>
          <w:szCs w:val="16"/>
          <w:color w:val="auto"/>
        </w:rPr>
        <w:t>. In lieu of the payment of the Exercise Price in the manner required by Section 2.1, the Holder shall have the right (but not the obligation) to convert any exercisable but unexercised portion of this Underwriter Warrant into Shares (“Conversion Right”) as follows. Upon exercise of the Conversion Right, the Company shall deliver to the Holder (without payment by the Holder of any of the Exercise Price in cash other than for any amount required by Italian law with respect to the nominal equity capital contribution (</w:t>
      </w:r>
      <w:r>
        <w:rPr>
          <w:rFonts w:ascii="Arial" w:cs="Arial" w:eastAsia="Arial" w:hAnsi="Arial"/>
          <w:sz w:val="16"/>
          <w:szCs w:val="16"/>
          <w:i w:val="1"/>
          <w:iCs w:val="1"/>
          <w:color w:val="auto"/>
        </w:rPr>
        <w:t>imputazione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capitale sociale) </w:t>
      </w:r>
      <w:r>
        <w:rPr>
          <w:rFonts w:ascii="Arial" w:cs="Arial" w:eastAsia="Arial" w:hAnsi="Arial"/>
          <w:sz w:val="16"/>
          <w:szCs w:val="16"/>
          <w:color w:val="auto"/>
        </w:rPr>
        <w:t>of the Shares to be issued upon exercise of the Conversion Right)) that number of Shares equal to the quotient obtained by</w:t>
      </w:r>
      <w:r>
        <w:rPr>
          <w:rFonts w:ascii="Arial" w:cs="Arial" w:eastAsia="Arial" w:hAnsi="Arial"/>
          <w:sz w:val="16"/>
          <w:szCs w:val="16"/>
          <w:i w:val="1"/>
          <w:iCs w:val="1"/>
          <w:color w:val="auto"/>
        </w:rPr>
        <w:t xml:space="preserve"> </w:t>
      </w:r>
      <w:r>
        <w:rPr>
          <w:rFonts w:ascii="Arial" w:cs="Arial" w:eastAsia="Arial" w:hAnsi="Arial"/>
          <w:sz w:val="16"/>
          <w:szCs w:val="16"/>
          <w:color w:val="auto"/>
        </w:rPr>
        <w:t>dividing (x) the “Value” (as defined below), at the close of trading on the next to last trading day immediately preceding the exercise of the Conversion Right, of the portion of the Underwriter Warrant being converted by (y) the “Market Price” (as defined below). The “Value” of the portion of the Underwriter Warrant being converted shall equal the remainder derived from subtracting (a) the Exercise Price multiplied by the number of Shares underlying that portion of this Underwriter Warrant being converted from (b) the Market Price of the Shares multiplied by the number of Shares underlying that portion of the Underwriter Warrant being converted. As used in this herein, the term “Market Price” at any date shall be deemed to be the average last reported sale price of the Shares for the five trading days ending on the next to last trading day immediately preceding the exercise of the Conversion Right as officially reported by the principal securities exchange on which the Shares are listed or admitted to trading, or, if the Shares are not listed or admitted to trading on any national securities exchange or if any such exchange on which the Shares are listed is not its principal trading market, the average last reported sale price for such five trading days as furnished by Nasdaq or, if applicable, the OTC Bulletin Board, or if the Shares are not listed or admitted to trading on any of the foregoing markets, or similar organization, as determined in good faith by resolution of the Board of Directors of the Company, based on the best information available to it. If the Shares are issued in such a cashless exercise, the parties acknowledge and agree that in accordance with Section 3(a)(9) of the Securities Act, the Shares shall take on the characteristics of the Underwriter Warrants being exercised, and the holding period of the Shares being issued may be tacked on to the holding period of this Underwriter Warrant. In no event will the Company be required to pay cash to the Holder to settle this Underwriter Warrant in the event of exercise by the Holder of the Conversion Right.</w:t>
      </w:r>
    </w:p>
    <w:p>
      <w:pPr>
        <w:spacing w:after="0" w:line="385"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i w:val="1"/>
          <w:iCs w:val="1"/>
          <w:color w:val="auto"/>
        </w:rPr>
        <w:t>Mechanics of Conversion</w:t>
      </w:r>
      <w:r>
        <w:rPr>
          <w:rFonts w:ascii="Arial" w:cs="Arial" w:eastAsia="Arial" w:hAnsi="Arial"/>
          <w:sz w:val="18"/>
          <w:szCs w:val="18"/>
          <w:color w:val="auto"/>
        </w:rPr>
        <w:t>. The Conversion Right may be exercised by the Holder on any business day on or after the Commencement Date and not later than the Expiration Date by delivering the Underwriter Warrant with a duly executed exercise form attached hereto with the Conversion Right section completed to the Company, exercising the Conversion Right and specifying the total number of Shares that the Holder will purchase pursuant to such Conversion Right.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Transfer.</w:t>
      </w:r>
    </w:p>
    <w:p>
      <w:pPr>
        <w:spacing w:after="0" w:line="225"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General Restrictions.</w:t>
      </w:r>
      <w:r>
        <w:rPr>
          <w:rFonts w:ascii="Arial" w:cs="Arial" w:eastAsia="Arial" w:hAnsi="Arial"/>
          <w:sz w:val="18"/>
          <w:szCs w:val="18"/>
          <w:color w:val="auto"/>
        </w:rPr>
        <w:t xml:space="preserve"> On and after the Commencement Date, transfers by the registered Holder to others may be made subject to compliance with or exemptions from applicable securities laws. In order to make any permitted assignment, the Holder must deliver to the Company the assignment form attached hereto duly executed and completed, together with the Underwriter Warrant and payment of all transfer taxes, if any, payable in connection therewith. The Company shall immediately transfer this Underwriter Warrant on the books of the Company and shall execute and deliver a new Underwriter Warrant or Underwriter Warrants of like tenor to the appropriate assignee(s) expressly evidencing the right to purchase the aggregate number of Shares purchasable hereunder or such portion of such number as shall be contemplated by any such assignment.</w:t>
      </w:r>
    </w:p>
    <w:p>
      <w:pPr>
        <w:spacing w:after="0" w:line="195"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Restrictions Imposed by the Act.</w:t>
      </w:r>
      <w:r>
        <w:rPr>
          <w:rFonts w:ascii="Arial" w:cs="Arial" w:eastAsia="Arial" w:hAnsi="Arial"/>
          <w:sz w:val="16"/>
          <w:szCs w:val="16"/>
          <w:color w:val="auto"/>
        </w:rPr>
        <w:t xml:space="preserve"> If, at the time of the surrender of this Underwriter Warrant in connection with any transfer of this Underwriter Warrant, the transfer of this Underwriter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this Underwriter Warrant and the Shares underlying this Underwriter Warrant to not be transferred unless and until (a) the Company has received the opinion of counsel for the Holder that this Underwriter Warrant or the Shares, as the case may be, may be transferred pursuant to an exemption from registration under the Securities Act and applicable state law, the availability of which is established to the reasonable satisfaction of the Company (the Company hereby agreeing that an opinion of Loeb &amp; Loeb LLP shall be deemed satisfactory evidence of the availability of an exemption), or (b) a registration statement relating to such Underwriter Warrant or Shares, as the case may be, has been filed by the Company and declared effective by the Securities and Exchange Commission and compliance with applicable state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New Underwriter Warrants to be Issued.</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Partial Exercise or Transfer.</w:t>
      </w:r>
      <w:r>
        <w:rPr>
          <w:rFonts w:ascii="Arial" w:cs="Arial" w:eastAsia="Arial" w:hAnsi="Arial"/>
          <w:sz w:val="18"/>
          <w:szCs w:val="18"/>
          <w:color w:val="auto"/>
        </w:rPr>
        <w:t xml:space="preserve"> Subject to the restrictions in Section 3 hereof, this Underwriter Warrant may be exercised or assigned in whole or in part. In the event of the exercise or assignment hereof in part only, upon surrender of this Underwriter Warrant for cancellation, together with the duly executed exercise or assignment form and funds sufficient to pay any Exercise Price and/or transfer tax, the Company shall cause to be delivered to the Holder without charge a new Underwriter Warrant of like tenor to this Underwriter Warrant in the name of the Holder evidencing the right of the Holder to purchase the aggregate number of Shares purchasable hereunder as to which this Underwriter Warrant has not been exercised or assigned.</w:t>
      </w:r>
    </w:p>
    <w:p>
      <w:pPr>
        <w:spacing w:after="0" w:line="192"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i w:val="1"/>
          <w:iCs w:val="1"/>
          <w:color w:val="auto"/>
        </w:rPr>
        <w:t>Lost Certificate.</w:t>
      </w:r>
      <w:r>
        <w:rPr>
          <w:rFonts w:ascii="Arial" w:cs="Arial" w:eastAsia="Arial" w:hAnsi="Arial"/>
          <w:sz w:val="16"/>
          <w:szCs w:val="16"/>
          <w:color w:val="auto"/>
        </w:rPr>
        <w:t xml:space="preserve"> Upon receipt by the Company of evidence satisfactory to it of the loss, theft, destruction or mutilation of this Underwriter Warrant and of reasonably satisfactory indemnification, and upon surrender and cancellation of the Underwriter Warrants, if mutilated, the Company shall execute and deliver a new Underwriter Warrant of like tenor and date. Any such new Underwriter Warrant executed and delivered as a result of such loss, theft, mutilation or destruction shall constitute a substitute contractual obligation on the part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Adjustments.</w:t>
      </w:r>
    </w:p>
    <w:p>
      <w:pPr>
        <w:spacing w:after="0" w:line="22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Adjustments to Exercise Price and Number of Securities.</w:t>
      </w:r>
      <w:r>
        <w:rPr>
          <w:rFonts w:ascii="Arial" w:cs="Arial" w:eastAsia="Arial" w:hAnsi="Arial"/>
          <w:sz w:val="18"/>
          <w:szCs w:val="18"/>
          <w:color w:val="auto"/>
        </w:rPr>
        <w:t xml:space="preserve"> The Exercise Price and the number of Shares underlying the Underwriter Warrant shall be subject to adjustment from time to time as hereinafter set forth:</w:t>
      </w:r>
    </w:p>
    <w:p>
      <w:pPr>
        <w:spacing w:after="0" w:line="170" w:lineRule="exact"/>
        <w:rPr>
          <w:sz w:val="20"/>
          <w:szCs w:val="20"/>
          <w:color w:val="auto"/>
        </w:rPr>
      </w:pPr>
    </w:p>
    <w:p>
      <w:pPr>
        <w:ind w:left="1300" w:right="140"/>
        <w:spacing w:after="0" w:line="27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i w:val="1"/>
          <w:iCs w:val="1"/>
          <w:color w:val="auto"/>
        </w:rPr>
        <w:t>Stock Dividends—Recapitalization, Reclassification, Split-Ups</w:t>
      </w:r>
      <w:r>
        <w:rPr>
          <w:rFonts w:ascii="Arial" w:cs="Arial" w:eastAsia="Arial" w:hAnsi="Arial"/>
          <w:sz w:val="17"/>
          <w:szCs w:val="17"/>
          <w:color w:val="auto"/>
        </w:rPr>
        <w:t>. If after the date hereof, and subject to the provisions of Section 5.2 below, the number of outstanding Shares is increased by a stock dividend payable in Shares or by a split-up, recapitalization or reclassification of Shares or other similar event, then, on the Commencement Date thereof, the number of Shares issuable on exercise of the Underwriter Warrant shall be increased in proportion to such increase in outstanding Shares.</w:t>
      </w:r>
    </w:p>
    <w:p>
      <w:pPr>
        <w:spacing w:after="0" w:line="171" w:lineRule="exact"/>
        <w:rPr>
          <w:sz w:val="20"/>
          <w:szCs w:val="20"/>
          <w:color w:val="auto"/>
        </w:rPr>
      </w:pPr>
    </w:p>
    <w:p>
      <w:pPr>
        <w:ind w:left="1300" w:right="180"/>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Aggregation of Shares</w:t>
      </w:r>
      <w:r>
        <w:rPr>
          <w:rFonts w:ascii="Arial" w:cs="Arial" w:eastAsia="Arial" w:hAnsi="Arial"/>
          <w:sz w:val="18"/>
          <w:szCs w:val="18"/>
          <w:color w:val="auto"/>
        </w:rPr>
        <w:t>. If after the date hereof, and subject to the provisions of Section 5.2, the number of outstanding Shares is decreased by a consolidation, combination or reclassification of Shares or other similar event, then, upon the Commencement Date thereof, the number of Shares issuable on exercise of the Underwriter Warrant shall be decreased in proportion to such decrease in outstanding Shares.</w:t>
      </w:r>
    </w:p>
    <w:p>
      <w:pPr>
        <w:spacing w:after="0" w:line="187" w:lineRule="exact"/>
        <w:rPr>
          <w:sz w:val="20"/>
          <w:szCs w:val="20"/>
          <w:color w:val="auto"/>
        </w:rPr>
      </w:pPr>
    </w:p>
    <w:p>
      <w:pPr>
        <w:ind w:left="1300" w:right="120"/>
        <w:spacing w:after="0" w:line="25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Adjustments in Exercise Price</w:t>
      </w:r>
      <w:r>
        <w:rPr>
          <w:rFonts w:ascii="Arial" w:cs="Arial" w:eastAsia="Arial" w:hAnsi="Arial"/>
          <w:sz w:val="18"/>
          <w:szCs w:val="18"/>
          <w:color w:val="auto"/>
        </w:rPr>
        <w:t>. Whenever the number of Shares purchasable upon the exercise of this Underwriter Warrant is adjusted, as provided in this Section 5.1, the Exercise Price shall be adjusted (to the nearest cent) by multiplying such Exercise Price immediately prior to such adjustment by a fraction (x) the numerator of which shall be the number of Shares purchasable upon the exercise of this Underwriter Warrant immediately prior to such adjustment, and (y) the denominator of which shall be the number of Shares so purchasable immediately thereafter.</w:t>
      </w:r>
    </w:p>
    <w:p>
      <w:pPr>
        <w:spacing w:after="0" w:line="188" w:lineRule="exact"/>
        <w:rPr>
          <w:sz w:val="20"/>
          <w:szCs w:val="20"/>
          <w:color w:val="auto"/>
        </w:rPr>
      </w:pPr>
    </w:p>
    <w:p>
      <w:pPr>
        <w:ind w:left="1300" w:right="60"/>
        <w:spacing w:after="0" w:line="28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other than a change covered by Section 5.1.1 hereof or which solely affects the par value of such Shares, or in the case of any merger or consolidation of the Company with or into another corporation (other than a consolidation or merger in which the Company is the continuing corporation and which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Underwriter Warrant shall have the right thereafter (until the expiration of the right of exercise of this Underwriter Warrant) to receive upon the exercise hereof, for the same aggregate Exercise Price payable hereunder immediately prior to such event, the kind and amount of Shares or other securities or property (including cash) receivable upon such reclassification, reorganization, merger or consolidation, or upon a dissolution following any such sale or other transfer, by a Holder of the number of Shares obtainable upon exercise of this Underwriter Warrant immediately prior to such event; and if any reclassification also results in a change in Shares covered by Section 5.1.1, then such adjustment shall be made pursuant to Sections 5.1.1, 5.1.3 and this Section 5.1.4. The provisions of this Section 5.1.4 shall similarly apply to successive reclassifications, reorganizations, mergers or consolidations, sales or other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3" w:name="page284"/>
    <w:bookmarkEnd w:id="283"/>
    <w:p>
      <w:pPr>
        <w:ind w:left="1300" w:right="180"/>
        <w:spacing w:after="0" w:line="25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i w:val="1"/>
          <w:iCs w:val="1"/>
          <w:color w:val="auto"/>
        </w:rPr>
        <w:t>Changes in Form of Underwriter Warrant</w:t>
      </w:r>
      <w:r>
        <w:rPr>
          <w:rFonts w:ascii="Arial" w:cs="Arial" w:eastAsia="Arial" w:hAnsi="Arial"/>
          <w:sz w:val="18"/>
          <w:szCs w:val="18"/>
          <w:color w:val="auto"/>
        </w:rPr>
        <w:t>. This form of Underwriter Warrant need not be changed because of any change pursuant to this Section, and Underwriter Warrants issued after such change may state the same Exercise Price and the same number of Shares as are stated in the Underwriter Warrants initially issued pursuant to this Agreement. The acceptance by any Holder of the issuance of new Underwriter Warrants reflecting a required or permissive change shall not be deemed to waive any rights to a prior adjustment or the computation thereof.</w:t>
      </w:r>
    </w:p>
    <w:p>
      <w:pPr>
        <w:spacing w:after="0" w:line="188"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i w:val="1"/>
          <w:iCs w:val="1"/>
          <w:color w:val="auto"/>
        </w:rPr>
        <w:t>Elimination of Fractional Interests.</w:t>
      </w:r>
      <w:r>
        <w:rPr>
          <w:rFonts w:ascii="Arial" w:cs="Arial" w:eastAsia="Arial" w:hAnsi="Arial"/>
          <w:sz w:val="17"/>
          <w:szCs w:val="17"/>
          <w:color w:val="auto"/>
        </w:rPr>
        <w:t xml:space="preserve"> The Company shall not be required to issue fractions of Shares upon the exercise or transfer of the Underwriter Warrant, nor shall it be required to issue scrip or pay cash in lieu of any fractional interests, it being the intent of the parties that all fractional interests shall be eliminated by rounding any fraction up or down to the nearest whole number of Shares.</w:t>
      </w:r>
    </w:p>
    <w:p>
      <w:pPr>
        <w:spacing w:after="0" w:line="16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color w:val="auto"/>
        </w:rPr>
        <w:t>Reservation and Listing.</w:t>
      </w:r>
      <w:r>
        <w:rPr>
          <w:rFonts w:ascii="Arial" w:cs="Arial" w:eastAsia="Arial" w:hAnsi="Arial"/>
          <w:sz w:val="17"/>
          <w:szCs w:val="17"/>
          <w:color w:val="auto"/>
        </w:rPr>
        <w:t xml:space="preserve"> The Company shall at all times reserve and keep available out of its authorized Shares, solely for the purpose of issuance upon exercise of the Underwriter Warrants, such number of Shares or other securities, properties or rights as shall be issuable upon the exercise thereof. The Company covenants and agrees that, upon exercise of the Underwriter Warrants and payment of the Exercise Price therefor, all Shares and other securities issuable upon such exercise shall be duly and validly issued, fully paid and non-assessable and not subject to preemptive rights of any stockholder. As long as the Underwriter Warrants shall be outstanding, the Company shall use its best efforts to cause all Shares issuable upon exercise of the Underwriter Warrants to be listed (subject to official notice of issuance) on all securities exchanges (or, if applicable on Nasdaq) on which the Shares issued to the public in connection herewith are then listed and/or quoted.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Certain Notice Requirements.</w:t>
      </w:r>
    </w:p>
    <w:p>
      <w:pPr>
        <w:spacing w:after="0" w:line="225"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i w:val="1"/>
          <w:iCs w:val="1"/>
          <w:color w:val="auto"/>
        </w:rPr>
        <w:t>Holder’s Right to Receive Notice.</w:t>
      </w:r>
      <w:r>
        <w:rPr>
          <w:rFonts w:ascii="Arial" w:cs="Arial" w:eastAsia="Arial" w:hAnsi="Arial"/>
          <w:sz w:val="17"/>
          <w:szCs w:val="17"/>
          <w:color w:val="auto"/>
        </w:rPr>
        <w:t xml:space="preserve"> Nothing herein shall be construed as conferring upon the Holders the right to vote or consent or to receive notice as a stockholder for the election of directors or any other matter, or as having any rights whatsoever as a stockholder of the Company. If, however, at any time prior to the expiration of the Underwriter Warrants and their exercise, any of the events described in Section 7.2 shall occur, then, in one or more of said events, the Company shall give written notice of such event at least fifteen (15) days prior to the date fixed as a record date or the date of closing the transfer books for the determination of the stockholders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w:t>
      </w:r>
    </w:p>
    <w:p>
      <w:pPr>
        <w:spacing w:after="0" w:line="177"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i w:val="1"/>
          <w:iCs w:val="1"/>
          <w:color w:val="auto"/>
        </w:rPr>
        <w:t>Events Requiring Notice.</w:t>
      </w:r>
      <w:r>
        <w:rPr>
          <w:rFonts w:ascii="Arial" w:cs="Arial" w:eastAsia="Arial" w:hAnsi="Arial"/>
          <w:sz w:val="17"/>
          <w:szCs w:val="17"/>
          <w:color w:val="auto"/>
        </w:rPr>
        <w:t xml:space="preserve"> The Company shall be required to give the notice described in this Section 7 upon one or more of the following events: (i) if the Company shall take a record of the holders of its Shares for the purpose of entitling them to receive a dividend or distribution payable otherwise than in cash, or a cash dividend or distribution payable otherwise than out of retained earnings, as indicated by the accounting treatment of such dividend or distribution on the books of the Company, or (ii) the Company shall offer to all the holders of its Shares any additional shares of capital stock of the Company or securities convertible into or exchangeable for shares of capital stock of the Company, or any option, right or warrant to subscribe therefor, or (iii) a dissolution, liquidation or winding up of the Company (other than in connection with a consolidation or merger) or a sale of all or substantially all of its property, assets and business shall be proposed.</w:t>
      </w:r>
    </w:p>
    <w:p>
      <w:pPr>
        <w:spacing w:after="0" w:line="177"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Notice of Change in Exercise Price.</w:t>
      </w:r>
      <w:r>
        <w:rPr>
          <w:rFonts w:ascii="Arial" w:cs="Arial" w:eastAsia="Arial" w:hAnsi="Arial"/>
          <w:sz w:val="18"/>
          <w:szCs w:val="18"/>
          <w:color w:val="auto"/>
        </w:rPr>
        <w:t xml:space="preserve"> The Company shall, promptly after an event requiring a change in the Exercise Price pursuant to Section 7 hereof, send notice to the Holders of such event and change (“Price Notice”). The Price Notice shall describe the event causing the change and the method of calculating same and shall be certified as being true and accurate by the Company’s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4" w:name="page285"/>
    <w:bookmarkEnd w:id="284"/>
    <w:p>
      <w:pPr>
        <w:ind w:left="660" w:right="40"/>
        <w:spacing w:after="0" w:line="296"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i w:val="1"/>
          <w:iCs w:val="1"/>
          <w:color w:val="auto"/>
        </w:rPr>
        <w:t>Transmittal of Notices.</w:t>
      </w:r>
      <w:r>
        <w:rPr>
          <w:rFonts w:ascii="Arial" w:cs="Arial" w:eastAsia="Arial" w:hAnsi="Arial"/>
          <w:sz w:val="16"/>
          <w:szCs w:val="16"/>
          <w:color w:val="auto"/>
        </w:rPr>
        <w:t xml:space="preserve"> All notices, requests, consents and other communications under this Underwriter Warrant shall be in writing and shall be deemed to have been duly made on the date of delivery if delivered personally or sent by overnight courier, with acknowledgement of receipt to the party to which notice is given, or on the fifth day after mailing if mailed to the party to whom notice is to be given, by registered or certified mail, return receipt requested, postage prepaid and properly addressed as follows: (i) if to the registered Holder of the Underwriter Warrant, to the address of such Holder as shown on the books of the Company, or (ii) if to the Company, to its principal executive office.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Miscellaneous.</w:t>
      </w:r>
    </w:p>
    <w:p>
      <w:pPr>
        <w:spacing w:after="0" w:line="225"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The Company and the underwriters may from time to time supplement or amend this Underwriter Warrant without the approval of any of the Holders in order to cure any ambiguity, to correct or supplement any provision contained herein which may be defective or inconsistent with any other provisions herein, or to make any other provisions in regard to matters or questions arising hereunder which the Company and the underwriters may deem necessary or desirable and which the Company and the underwriters deem shall not adversely affect the interest of the Holders. All other modifications or amendments shall require the written consent of the party against whom enforcement of the modification or amendment is sought.</w:t>
      </w:r>
    </w:p>
    <w:p>
      <w:pPr>
        <w:spacing w:after="0" w:line="192"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The headings contained herein are for the sole purpose of convenience of reference, and shall not in any way limit or affect the meaning or interpretation of any of the terms or provisions of this Underwriter Warrant.</w:t>
      </w:r>
    </w:p>
    <w:p>
      <w:pPr>
        <w:spacing w:after="0" w:line="170" w:lineRule="exact"/>
        <w:rPr>
          <w:sz w:val="20"/>
          <w:szCs w:val="20"/>
          <w:color w:val="auto"/>
        </w:rPr>
      </w:pPr>
    </w:p>
    <w:p>
      <w:pPr>
        <w:jc w:val="both"/>
        <w:ind w:left="660" w:right="400"/>
        <w:spacing w:after="0" w:line="311"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Underwriter Warrant (together with the other agreements and documents being delivered pursuant to or in connection with this Underwriter Warrant) constitutes the entire agreement of the parties hereto with respect to the subject matter hereof, and supersedes all prior agreements and understandings of the parties, oral and written, with respect to the subject matter hereof.</w:t>
      </w:r>
    </w:p>
    <w:p>
      <w:pPr>
        <w:spacing w:after="0" w:line="149" w:lineRule="exact"/>
        <w:rPr>
          <w:sz w:val="20"/>
          <w:szCs w:val="20"/>
          <w:color w:val="auto"/>
        </w:rPr>
      </w:pPr>
    </w:p>
    <w:p>
      <w:pPr>
        <w:ind w:left="660" w:right="200"/>
        <w:spacing w:after="0" w:line="286"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i w:val="1"/>
          <w:iCs w:val="1"/>
          <w:color w:val="auto"/>
        </w:rPr>
        <w:t>Binding Effect.</w:t>
      </w:r>
      <w:r>
        <w:rPr>
          <w:rFonts w:ascii="Arial" w:cs="Arial" w:eastAsia="Arial" w:hAnsi="Arial"/>
          <w:sz w:val="17"/>
          <w:szCs w:val="17"/>
          <w:color w:val="auto"/>
        </w:rPr>
        <w:t xml:space="preserve"> This Underwriter Warrant shall inure solely to the benefit of and shall be binding upon, the Holder and the Company and their respective successors, legal representatives and assigns, and no other person shall have or be construed to have any legal or equitable right, remedy or claim under or in respect of or by virtue of this Underwriter Warrant or any provisions herein contained.</w:t>
      </w:r>
    </w:p>
    <w:p>
      <w:pPr>
        <w:spacing w:after="0" w:line="165"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i w:val="1"/>
          <w:iCs w:val="1"/>
          <w:color w:val="auto"/>
        </w:rPr>
        <w:t>Governing Law; Submission to Jurisdiction.</w:t>
      </w:r>
      <w:r>
        <w:rPr>
          <w:rFonts w:ascii="Arial" w:cs="Arial" w:eastAsia="Arial" w:hAnsi="Arial"/>
          <w:sz w:val="16"/>
          <w:szCs w:val="16"/>
          <w:color w:val="auto"/>
        </w:rPr>
        <w:t xml:space="preserve"> This Underwriter Warrant shall be governed by and construed and enforced in accordance with the laws of the State of New York, without giving effect to conflict of laws. The Company hereby agrees that any action, proceeding or claim against it arising out of, or relating in any way to this Underwriter Warrant shall be brought and enforced in the courts of the State of New York or of the United States of America for the Southern District of New York, and irrevocably submits to such jurisdiction, which jurisdiction shall be exclusive. The Company hereby waives any objection to such exclusive jurisdiction and that such courts represent an inconvenient forum. Any process or summons to be served upon the Company may be served by transmitting a copy thereof by registered or certified mail, return receipt requested, postage prepaid, addressed to Cogency Global Inc., 122 East 42nd Street, 18th Floor, New York, New York 10168. Such mailing shall be deemed personal service and shall be legal and binding upon the Company in any action, proceeding or claim. The Company and the Holder, by acceptance hereof, agree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68"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i w:val="1"/>
          <w:iCs w:val="1"/>
          <w:color w:val="auto"/>
        </w:rPr>
        <w:t>Waiver, Etc.</w:t>
      </w:r>
      <w:r>
        <w:rPr>
          <w:rFonts w:ascii="Arial" w:cs="Arial" w:eastAsia="Arial" w:hAnsi="Arial"/>
          <w:sz w:val="16"/>
          <w:szCs w:val="16"/>
          <w:color w:val="auto"/>
        </w:rPr>
        <w:t xml:space="preserve"> The failure of the Company or the Holder to at any time enforce any of the provisions of this Underwriter Warrant shall not be deemed or construed to be a waiver of any such provision, nor to in any way affect the validity of this Underwriter Warrant or any provision hereof or the right of the Company or any Holder to thereafter enforce each and every provision of this Underwriter Warrant. No waiver of any breach, non-compliance or non-fulfillment of any of the provisions of this Underwriter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Demand Registration.</w:t>
      </w:r>
    </w:p>
    <w:p>
      <w:pPr>
        <w:spacing w:after="0" w:line="225" w:lineRule="exact"/>
        <w:rPr>
          <w:sz w:val="20"/>
          <w:szCs w:val="20"/>
          <w:color w:val="auto"/>
        </w:rPr>
      </w:pPr>
    </w:p>
    <w:p>
      <w:pPr>
        <w:ind w:left="1300" w:right="20"/>
        <w:spacing w:after="0" w:line="269"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i w:val="1"/>
          <w:iCs w:val="1"/>
          <w:color w:val="auto"/>
        </w:rPr>
        <w:t>Grant of Right</w:t>
      </w:r>
      <w:r>
        <w:rPr>
          <w:rFonts w:ascii="Arial" w:cs="Arial" w:eastAsia="Arial" w:hAnsi="Arial"/>
          <w:sz w:val="17"/>
          <w:szCs w:val="17"/>
          <w:color w:val="auto"/>
        </w:rPr>
        <w:t>. The Company, upon written demand (“Initial Demand Notice”) of the Holder(s) of 50% or more of the underlying Shares (“Majority Holders”), agrees to register on one occasion, all or any portion of this Underwriter Warrant and all of the Shares underlying this Underwriter Warrant (collectively the “Registrable Securities”). On such occasion, the Company will file a registration statement covering the Registrable Securities within sixty (60) days after receipt of the Initial Demand Notice and use its best efforts to have the registration statement declared effective promptly thereafter. If the Company fails to comply with the provisions of this Section 9.1.1, the Company shall, in addition to any other equitable or other relief available to the Holder(s), be liable for any and all damages sustained by the Holder(s) as described in Section 9.3.6. The demand for registration may be made at any time during a period of four years beginning one year from the Effective Date. The Company covenants and agrees to give written notice of its receipt of any Initial Demand Notice by any Holder(s) to all other registered Holders of this Underwriter Warrant and/or the Registrable Securities within ten days from the date of the receipt of any such Initial Demand Notice.</w:t>
      </w:r>
    </w:p>
    <w:p>
      <w:pPr>
        <w:spacing w:after="0" w:line="185" w:lineRule="exact"/>
        <w:rPr>
          <w:sz w:val="20"/>
          <w:szCs w:val="20"/>
          <w:color w:val="auto"/>
        </w:rPr>
      </w:pPr>
    </w:p>
    <w:p>
      <w:pPr>
        <w:ind w:left="1300" w:right="80"/>
        <w:spacing w:after="0" w:line="289"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i w:val="1"/>
          <w:iCs w:val="1"/>
          <w:color w:val="auto"/>
        </w:rPr>
        <w:t>Terms</w:t>
      </w:r>
      <w:r>
        <w:rPr>
          <w:rFonts w:ascii="Arial" w:cs="Arial" w:eastAsia="Arial" w:hAnsi="Arial"/>
          <w:sz w:val="16"/>
          <w:szCs w:val="16"/>
          <w:color w:val="auto"/>
        </w:rPr>
        <w:t xml:space="preserve">. The Company shall bear all fees and expenses attendant to registering the Registrable Securities, but the Holders shall pay any and all underwriting commissions and the expenses of any legal counsel selected by the Holders to represent them in connection with the sale of the Registrable Securities. The Company agrees to use its reasonable best efforts to cause the filing required herein to become effective promptly and to qualify or register the Registrable Securities in such States as are reasonably requested by the 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Company be required to register the Registrable Securities in a State in which such registration would cause the Company to be obligated to register or license to do business in such State or submit to general service of process in such State. The Company shall cause any registration statement filed pursuant to the demand right granted under Section 9.1.1 to remain effective for a period of at least six consecutive months from the date that the Holders of the Registrable Securities covered by such registration statement are first given the opportunity to sell all of such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“Piggy-Back” Registration.</w:t>
      </w:r>
    </w:p>
    <w:p>
      <w:pPr>
        <w:spacing w:after="0" w:line="225" w:lineRule="exact"/>
        <w:rPr>
          <w:sz w:val="20"/>
          <w:szCs w:val="20"/>
          <w:color w:val="auto"/>
        </w:rPr>
      </w:pPr>
    </w:p>
    <w:p>
      <w:pPr>
        <w:ind w:left="1300"/>
        <w:spacing w:after="0" w:line="269"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i w:val="1"/>
          <w:iCs w:val="1"/>
          <w:color w:val="auto"/>
        </w:rPr>
        <w:t>Grant of Right</w:t>
      </w:r>
      <w:r>
        <w:rPr>
          <w:rFonts w:ascii="Arial" w:cs="Arial" w:eastAsia="Arial" w:hAnsi="Arial"/>
          <w:sz w:val="17"/>
          <w:szCs w:val="17"/>
          <w:color w:val="auto"/>
        </w:rPr>
        <w:t xml:space="preserve">. In addition to the demand right of registration, the Holders of this Underwriter Warrant shall have the right for a period of six (6) years commencing one year from the Effective Date, to include the Registrable Securities as part of any other registration of securities filed by the Company (other than in connection with a transaction contemplated by Rule 145(a) promulgated under the Act or pursuant to Form S-8 or any equivalent form);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in the written determination of the Company’s managing underwriter or underwriters, if any, for such offering, the inclusion of the Registrable Securities, when added to the securities being registered by the Company or the selling stockholder(s), will exceed the maximum amount of the Company’s securities which can be marketed (i) at a price reasonably related to their then current market value, or (ii) without materially and adversely affecting the entire offering, the Company will include in such registration (a) first, the Securities the Company proposes to sell and (b) second, any other securities registered on behalf of selling stockholders, including the Holders, pro rata among such stockholders on the basis of the number of securities requested by such stockholders to be included.</w:t>
      </w:r>
    </w:p>
    <w:p>
      <w:pPr>
        <w:spacing w:after="0" w:line="185" w:lineRule="exact"/>
        <w:rPr>
          <w:sz w:val="20"/>
          <w:szCs w:val="20"/>
          <w:color w:val="auto"/>
        </w:rPr>
      </w:pPr>
    </w:p>
    <w:p>
      <w:pPr>
        <w:ind w:left="1300" w:right="20"/>
        <w:spacing w:after="0" w:line="269" w:lineRule="auto"/>
        <w:rPr>
          <w:sz w:val="20"/>
          <w:szCs w:val="20"/>
          <w:color w:val="auto"/>
        </w:rPr>
      </w:pPr>
      <w:r>
        <w:rPr>
          <w:rFonts w:ascii="Arial" w:cs="Arial" w:eastAsia="Arial" w:hAnsi="Arial"/>
          <w:sz w:val="17"/>
          <w:szCs w:val="17"/>
          <w:color w:val="auto"/>
        </w:rPr>
        <w:t xml:space="preserve">Section 9.2.2 </w:t>
      </w:r>
      <w:r>
        <w:rPr>
          <w:rFonts w:ascii="Arial" w:cs="Arial" w:eastAsia="Arial" w:hAnsi="Arial"/>
          <w:sz w:val="17"/>
          <w:szCs w:val="17"/>
          <w:i w:val="1"/>
          <w:iCs w:val="1"/>
          <w:color w:val="auto"/>
        </w:rPr>
        <w:t>Terms</w:t>
      </w:r>
      <w:r>
        <w:rPr>
          <w:rFonts w:ascii="Arial" w:cs="Arial" w:eastAsia="Arial" w:hAnsi="Arial"/>
          <w:sz w:val="17"/>
          <w:szCs w:val="17"/>
          <w:color w:val="auto"/>
        </w:rPr>
        <w:t>. The Company shall bear all fees and expenses attendant to registering the Registrable Securities, but the Holders shall pay any and all underwriting commissions and the expenses of any legal counsel selected by the Holders to represent them in connection with the sale of the Registrable Securities. In the event of such a proposed registration, the Company shall furnish the then Holders of outstanding Registrable Securities with not less than thirty (30) days written notice prior to the proposed date of filing of such registration statement. Such notice to the Holders shall continue to be given for each registration statement filed by the Company until such time as all of the Registrable Securities have been sold by the Holder. The holders of the Registrable Securities shall exercise the “piggy-back” rights provided for herein by giving written notice, within twenty (20) days of the receipt of the Company’s notice of its intention to file a registration statement. The Company shall cause any registration statement filed pursuant to the above “piggyback” rights to remain effective for at least six months from the date that the Holders of the Registrable Securities are first given the opportunity to sell all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General Terms.</w:t>
      </w:r>
    </w:p>
    <w:p>
      <w:pPr>
        <w:spacing w:after="0" w:line="225"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 xml:space="preserve">Section 9.3.1 </w:t>
      </w:r>
      <w:r>
        <w:rPr>
          <w:rFonts w:ascii="Arial" w:cs="Arial" w:eastAsia="Arial" w:hAnsi="Arial"/>
          <w:sz w:val="17"/>
          <w:szCs w:val="17"/>
          <w:i w:val="1"/>
          <w:iCs w:val="1"/>
          <w:color w:val="auto"/>
        </w:rPr>
        <w:t>Indemnification</w:t>
      </w:r>
      <w:r>
        <w:rPr>
          <w:rFonts w:ascii="Arial" w:cs="Arial" w:eastAsia="Arial" w:hAnsi="Arial"/>
          <w:sz w:val="17"/>
          <w:szCs w:val="17"/>
          <w:color w:val="auto"/>
        </w:rPr>
        <w:t>. The Company shall indemnify the Holder(s) of the Registrable Securities to be sold pursuant to any registration statement hereunder and each person, if any, who controls such Holders within the meaning of Section 15 of the Act or Section 20(a) of the Securities Exchange Act of 1934, as amended (“Exchange Act”), against all loss, claim, damage, expense or liability (including all reasonable attorneys’ fees and other expenses reasonably incurred in investigating, preparing or defending against any claim whatsoever) to which any of them may become subject under the Act, the Exchange Act or otherwise, arising from such registration statement but only to the same extent and with the same effect as the provisions pursuant to which the Company has agreed to indemnify the Underwriters contained in Section 5 of the Underwriting Agreement between the Underwriters and the Company, dated the Effective Date. The Holder(s) of the Registrable Securities to be sold pursuant to such registration statement, and their successors and assigns, shall severally, 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Act, the Exchange Act or otherwise, arising from information furnished by or on behalf of such Holders, or their successors or assigns, in writing, for specific inclusion in such registration statement to the same extent and with the same effect as the provisions contained in Section 5 of the Underwriting Agreement pursuant to which the Underwriters have agreed to indemnify the Company.</w:t>
      </w:r>
    </w:p>
    <w:p>
      <w:pPr>
        <w:spacing w:after="0" w:line="184" w:lineRule="exact"/>
        <w:rPr>
          <w:sz w:val="20"/>
          <w:szCs w:val="20"/>
          <w:color w:val="auto"/>
        </w:rPr>
      </w:pPr>
    </w:p>
    <w:p>
      <w:pPr>
        <w:ind w:left="640" w:right="120"/>
        <w:spacing w:after="0" w:line="342" w:lineRule="auto"/>
        <w:rPr>
          <w:sz w:val="20"/>
          <w:szCs w:val="20"/>
          <w:color w:val="auto"/>
        </w:rPr>
      </w:pPr>
      <w:r>
        <w:rPr>
          <w:rFonts w:ascii="Arial" w:cs="Arial" w:eastAsia="Arial" w:hAnsi="Arial"/>
          <w:sz w:val="16"/>
          <w:szCs w:val="16"/>
          <w:color w:val="auto"/>
        </w:rPr>
        <w:t xml:space="preserve">Section 9.3.2 </w:t>
      </w:r>
      <w:r>
        <w:rPr>
          <w:rFonts w:ascii="Arial" w:cs="Arial" w:eastAsia="Arial" w:hAnsi="Arial"/>
          <w:sz w:val="16"/>
          <w:szCs w:val="16"/>
          <w:i w:val="1"/>
          <w:iCs w:val="1"/>
          <w:color w:val="auto"/>
        </w:rPr>
        <w:t>Exercise of this Underwriter Warrant</w:t>
      </w:r>
      <w:r>
        <w:rPr>
          <w:rFonts w:ascii="Arial" w:cs="Arial" w:eastAsia="Arial" w:hAnsi="Arial"/>
          <w:sz w:val="16"/>
          <w:szCs w:val="16"/>
          <w:color w:val="auto"/>
        </w:rPr>
        <w:t>. Nothing contained in this Underwriter Warrant shall be construed as requiring the Holder(s) to exercise this Underwriter Warrant prior to or after the initial filing of any registration statement or the effectiveness thereof.</w:t>
      </w:r>
    </w:p>
    <w:p>
      <w:pPr>
        <w:spacing w:after="0" w:line="124" w:lineRule="exact"/>
        <w:rPr>
          <w:sz w:val="20"/>
          <w:szCs w:val="20"/>
          <w:color w:val="auto"/>
        </w:rPr>
      </w:pPr>
    </w:p>
    <w:p>
      <w:pPr>
        <w:ind w:left="640" w:right="40"/>
        <w:spacing w:after="0" w:line="285" w:lineRule="auto"/>
        <w:rPr>
          <w:sz w:val="20"/>
          <w:szCs w:val="20"/>
          <w:color w:val="auto"/>
        </w:rPr>
      </w:pPr>
      <w:r>
        <w:rPr>
          <w:rFonts w:ascii="Arial" w:cs="Arial" w:eastAsia="Arial" w:hAnsi="Arial"/>
          <w:sz w:val="16"/>
          <w:szCs w:val="16"/>
          <w:color w:val="auto"/>
        </w:rPr>
        <w:t xml:space="preserve">Section 9.3.3 </w:t>
      </w:r>
      <w:r>
        <w:rPr>
          <w:rFonts w:ascii="Arial" w:cs="Arial" w:eastAsia="Arial" w:hAnsi="Arial"/>
          <w:sz w:val="16"/>
          <w:szCs w:val="16"/>
          <w:i w:val="1"/>
          <w:iCs w:val="1"/>
          <w:color w:val="auto"/>
        </w:rPr>
        <w:t>Documents Delivered to Holders</w:t>
      </w:r>
      <w:r>
        <w:rPr>
          <w:rFonts w:ascii="Arial" w:cs="Arial" w:eastAsia="Arial" w:hAnsi="Arial"/>
          <w:sz w:val="16"/>
          <w:szCs w:val="16"/>
          <w:color w:val="auto"/>
        </w:rPr>
        <w:t>. The Company shall furnish to each Holder participating in any of the foregoing offerings and to each underwriter of any such offering, if any, a signed counterpart, addressed to such Holder or underwriter, of (i) an opinion of counsel to the Company, dated the effective date of such registration statement (and, if such registration includes an underwritten public offering, an opinion dated the date of the closing under any underwriting agreement related thereto) relating to, among other matters, the due establishment of the Company, the validity of the shares being issued and the due execution and delivery of the underwriting agreement and a statement of such counsel regarding the absence of material misstatements or omissions in such registration statement, and (ii) a “cold comfort” letter dated the effective date of such registration statement (and, if such registration includes an underwritten public offering, a letter dated the date of the closing under the underwriting agreement) signed by the independent public accountants who have issued a report on the Company’s financial statements included in such registration statement covering substantially the same matters with respect to such registration statement (and the prospectus included therein) and with respect to events subsequent to the date of such financial statements as are customarily covered in accountants’ letters delivered to underwriters in underwritten public offerings of securities. The Company shall also deliver promptly to each Holder participating in the offering requesting the correspondence described below and to the managing underwriter copies of all correspondence between the Commission and the Company, its counsel or auditors and all memoranda relating to discussions with the Commission or its staff with respect to the registration statement and permit each Holder and underwriter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as any such Holder shall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255270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38" w:right="339" w:bottom="1440" w:gutter="0" w:footer="0" w:header="0"/>
        </w:sectPr>
      </w:pPr>
    </w:p>
    <w:bookmarkStart w:id="287" w:name="page288"/>
    <w:bookmarkEnd w:id="287"/>
    <w:p>
      <w:pPr>
        <w:ind w:left="180"/>
        <w:spacing w:after="0" w:line="289" w:lineRule="auto"/>
        <w:rPr>
          <w:sz w:val="20"/>
          <w:szCs w:val="20"/>
          <w:color w:val="auto"/>
        </w:rPr>
      </w:pPr>
      <w:r>
        <w:rPr>
          <w:rFonts w:ascii="Arial" w:cs="Arial" w:eastAsia="Arial" w:hAnsi="Arial"/>
          <w:sz w:val="16"/>
          <w:szCs w:val="16"/>
          <w:color w:val="auto"/>
        </w:rPr>
        <w:t xml:space="preserve">Section 9.3.4 </w:t>
      </w:r>
      <w:r>
        <w:rPr>
          <w:rFonts w:ascii="Arial" w:cs="Arial" w:eastAsia="Arial" w:hAnsi="Arial"/>
          <w:sz w:val="16"/>
          <w:szCs w:val="16"/>
          <w:i w:val="1"/>
          <w:iCs w:val="1"/>
          <w:color w:val="auto"/>
        </w:rPr>
        <w:t>Underwriting Agreement</w:t>
      </w:r>
      <w:r>
        <w:rPr>
          <w:rFonts w:ascii="Arial" w:cs="Arial" w:eastAsia="Arial" w:hAnsi="Arial"/>
          <w:sz w:val="16"/>
          <w:szCs w:val="16"/>
          <w:color w:val="auto"/>
        </w:rPr>
        <w:t>. The Company shall enter into an underwriting agreement with the managing underwriter(s) selected by any Holders whose Registrable Securities are being registered pursuant to this Section 9, which managing underwriter shall be reasonably satisfactory to the Company. Such agreement shall be reasonably satisfactory in form and substance to the Company, each Holder and such managing underwriters, and shall contain such representations, warranties and covenants by the Company and such other terms as are customarily contained in agreements of that type used by the managing underwriter. The Holders shall be parties to any underwriting agreement relating to an underwritten sale of their Registrable Securities and may, at their option, require that any or all the representations, warranties and covenants of the Company to or for the benefit of such underwriters shall also be made to and for the benefit of such Holders. Such Holders shall not be required to make any representations or warranties to or agreements with the Company or the underwriters except as they may relate to such Holders, their Shares and their intended methods of distribution.</w:t>
      </w:r>
    </w:p>
    <w:p>
      <w:pPr>
        <w:spacing w:after="0" w:line="166" w:lineRule="exact"/>
        <w:rPr>
          <w:sz w:val="20"/>
          <w:szCs w:val="20"/>
          <w:color w:val="auto"/>
        </w:rPr>
      </w:pPr>
    </w:p>
    <w:p>
      <w:pPr>
        <w:jc w:val="both"/>
        <w:ind w:left="180" w:right="100"/>
        <w:spacing w:after="0" w:line="263" w:lineRule="auto"/>
        <w:rPr>
          <w:sz w:val="20"/>
          <w:szCs w:val="20"/>
          <w:color w:val="auto"/>
        </w:rPr>
      </w:pPr>
      <w:r>
        <w:rPr>
          <w:rFonts w:ascii="Arial" w:cs="Arial" w:eastAsia="Arial" w:hAnsi="Arial"/>
          <w:sz w:val="18"/>
          <w:szCs w:val="18"/>
          <w:color w:val="auto"/>
        </w:rPr>
        <w:t xml:space="preserve">Section 9.3.5 </w:t>
      </w:r>
      <w:r>
        <w:rPr>
          <w:rFonts w:ascii="Arial" w:cs="Arial" w:eastAsia="Arial" w:hAnsi="Arial"/>
          <w:sz w:val="18"/>
          <w:szCs w:val="18"/>
          <w:i w:val="1"/>
          <w:iCs w:val="1"/>
          <w:color w:val="auto"/>
        </w:rPr>
        <w:t>Documents to be Delivered by Holder(s)</w:t>
      </w:r>
      <w:r>
        <w:rPr>
          <w:rFonts w:ascii="Arial" w:cs="Arial" w:eastAsia="Arial" w:hAnsi="Arial"/>
          <w:sz w:val="18"/>
          <w:szCs w:val="18"/>
          <w:color w:val="auto"/>
        </w:rPr>
        <w:t>. Each of the Holder(s) participating in any of the foregoing offerings shall furnish to the Company a completed and executed questionnaire provided by the Company requesting information customarily sought of selling securityholders.</w:t>
      </w:r>
    </w:p>
    <w:p>
      <w:pPr>
        <w:spacing w:after="0" w:line="184" w:lineRule="exact"/>
        <w:rPr>
          <w:sz w:val="20"/>
          <w:szCs w:val="20"/>
          <w:color w:val="auto"/>
        </w:rPr>
      </w:pPr>
    </w:p>
    <w:p>
      <w:pPr>
        <w:ind w:left="180" w:right="40"/>
        <w:spacing w:after="0" w:line="279" w:lineRule="auto"/>
        <w:rPr>
          <w:sz w:val="20"/>
          <w:szCs w:val="20"/>
          <w:color w:val="auto"/>
        </w:rPr>
      </w:pPr>
      <w:r>
        <w:rPr>
          <w:rFonts w:ascii="Arial" w:cs="Arial" w:eastAsia="Arial" w:hAnsi="Arial"/>
          <w:sz w:val="17"/>
          <w:szCs w:val="17"/>
          <w:color w:val="auto"/>
        </w:rPr>
        <w:t xml:space="preserve">Section 9.3.6 </w:t>
      </w:r>
      <w:r>
        <w:rPr>
          <w:rFonts w:ascii="Arial" w:cs="Arial" w:eastAsia="Arial" w:hAnsi="Arial"/>
          <w:sz w:val="17"/>
          <w:szCs w:val="17"/>
          <w:i w:val="1"/>
          <w:iCs w:val="1"/>
          <w:color w:val="auto"/>
        </w:rPr>
        <w:t>Damages.</w:t>
      </w:r>
      <w:r>
        <w:rPr>
          <w:rFonts w:ascii="Arial" w:cs="Arial" w:eastAsia="Arial" w:hAnsi="Arial"/>
          <w:sz w:val="17"/>
          <w:szCs w:val="17"/>
          <w:color w:val="auto"/>
        </w:rPr>
        <w:t xml:space="preserve"> Should the registration or the effectiveness thereof required by Sections 9.1 and 9.2 hereof be delayed by the Company or the Company otherwise fails to comply with such provisions, the Company shall, in addition to any other equitable or other relief available to the Holder(s), be liable for any and all damages sustained by the Holder(s), including, but not limited to, the loss of any profits that might have been received by the Holder upon the sale of Shares underlying this Underwriter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38" w:right="339" w:bottom="1440" w:gutter="0" w:footer="0" w:header="0"/>
        </w:sectPr>
      </w:pPr>
    </w:p>
    <w:bookmarkStart w:id="288" w:name="page289"/>
    <w:bookmarkEnd w:id="288"/>
    <w:p>
      <w:pPr>
        <w:spacing w:after="0"/>
        <w:rPr>
          <w:sz w:val="20"/>
          <w:szCs w:val="20"/>
          <w:color w:val="auto"/>
        </w:rPr>
      </w:pPr>
      <w:r>
        <w:rPr>
          <w:rFonts w:ascii="Arial" w:cs="Arial" w:eastAsia="Arial" w:hAnsi="Arial"/>
          <w:sz w:val="16"/>
          <w:szCs w:val="16"/>
          <w:color w:val="auto"/>
        </w:rPr>
        <w:t>IN WITNESS WHEREOF, the Company has caused this Underwriter Warrant to be signed by its duly authorized officer as of the day of [●], 2021.</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GENENTA SCIENCE S.P.A.</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Pierluigi Paracchi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665" w:right="97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color w:val="auto"/>
        </w:rPr>
        <w:t>Form to be used to exercise Underwriter Warrant: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Genenta Science S.p.A.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undersigned hereby elects irrevocably to exercise the within Underwriter Warrant and to purchase Shares of Genenta Science S.p.A. and hereby makes payment of $ (at the rate of $ per share) in payment of the Exercise Price pursuant thereto. Please issue the Share as to which this Underwriter Warrant is exercised in accordance with the instructions given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undersigned hereby elects irrevocably to exercise the within Underwriter Warrant and to purchase Shares of Genenta Science S.p.A. by surrender of the unexercised portion of the within Underwriter Warrant (with a “Value” of $ based on a “Market Price” of $ ). Please issue the Shares as to which this Underwriter Warrant is exercised in accordance with the instructions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262890</wp:posOffset>
            </wp:positionV>
            <wp:extent cx="3566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1"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NOTICE: The signature to this form must correspond with the name as written upon the face of the within Underwriter Warrant in every particular without alteration or enlargement or any change whatsoever.</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INSTRUCTIONS FOR REGISTRATION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(Print in Block Letters)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41223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4122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color w:val="auto"/>
        </w:rPr>
        <w:t>Form to be used to assign Underwriter Warrant:</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be executed by the registered Holder to effect a transfer of the within Underwriter Warrant):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VALUE RECEIVED, does hereby sell, assign and transfer unto the right to purchase Shares of Genenta Science S.p.A. (“Company”) evidenced by the within Underwriter Warrant and does hereby authorize the Company to transfer such right on the books of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288925</wp:posOffset>
            </wp:positionV>
            <wp:extent cx="348869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49758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NOTICE: The signature to this form must correspond with the name as written upon the face of the within Underwriter Warrant in every particular without alteration or enlargement or any change whatsoever, and must be guaranteed by a bank, other than a savings bank, or by a trust company or by a firm having membership on a registered national securities exchange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661" w:right="599" w:bottom="1440" w:gutter="0" w:footer="0" w:header="0"/>
        </w:sectPr>
      </w:pPr>
    </w:p>
    <w:bookmarkStart w:id="291" w:name="page292"/>
    <w:bookmarkEnd w:id="291"/>
    <w:p>
      <w:pPr>
        <w:ind w:left="10400"/>
        <w:spacing w:after="0"/>
        <w:rPr>
          <w:sz w:val="20"/>
          <w:szCs w:val="20"/>
          <w:color w:val="auto"/>
        </w:rPr>
      </w:pPr>
      <w:r>
        <w:rPr>
          <w:rFonts w:ascii="Arial" w:cs="Arial" w:eastAsia="Arial" w:hAnsi="Arial"/>
          <w:sz w:val="16"/>
          <w:szCs w:val="16"/>
          <w:b w:val="1"/>
          <w:bCs w:val="1"/>
          <w:color w:val="auto"/>
        </w:rPr>
        <w:t>Exhibit 4.4</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NOTE ABOUT TRANSLATION: This document is an English translation of a document in Italian language. In preparing this document, an attempt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has been made to translate as literally as possible without jeopardizing the overall continuity of the text. Inevitably, however, differences may occur in translation and if they do, the Italian text will govern by law. In this translation, Italian legal concepts are expressed in English terms and not in their original Italian terms. The concepts concerned may not be identical to concepts described by the English terms as such terms may be understood under the laws of other jurisdictions</w:t>
      </w:r>
      <w:r>
        <w:rPr>
          <w:rFonts w:ascii="Arial" w:cs="Arial" w:eastAsia="Arial" w:hAnsi="Arial"/>
          <w:sz w:val="18"/>
          <w:szCs w:val="18"/>
          <w:b w:val="1"/>
          <w:bCs w:val="1"/>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OF ORDINARY SHARES OF GENENTA SCIENCE S.P.A.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07" w:lineRule="exact"/>
        <w:rPr>
          <w:sz w:val="20"/>
          <w:szCs w:val="20"/>
          <w:color w:val="auto"/>
        </w:rPr>
      </w:pPr>
    </w:p>
    <w:p>
      <w:pPr>
        <w:jc w:val="both"/>
        <w:ind w:left="660" w:hanging="328"/>
        <w:spacing w:after="0" w:line="25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 the context of the process of listing the ordinary shares of Genenta Science S.p.A.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represented by </w:t>
      </w:r>
      <w:r>
        <w:rPr>
          <w:rFonts w:ascii="Arial" w:cs="Arial" w:eastAsia="Arial" w:hAnsi="Arial"/>
          <w:sz w:val="18"/>
          <w:szCs w:val="18"/>
          <w:i w:val="1"/>
          <w:iCs w:val="1"/>
          <w:color w:val="auto"/>
        </w:rPr>
        <w:t>American Depositary Shares</w:t>
      </w:r>
      <w:r>
        <w:rPr>
          <w:rFonts w:ascii="Arial" w:cs="Arial" w:eastAsia="Arial" w:hAnsi="Arial"/>
          <w:sz w:val="18"/>
          <w:szCs w:val="18"/>
          <w:color w:val="auto"/>
        </w:rPr>
        <w:t>, on the U.S. Nasdaq Capital Market, on May 20, 2021, the extraordinary Shareholders’ Meeting of the Company has authorized a specific capital increase, with the exclusion of the pre-emption right, to service the transaction;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offering of the securities (the </w:t>
      </w:r>
      <w:r>
        <w:rPr>
          <w:rFonts w:ascii="Arial" w:cs="Arial" w:eastAsia="Arial" w:hAnsi="Arial"/>
          <w:sz w:val="18"/>
          <w:szCs w:val="18"/>
          <w:b w:val="1"/>
          <w:bCs w:val="1"/>
          <w:color w:val="auto"/>
        </w:rPr>
        <w:t>Offering</w:t>
      </w:r>
      <w:r>
        <w:rPr>
          <w:rFonts w:ascii="Arial" w:cs="Arial" w:eastAsia="Arial" w:hAnsi="Arial"/>
          <w:sz w:val="18"/>
          <w:szCs w:val="18"/>
          <w:color w:val="auto"/>
        </w:rPr>
        <w:t xml:space="preserve">) is being made pursuant to an effective registration statement (Form F - 1)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 filed by the Company with the Securities and Exchange Commission (the</w:t>
      </w:r>
      <w:r>
        <w:rPr>
          <w:rFonts w:ascii="Arial" w:cs="Arial" w:eastAsia="Arial" w:hAnsi="Arial"/>
          <w:sz w:val="18"/>
          <w:szCs w:val="18"/>
          <w:b w:val="1"/>
          <w:bCs w:val="1"/>
          <w:color w:val="auto"/>
        </w:rPr>
        <w:t xml:space="preserve"> Commission</w:t>
      </w:r>
      <w:r>
        <w:rPr>
          <w:rFonts w:ascii="Arial" w:cs="Arial" w:eastAsia="Arial" w:hAnsi="Arial"/>
          <w:sz w:val="18"/>
          <w:szCs w:val="18"/>
          <w:color w:val="auto"/>
        </w:rPr>
        <w:t>) (including the prospectus contained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Prospectus</w:t>
      </w:r>
      <w:r>
        <w:rPr>
          <w:rFonts w:ascii="Arial" w:cs="Arial" w:eastAsia="Arial" w:hAnsi="Arial"/>
          <w:sz w:val="18"/>
          <w:szCs w:val="18"/>
          <w:color w:val="auto"/>
        </w:rPr>
        <w:t>), Prospectus subject to U.S. regulation, containing information regarding the securities and the terms of the Offering that has been or will be filed with the Commission and made available to the Shareholder, as defined below, by the filing by the Company of an electronic version thereof with the Commission;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 the context of this Offering, a tranche of newly issued ordinary shares was reserved for subscription by the Company’s existing shareholders (the </w:t>
      </w:r>
      <w:r>
        <w:rPr>
          <w:rFonts w:ascii="Arial" w:cs="Arial" w:eastAsia="Arial" w:hAnsi="Arial"/>
          <w:sz w:val="18"/>
          <w:szCs w:val="18"/>
          <w:b w:val="1"/>
          <w:bCs w:val="1"/>
          <w:color w:val="auto"/>
        </w:rPr>
        <w:t>Reserved Offering</w:t>
      </w:r>
      <w:r>
        <w:rPr>
          <w:rFonts w:ascii="Arial" w:cs="Arial" w:eastAsia="Arial" w:hAnsi="Arial"/>
          <w:sz w:val="18"/>
          <w:szCs w:val="18"/>
          <w:color w:val="auto"/>
        </w:rPr>
        <w:t>);</w:t>
      </w:r>
    </w:p>
    <w:p>
      <w:pPr>
        <w:jc w:val="both"/>
        <w:ind w:left="660" w:hanging="328"/>
        <w:spacing w:after="0" w:line="253"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Reserved Offering falls within the cases of inapplicability of the provisions on public offerings of securities provided for in section 100 of Legislative Decree no. 58 of 24 February 1998 (the </w:t>
      </w:r>
      <w:r>
        <w:rPr>
          <w:rFonts w:ascii="Arial" w:cs="Arial" w:eastAsia="Arial" w:hAnsi="Arial"/>
          <w:sz w:val="18"/>
          <w:szCs w:val="18"/>
          <w:b w:val="1"/>
          <w:bCs w:val="1"/>
          <w:color w:val="auto"/>
        </w:rPr>
        <w:t>Consolidated Law on Finance</w:t>
      </w:r>
      <w:r>
        <w:rPr>
          <w:rFonts w:ascii="Arial" w:cs="Arial" w:eastAsia="Arial" w:hAnsi="Arial"/>
          <w:sz w:val="18"/>
          <w:szCs w:val="18"/>
          <w:color w:val="auto"/>
        </w:rPr>
        <w:t>), section 34-</w:t>
      </w:r>
      <w:r>
        <w:rPr>
          <w:rFonts w:ascii="Arial" w:cs="Arial" w:eastAsia="Arial" w:hAnsi="Arial"/>
          <w:sz w:val="18"/>
          <w:szCs w:val="18"/>
          <w:i w:val="1"/>
          <w:iCs w:val="1"/>
          <w:color w:val="auto"/>
        </w:rPr>
        <w:t>ter</w:t>
      </w:r>
      <w:r>
        <w:rPr>
          <w:rFonts w:ascii="Arial" w:cs="Arial" w:eastAsia="Arial" w:hAnsi="Arial"/>
          <w:sz w:val="18"/>
          <w:szCs w:val="18"/>
          <w:color w:val="auto"/>
        </w:rPr>
        <w:t xml:space="preserve">, of the issuers’ regulations adopted with CONSOB resolution no. 11971 of 14 May 1999 (the </w:t>
      </w:r>
      <w:r>
        <w:rPr>
          <w:rFonts w:ascii="Arial" w:cs="Arial" w:eastAsia="Arial" w:hAnsi="Arial"/>
          <w:sz w:val="18"/>
          <w:szCs w:val="18"/>
          <w:b w:val="1"/>
          <w:bCs w:val="1"/>
          <w:color w:val="auto"/>
        </w:rPr>
        <w:t>Issuers’ Regulation</w:t>
      </w:r>
      <w:r>
        <w:rPr>
          <w:rFonts w:ascii="Arial" w:cs="Arial" w:eastAsia="Arial" w:hAnsi="Arial"/>
          <w:sz w:val="18"/>
          <w:szCs w:val="18"/>
          <w:color w:val="auto"/>
        </w:rPr>
        <w:t xml:space="preserve">) and section 1, paragraph 4, of Regulation (EU) 2017/1129 (the </w:t>
      </w:r>
      <w:r>
        <w:rPr>
          <w:rFonts w:ascii="Arial" w:cs="Arial" w:eastAsia="Arial" w:hAnsi="Arial"/>
          <w:sz w:val="18"/>
          <w:szCs w:val="18"/>
          <w:b w:val="1"/>
          <w:bCs w:val="1"/>
          <w:color w:val="auto"/>
        </w:rPr>
        <w:t>Prospectus Regulation</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undersigned___________________________ (the </w:t>
      </w:r>
      <w:r>
        <w:rPr>
          <w:rFonts w:ascii="Arial" w:cs="Arial" w:eastAsia="Arial" w:hAnsi="Arial"/>
          <w:sz w:val="18"/>
          <w:szCs w:val="18"/>
          <w:b w:val="1"/>
          <w:bCs w:val="1"/>
          <w:color w:val="auto"/>
        </w:rPr>
        <w:t>Shareholder</w:t>
      </w:r>
      <w:r>
        <w:rPr>
          <w:rFonts w:ascii="Arial" w:cs="Arial" w:eastAsia="Arial" w:hAnsi="Arial"/>
          <w:sz w:val="18"/>
          <w:szCs w:val="18"/>
          <w:color w:val="auto"/>
        </w:rPr>
        <w:t>), fiscal code no.____________________________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REPRESENTS</w:t>
      </w:r>
    </w:p>
    <w:p>
      <w:pPr>
        <w:spacing w:after="0" w:line="229"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be a Shareholder of the Company;</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be a “</w:t>
      </w:r>
      <w:r>
        <w:rPr>
          <w:rFonts w:ascii="Arial" w:cs="Arial" w:eastAsia="Arial" w:hAnsi="Arial"/>
          <w:sz w:val="18"/>
          <w:szCs w:val="18"/>
          <w:i w:val="1"/>
          <w:iCs w:val="1"/>
          <w:color w:val="auto"/>
        </w:rPr>
        <w:t>qualified investor</w:t>
      </w:r>
      <w:r>
        <w:rPr>
          <w:rFonts w:ascii="Arial" w:cs="Arial" w:eastAsia="Arial" w:hAnsi="Arial"/>
          <w:sz w:val="18"/>
          <w:szCs w:val="18"/>
          <w:color w:val="auto"/>
        </w:rPr>
        <w:t>” as defined in the Prospectus Regulations pursuant to Article 2(e);] [</w:t>
      </w:r>
      <w:r>
        <w:rPr>
          <w:rFonts w:ascii="Arial" w:cs="Arial" w:eastAsia="Arial" w:hAnsi="Arial"/>
          <w:sz w:val="18"/>
          <w:szCs w:val="18"/>
          <w:i w:val="1"/>
          <w:iCs w:val="1"/>
          <w:u w:val="single" w:color="auto"/>
          <w:color w:val="auto"/>
        </w:rPr>
        <w:t>Note</w:t>
      </w:r>
      <w:r>
        <w:rPr>
          <w:rFonts w:ascii="Arial" w:cs="Arial" w:eastAsia="Arial" w:hAnsi="Arial"/>
          <w:sz w:val="18"/>
          <w:szCs w:val="18"/>
          <w:i w:val="1"/>
          <w:iCs w:val="1"/>
          <w:color w:val="auto"/>
        </w:rPr>
        <w:t>: this declaration shall be deleted if the</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 is not a qualified investor</w:t>
      </w:r>
      <w:r>
        <w:rPr>
          <w:rFonts w:ascii="Arial" w:cs="Arial" w:eastAsia="Arial" w:hAnsi="Arial"/>
          <w:sz w:val="18"/>
          <w:szCs w:val="18"/>
          <w:color w:val="auto"/>
        </w:rPr>
        <w:t>]</w:t>
      </w:r>
    </w:p>
    <w:p>
      <w:pPr>
        <w:ind w:left="660" w:hanging="328"/>
        <w:spacing w:after="0" w:line="250" w:lineRule="auto"/>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that he/she/it has examined, by access to the following link __________ , the preliminary Prospectus dated _______ 2021 and the final Prospectus dated ______ 2021, each of which is included in the Registration Statement; and</w:t>
      </w:r>
    </w:p>
    <w:p>
      <w:pPr>
        <w:ind w:left="660" w:hanging="328"/>
        <w:spacing w:after="0"/>
        <w:tabs>
          <w:tab w:leader="none" w:pos="6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that he/she/it has acknowledged and understood the contents of the Prospectus and fully accepts the terms and conditions of the Prospectus;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REPRESENTS and UNDERTAKES</w:t>
      </w:r>
    </w:p>
    <w:p>
      <w:pPr>
        <w:spacing w:after="0" w:line="225" w:lineRule="exact"/>
        <w:rPr>
          <w:sz w:val="20"/>
          <w:szCs w:val="20"/>
          <w:color w:val="auto"/>
        </w:rPr>
      </w:pPr>
    </w:p>
    <w:p>
      <w:pPr>
        <w:ind w:left="660" w:hanging="328"/>
        <w:spacing w:after="0" w:line="261"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to subscribe ______ newly issued ordinary shares of the Company, forming part of the Reserved Offering, with no par value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for an aggregate purchase price of EUR _____ (the </w:t>
      </w:r>
      <w:r>
        <w:rPr>
          <w:rFonts w:ascii="Arial" w:cs="Arial" w:eastAsia="Arial" w:hAnsi="Arial"/>
          <w:sz w:val="18"/>
          <w:szCs w:val="18"/>
          <w:b w:val="1"/>
          <w:bCs w:val="1"/>
          <w:color w:val="auto"/>
        </w:rPr>
        <w:t>Aggregate Purchase Price</w:t>
      </w:r>
      <w:r>
        <w:rPr>
          <w:rFonts w:ascii="Arial" w:cs="Arial" w:eastAsia="Arial" w:hAnsi="Arial"/>
          <w:sz w:val="18"/>
          <w:szCs w:val="18"/>
          <w:color w:val="auto"/>
        </w:rPr>
        <w:t>);</w:t>
      </w:r>
    </w:p>
    <w:p>
      <w:pPr>
        <w:ind w:left="660" w:hanging="328"/>
        <w:spacing w:after="0" w:line="260"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pay, with a value date of ______ 2021, the Aggregate Purchase Price by wire transfer to the bank account no. ______________________ held by the Company at ____________IBAN______________________________;</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Shares must be registered as follows:</w:t>
      </w:r>
    </w:p>
    <w:p>
      <w:pPr>
        <w:spacing w:after="0" w:line="211" w:lineRule="exact"/>
        <w:rPr>
          <w:sz w:val="20"/>
          <w:szCs w:val="20"/>
          <w:color w:val="auto"/>
        </w:rPr>
      </w:pPr>
    </w:p>
    <w:p>
      <w:pPr>
        <w:ind w:left="980" w:hanging="324"/>
        <w:spacing w:after="0"/>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Fiscal code_____________________________________________</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First name, last name, company name_____________________________________________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Date and place of birth__________________________________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Nationality__________________________________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Domicile or registered office__________________________________</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Postal Code__________________________________</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20"/>
                <w:szCs w:val="20"/>
                <w:color w:val="auto"/>
              </w:rPr>
            </w:pPr>
            <w:r>
              <w:rPr>
                <w:rFonts w:ascii="Arial" w:cs="Arial" w:eastAsia="Arial" w:hAnsi="Arial"/>
                <w:sz w:val="18"/>
                <w:szCs w:val="18"/>
                <w:color w:val="auto"/>
              </w:rPr>
              <w:t>The undersigned</w:t>
            </w:r>
          </w:p>
        </w:tc>
        <w:tc>
          <w:tcPr>
            <w:tcW w:w="1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REPRESENTS</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to be informed that this subscription is irrevocable;</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REPRESENTS</w:t>
            </w: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0"/>
              </w:rPr>
              <w:t>that he/she/it has independently evaluated the possibility of subscribing the Shares that are part of the Reserved Offering;</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1"/>
              </w:rPr>
              <w:t>(ii) that he/she/it is not (a) domiciled in the United States of America, (b) a U.S. Person as defined in Regulation S under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0"/>
              </w:rPr>
              <w:t>the United States Securities Act of 1933, as subsequently amended, and (iii) that he/she/it is not acting on behalf of or for</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RECOGNISES</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the benefit of a U.S. Person;</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2"/>
              </w:rPr>
              <w:t>expressly the right of the Company to reject this subscription without the undersigned having any claim for damages or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2"/>
              </w:rPr>
              <w:t>compensation against the Company, if the Offering is withdrawn for any reason and that this subscription is conditional</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TAKES NOTE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upon the successful completion of the Offering;</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80" w:type="dxa"/>
            <w:vAlign w:val="bottom"/>
            <w:vMerge w:val="continue"/>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rPr>
              <w:t>that the allocated Shares will be centralised in dematerialised form at Monte Titoli S.p.A.;</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REQUESTS</w:t>
            </w: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1"/>
              </w:rPr>
              <w:t>that the Shares will be credited to deposit account no. ___________ at __________________ (name of the intermediary</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CONFIRMS</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w w:val="95"/>
              </w:rPr>
              <w:t>with which the Shareholder holds the Shares of the Company);</w:t>
            </w: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80" w:type="dxa"/>
            <w:vAlign w:val="bottom"/>
            <w:vMerge w:val="continue"/>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9"/>
              </w:rPr>
              <w:t>under its own responsibility, for all legal purposes, the accuracy of the information reported in this subscription;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REPRESENTS</w:t>
            </w:r>
          </w:p>
        </w:tc>
        <w:tc>
          <w:tcPr>
            <w:tcW w:w="8760" w:type="dxa"/>
            <w:vAlign w:val="bottom"/>
            <w:gridSpan w:val="3"/>
          </w:tcPr>
          <w:p>
            <w:pPr>
              <w:ind w:left="20"/>
              <w:spacing w:after="0"/>
              <w:rPr>
                <w:sz w:val="20"/>
                <w:szCs w:val="20"/>
                <w:color w:val="auto"/>
              </w:rPr>
            </w:pPr>
            <w:r>
              <w:rPr>
                <w:rFonts w:ascii="Arial" w:cs="Arial" w:eastAsia="Arial" w:hAnsi="Arial"/>
                <w:sz w:val="18"/>
                <w:szCs w:val="18"/>
                <w:color w:val="auto"/>
              </w:rPr>
              <w:t>to be informed that any irregularity in this subscription will lead to its cancellation;</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CONFIRMS</w:t>
            </w: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4"/>
              </w:rPr>
              <w:t>that he/she/it has expressly requested that all documents evidencing or relating in any way to the Reserved Offering</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REPRESENTS</w:t>
            </w:r>
          </w:p>
        </w:tc>
        <w:tc>
          <w:tcPr>
            <w:tcW w:w="8760" w:type="dxa"/>
            <w:vAlign w:val="bottom"/>
            <w:gridSpan w:val="3"/>
          </w:tcPr>
          <w:p>
            <w:pPr>
              <w:ind w:left="20"/>
              <w:spacing w:after="0"/>
              <w:rPr>
                <w:sz w:val="20"/>
                <w:szCs w:val="20"/>
                <w:color w:val="auto"/>
              </w:rPr>
            </w:pPr>
            <w:r>
              <w:rPr>
                <w:rFonts w:ascii="Arial" w:cs="Arial" w:eastAsia="Arial" w:hAnsi="Arial"/>
                <w:sz w:val="18"/>
                <w:szCs w:val="18"/>
                <w:color w:val="auto"/>
              </w:rPr>
              <w:t>(other than this subscription or any related notice) be drawn up in the English language only; and</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4"/>
              </w:rPr>
              <w:t>to be informed that this subscription shall be governed by and interpreted in accordance with Italian law and that any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w w:val="93"/>
              </w:rPr>
              <w:t>dispute arising in connection with the execution and interpretation of this subscription shall be subject to the exclusive</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760" w:type="dxa"/>
            <w:vAlign w:val="bottom"/>
            <w:gridSpan w:val="3"/>
          </w:tcPr>
          <w:p>
            <w:pPr>
              <w:ind w:left="20"/>
              <w:spacing w:after="0"/>
              <w:rPr>
                <w:sz w:val="20"/>
                <w:szCs w:val="20"/>
                <w:color w:val="auto"/>
              </w:rPr>
            </w:pPr>
            <w:r>
              <w:rPr>
                <w:rFonts w:ascii="Arial" w:cs="Arial" w:eastAsia="Arial" w:hAnsi="Arial"/>
                <w:sz w:val="18"/>
                <w:szCs w:val="18"/>
                <w:color w:val="auto"/>
              </w:rPr>
              <w:t>jurisdiction of the Court of Milan, without prejudice to the mandatory jurisdiction established by law.</w:t>
            </w:r>
          </w:p>
        </w:tc>
        <w:tc>
          <w:tcPr>
            <w:tcW w:w="0" w:type="dxa"/>
            <w:vAlign w:val="bottom"/>
          </w:tcPr>
          <w:p>
            <w:pPr>
              <w:spacing w:after="0"/>
              <w:rPr>
                <w:sz w:val="1"/>
                <w:szCs w:val="1"/>
                <w:color w:val="auto"/>
              </w:rPr>
            </w:pPr>
          </w:p>
        </w:tc>
      </w:tr>
      <w:tr>
        <w:trPr>
          <w:trHeight w:val="418"/>
        </w:trPr>
        <w:tc>
          <w:tcPr>
            <w:tcW w:w="3800" w:type="dxa"/>
            <w:vAlign w:val="bottom"/>
            <w:gridSpan w:val="2"/>
          </w:tcPr>
          <w:p>
            <w:pPr>
              <w:ind w:left="660"/>
              <w:spacing w:after="0"/>
              <w:rPr>
                <w:sz w:val="20"/>
                <w:szCs w:val="20"/>
                <w:color w:val="auto"/>
              </w:rPr>
            </w:pPr>
            <w:r>
              <w:rPr>
                <w:rFonts w:ascii="Arial" w:cs="Arial" w:eastAsia="Arial" w:hAnsi="Arial"/>
                <w:sz w:val="18"/>
                <w:szCs w:val="18"/>
                <w:color w:val="auto"/>
              </w:rPr>
              <w:t>____________________________</w:t>
            </w:r>
          </w:p>
        </w:tc>
        <w:tc>
          <w:tcPr>
            <w:tcW w:w="3480" w:type="dxa"/>
            <w:vAlign w:val="bottom"/>
          </w:tcPr>
          <w:p>
            <w:pPr>
              <w:jc w:val="right"/>
              <w:ind w:right="250"/>
              <w:spacing w:after="0"/>
              <w:rPr>
                <w:sz w:val="20"/>
                <w:szCs w:val="20"/>
                <w:color w:val="auto"/>
              </w:rPr>
            </w:pPr>
            <w:r>
              <w:rPr>
                <w:rFonts w:ascii="Arial" w:cs="Arial" w:eastAsia="Arial" w:hAnsi="Arial"/>
                <w:sz w:val="18"/>
                <w:szCs w:val="18"/>
                <w:color w:val="auto"/>
              </w:rPr>
              <w:t>____________________________</w:t>
            </w:r>
          </w:p>
        </w:tc>
        <w:tc>
          <w:tcPr>
            <w:tcW w:w="3960" w:type="dxa"/>
            <w:vAlign w:val="bottom"/>
          </w:tcPr>
          <w:p>
            <w:pPr>
              <w:jc w:val="right"/>
              <w:ind w:right="1090"/>
              <w:spacing w:after="0"/>
              <w:rPr>
                <w:sz w:val="20"/>
                <w:szCs w:val="20"/>
                <w:color w:val="auto"/>
              </w:rPr>
            </w:pPr>
            <w:r>
              <w:rPr>
                <w:rFonts w:ascii="Arial" w:cs="Arial" w:eastAsia="Arial" w:hAnsi="Arial"/>
                <w:sz w:val="18"/>
                <w:szCs w:val="18"/>
                <w:color w:val="auto"/>
                <w:w w:val="98"/>
              </w:rPr>
              <w:t>____________________________</w:t>
            </w:r>
          </w:p>
        </w:tc>
        <w:tc>
          <w:tcPr>
            <w:tcW w:w="0" w:type="dxa"/>
            <w:vAlign w:val="bottom"/>
          </w:tcPr>
          <w:p>
            <w:pPr>
              <w:spacing w:after="0"/>
              <w:rPr>
                <w:sz w:val="1"/>
                <w:szCs w:val="1"/>
                <w:color w:val="auto"/>
              </w:rPr>
            </w:pPr>
          </w:p>
        </w:tc>
      </w:tr>
      <w:tr>
        <w:trPr>
          <w:trHeight w:val="230"/>
        </w:trPr>
        <w:tc>
          <w:tcPr>
            <w:tcW w:w="2480" w:type="dxa"/>
            <w:vAlign w:val="bottom"/>
          </w:tcPr>
          <w:p>
            <w:pPr>
              <w:ind w:left="1360"/>
              <w:spacing w:after="0"/>
              <w:rPr>
                <w:sz w:val="20"/>
                <w:szCs w:val="20"/>
                <w:color w:val="auto"/>
              </w:rPr>
            </w:pPr>
            <w:r>
              <w:rPr>
                <w:rFonts w:ascii="Arial" w:cs="Arial" w:eastAsia="Arial" w:hAnsi="Arial"/>
                <w:sz w:val="18"/>
                <w:szCs w:val="18"/>
                <w:color w:val="auto"/>
                <w:w w:val="88"/>
              </w:rPr>
              <w:t>(Date and time)</w:t>
            </w:r>
          </w:p>
        </w:tc>
        <w:tc>
          <w:tcPr>
            <w:tcW w:w="1320" w:type="dxa"/>
            <w:vAlign w:val="bottom"/>
          </w:tcPr>
          <w:p>
            <w:pPr>
              <w:spacing w:after="0"/>
              <w:rPr>
                <w:sz w:val="20"/>
                <w:szCs w:val="20"/>
                <w:color w:val="auto"/>
              </w:rPr>
            </w:pPr>
          </w:p>
        </w:tc>
        <w:tc>
          <w:tcPr>
            <w:tcW w:w="3480" w:type="dxa"/>
            <w:vAlign w:val="bottom"/>
          </w:tcPr>
          <w:p>
            <w:pPr>
              <w:jc w:val="center"/>
              <w:ind w:left="210"/>
              <w:spacing w:after="0"/>
              <w:rPr>
                <w:sz w:val="20"/>
                <w:szCs w:val="20"/>
                <w:color w:val="auto"/>
              </w:rPr>
            </w:pPr>
            <w:r>
              <w:rPr>
                <w:rFonts w:ascii="Arial" w:cs="Arial" w:eastAsia="Arial" w:hAnsi="Arial"/>
                <w:sz w:val="18"/>
                <w:szCs w:val="18"/>
                <w:color w:val="auto"/>
                <w:w w:val="91"/>
              </w:rPr>
              <w:t>(Signature of the applicant)</w:t>
            </w:r>
          </w:p>
        </w:tc>
        <w:tc>
          <w:tcPr>
            <w:tcW w:w="3960" w:type="dxa"/>
            <w:vAlign w:val="bottom"/>
          </w:tcPr>
          <w:p>
            <w:pPr>
              <w:jc w:val="right"/>
              <w:ind w:right="750"/>
              <w:spacing w:after="0"/>
              <w:rPr>
                <w:sz w:val="20"/>
                <w:szCs w:val="20"/>
                <w:color w:val="auto"/>
              </w:rPr>
            </w:pPr>
            <w:r>
              <w:rPr>
                <w:rFonts w:ascii="Arial" w:cs="Arial" w:eastAsia="Arial" w:hAnsi="Arial"/>
                <w:sz w:val="18"/>
                <w:szCs w:val="18"/>
                <w:color w:val="auto"/>
              </w:rPr>
              <w:t>(Signature of the Company)</w:t>
            </w:r>
          </w:p>
        </w:tc>
        <w:tc>
          <w:tcPr>
            <w:tcW w:w="0" w:type="dxa"/>
            <w:vAlign w:val="bottom"/>
          </w:tcPr>
          <w:p>
            <w:pPr>
              <w:spacing w:after="0"/>
              <w:rPr>
                <w:sz w:val="1"/>
                <w:szCs w:val="1"/>
                <w:color w:val="auto"/>
              </w:rPr>
            </w:pPr>
          </w:p>
        </w:tc>
      </w:tr>
      <w:tr>
        <w:trPr>
          <w:trHeight w:val="439"/>
        </w:trPr>
        <w:tc>
          <w:tcPr>
            <w:tcW w:w="2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154305</wp:posOffset>
            </wp:positionV>
            <wp:extent cx="2134235" cy="419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3423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____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Genenta Science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Olgettina, 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20132 - Milan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Genenta Science S.p.A. – Registration Statement on Form F-1 – Exhibit 5.1</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acted as Italian legal advisers to Genenta Science S.p.A. (Registration No: 08738490963) a joint stock company incorporated in Italy (as resulting following its conversion from the Italian limited liability company Genenta Science S.r.l., the “</w:t>
      </w:r>
      <w:r>
        <w:rPr>
          <w:rFonts w:ascii="Arial" w:cs="Arial" w:eastAsia="Arial" w:hAnsi="Arial"/>
          <w:sz w:val="16"/>
          <w:szCs w:val="16"/>
          <w:b w:val="1"/>
          <w:bCs w:val="1"/>
          <w:color w:val="auto"/>
        </w:rPr>
        <w:t>Company</w:t>
      </w:r>
      <w:r>
        <w:rPr>
          <w:rFonts w:ascii="Arial" w:cs="Arial" w:eastAsia="Arial" w:hAnsi="Arial"/>
          <w:sz w:val="16"/>
          <w:szCs w:val="16"/>
          <w:color w:val="auto"/>
        </w:rPr>
        <w:t>”) ”), in connection with (i) the proposed offering of ____ American Depositary Shares (“</w:t>
      </w:r>
      <w:r>
        <w:rPr>
          <w:rFonts w:ascii="Arial" w:cs="Arial" w:eastAsia="Arial" w:hAnsi="Arial"/>
          <w:sz w:val="16"/>
          <w:szCs w:val="16"/>
          <w:b w:val="1"/>
          <w:bCs w:val="1"/>
          <w:color w:val="auto"/>
        </w:rPr>
        <w:t>Offered ADS</w:t>
      </w:r>
      <w:r>
        <w:rPr>
          <w:rFonts w:ascii="Arial" w:cs="Arial" w:eastAsia="Arial" w:hAnsi="Arial"/>
          <w:sz w:val="16"/>
          <w:szCs w:val="16"/>
          <w:color w:val="auto"/>
        </w:rPr>
        <w:t>”) each representing one ordinary share with no par value in the capital of the Company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Shares</w:t>
      </w:r>
      <w:r>
        <w:rPr>
          <w:rFonts w:ascii="Arial" w:cs="Arial" w:eastAsia="Arial" w:hAnsi="Arial"/>
          <w:sz w:val="17"/>
          <w:szCs w:val="17"/>
          <w:color w:val="auto"/>
        </w:rPr>
        <w:t>”) and (ii) the proposed offering by the Company of ____ newly issued Ordinary Shares reserved for subscription by the Company’s</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existing shareholders (the “</w:t>
      </w:r>
      <w:r>
        <w:rPr>
          <w:rFonts w:ascii="Arial" w:cs="Arial" w:eastAsia="Arial" w:hAnsi="Arial"/>
          <w:sz w:val="18"/>
          <w:szCs w:val="18"/>
          <w:b w:val="1"/>
          <w:bCs w:val="1"/>
          <w:color w:val="auto"/>
        </w:rPr>
        <w:t>Reserved Offering</w:t>
      </w:r>
      <w:r>
        <w:rPr>
          <w:rFonts w:ascii="Arial" w:cs="Arial" w:eastAsia="Arial" w:hAnsi="Arial"/>
          <w:sz w:val="18"/>
          <w:szCs w:val="18"/>
          <w:color w:val="auto"/>
        </w:rPr>
        <w:t>”) in an offering falling within the cases of inapplicability of the provisions on public offerings of securities provided for in Article 100 of Legislative Decree no. 58 of 24 February 1998, as amended (the “</w:t>
      </w:r>
      <w:r>
        <w:rPr>
          <w:rFonts w:ascii="Arial" w:cs="Arial" w:eastAsia="Arial" w:hAnsi="Arial"/>
          <w:sz w:val="18"/>
          <w:szCs w:val="18"/>
          <w:b w:val="1"/>
          <w:bCs w:val="1"/>
          <w:color w:val="auto"/>
        </w:rPr>
        <w:t>Consolidated Law on Finance</w:t>
      </w:r>
      <w:r>
        <w:rPr>
          <w:rFonts w:ascii="Arial" w:cs="Arial" w:eastAsia="Arial" w:hAnsi="Arial"/>
          <w:sz w:val="18"/>
          <w:szCs w:val="18"/>
          <w:color w:val="auto"/>
        </w:rPr>
        <w:t>”), Article 34-ter of the issuers’ regulations adopted with CONSOB resolution no. 11971 of 14 May 1999 (the “</w:t>
      </w:r>
      <w:r>
        <w:rPr>
          <w:rFonts w:ascii="Arial" w:cs="Arial" w:eastAsia="Arial" w:hAnsi="Arial"/>
          <w:sz w:val="18"/>
          <w:szCs w:val="18"/>
          <w:b w:val="1"/>
          <w:bCs w:val="1"/>
          <w:color w:val="auto"/>
        </w:rPr>
        <w:t>Issuers’ Regulation</w:t>
      </w:r>
      <w:r>
        <w:rPr>
          <w:rFonts w:ascii="Arial" w:cs="Arial" w:eastAsia="Arial" w:hAnsi="Arial"/>
          <w:sz w:val="18"/>
          <w:szCs w:val="18"/>
          <w:color w:val="auto"/>
        </w:rPr>
        <w:t>”) and Article 1, paragraph 4, of Regulation (EU) 2017/1129 (the “</w:t>
      </w:r>
      <w:r>
        <w:rPr>
          <w:rFonts w:ascii="Arial" w:cs="Arial" w:eastAsia="Arial" w:hAnsi="Arial"/>
          <w:sz w:val="18"/>
          <w:szCs w:val="18"/>
          <w:b w:val="1"/>
          <w:bCs w:val="1"/>
          <w:color w:val="auto"/>
        </w:rPr>
        <w:t>Prospectus Regulation</w:t>
      </w:r>
      <w:r>
        <w:rPr>
          <w:rFonts w:ascii="Arial" w:cs="Arial" w:eastAsia="Arial" w:hAnsi="Arial"/>
          <w:sz w:val="18"/>
          <w:szCs w:val="18"/>
          <w:color w:val="auto"/>
        </w:rPr>
        <w:t>”). The offering of Offered ADS and the Reserved Offering collectively are referred to herein as the “</w:t>
      </w:r>
      <w:r>
        <w:rPr>
          <w:rFonts w:ascii="Arial" w:cs="Arial" w:eastAsia="Arial" w:hAnsi="Arial"/>
          <w:sz w:val="18"/>
          <w:szCs w:val="18"/>
          <w:b w:val="1"/>
          <w:bCs w:val="1"/>
          <w:color w:val="auto"/>
        </w:rPr>
        <w:t>Offering</w:t>
      </w:r>
      <w:r>
        <w:rPr>
          <w:rFonts w:ascii="Arial" w:cs="Arial" w:eastAsia="Arial" w:hAnsi="Arial"/>
          <w:sz w:val="18"/>
          <w:szCs w:val="18"/>
          <w:color w:val="auto"/>
        </w:rPr>
        <w:t>”. All Ordinary Shares allotted and issued in connection with the Offering, whether directly to existing shareholders of the Company in the Reserved Offering or to the Bank of New York Mellon (______ Branch) as depositary and to be represented by Offered ADSs, are referred to herein as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8"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and filing of a registration statement on Form F-1 (File No. ___) (such registration statement, as amended through the date hereof,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which this letter is attached as an exhibit,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pursuant to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we have been asked to provide opinions on certain matters, as set out below. We have taken instruction in this regard solely from the Company.</w:t>
      </w:r>
    </w:p>
    <w:p>
      <w:pPr>
        <w:spacing w:after="0" w:line="1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left="900" w:hanging="447"/>
        <w:spacing w:after="0" w:line="258"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IA DEI</w:t>
      </w:r>
      <w:r>
        <w:rPr>
          <w:rFonts w:ascii="Arial" w:cs="Arial" w:eastAsia="Arial" w:hAnsi="Arial"/>
          <w:sz w:val="18"/>
          <w:szCs w:val="18"/>
          <w:color w:val="auto"/>
        </w:rPr>
        <w:t xml:space="preserve"> B</w:t>
      </w:r>
      <w:r>
        <w:rPr>
          <w:rFonts w:ascii="Arial" w:cs="Arial" w:eastAsia="Arial" w:hAnsi="Arial"/>
          <w:sz w:val="12"/>
          <w:szCs w:val="12"/>
          <w:color w:val="auto"/>
        </w:rPr>
        <w:t>OSSI</w:t>
      </w:r>
      <w:r>
        <w:rPr>
          <w:rFonts w:ascii="Arial" w:cs="Arial" w:eastAsia="Arial" w:hAnsi="Arial"/>
          <w:sz w:val="18"/>
          <w:szCs w:val="18"/>
          <w:color w:val="auto"/>
        </w:rPr>
        <w:t>, 4 – 20121 M</w:t>
      </w:r>
      <w:r>
        <w:rPr>
          <w:rFonts w:ascii="Arial" w:cs="Arial" w:eastAsia="Arial" w:hAnsi="Arial"/>
          <w:sz w:val="12"/>
          <w:szCs w:val="12"/>
          <w:color w:val="auto"/>
        </w:rPr>
        <w:t>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4" w:name="page295"/>
    <w:bookmarkEnd w:id="294"/>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431800</wp:posOffset>
            </wp:positionV>
            <wp:extent cx="2134235" cy="420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2134235" cy="420370"/>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Legal review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purpose of issuing this letter, we have examined such questions of law as we have considered appropriate to give the opinions set forth in this letter. We have reviewed such documents and conducted such enquiries and searches as we have considered appropriate to give the opinions set forth in this letter, including the following documents and the following enquiries and searches:</w:t>
      </w:r>
    </w:p>
    <w:p>
      <w:pPr>
        <w:spacing w:after="0" w:line="184" w:lineRule="exact"/>
        <w:rPr>
          <w:sz w:val="20"/>
          <w:szCs w:val="20"/>
          <w:color w:val="auto"/>
        </w:rPr>
      </w:pPr>
    </w:p>
    <w:p>
      <w:pPr>
        <w:jc w:val="both"/>
        <w:ind w:left="660" w:hanging="652"/>
        <w:spacing w:after="0" w:line="263"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 copy of the resolutions passed by the shareholders of the Company on 20 May 2021 pursuant to which it was resolved, </w:t>
      </w:r>
      <w:r>
        <w:rPr>
          <w:rFonts w:ascii="Arial" w:cs="Arial" w:eastAsia="Arial" w:hAnsi="Arial"/>
          <w:sz w:val="18"/>
          <w:szCs w:val="18"/>
          <w:i w:val="1"/>
          <w:iCs w:val="1"/>
          <w:color w:val="auto"/>
        </w:rPr>
        <w:t>inter alia</w:t>
      </w:r>
      <w:r>
        <w:rPr>
          <w:rFonts w:ascii="Arial" w:cs="Arial" w:eastAsia="Arial" w:hAnsi="Arial"/>
          <w:sz w:val="18"/>
          <w:szCs w:val="18"/>
          <w:color w:val="auto"/>
        </w:rPr>
        <w:t>, to convert Genenta S.r.l. into the Italian joint stock company Genenta S.p.A. and to adopt its current bylaws (respectively, the “</w:t>
      </w:r>
      <w:r>
        <w:rPr>
          <w:rFonts w:ascii="Arial" w:cs="Arial" w:eastAsia="Arial" w:hAnsi="Arial"/>
          <w:sz w:val="18"/>
          <w:szCs w:val="18"/>
          <w:b w:val="1"/>
          <w:bCs w:val="1"/>
          <w:color w:val="auto"/>
        </w:rPr>
        <w:t>Conversion Resolutions</w:t>
      </w:r>
      <w:r>
        <w:rPr>
          <w:rFonts w:ascii="Arial" w:cs="Arial" w:eastAsia="Arial" w:hAnsi="Arial"/>
          <w:sz w:val="18"/>
          <w:szCs w:val="18"/>
          <w:color w:val="auto"/>
        </w:rPr>
        <w:t>” and the “</w:t>
      </w:r>
      <w:r>
        <w:rPr>
          <w:rFonts w:ascii="Arial" w:cs="Arial" w:eastAsia="Arial" w:hAnsi="Arial"/>
          <w:sz w:val="18"/>
          <w:szCs w:val="18"/>
          <w:b w:val="1"/>
          <w:bCs w:val="1"/>
          <w:color w:val="auto"/>
        </w:rPr>
        <w:t>Current Bylaws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copy of the resolutions passed by the shareholders of the Company on 20 May 2021 in connection with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 copy of the resolutions passed by the shareholders of the Company on 20 May 2021 pursuant to which it was resolved, </w:t>
      </w:r>
      <w:r>
        <w:rPr>
          <w:rFonts w:ascii="Arial" w:cs="Arial" w:eastAsia="Arial" w:hAnsi="Arial"/>
          <w:sz w:val="18"/>
          <w:szCs w:val="18"/>
          <w:i w:val="1"/>
          <w:iCs w:val="1"/>
          <w:color w:val="auto"/>
        </w:rPr>
        <w:t>inter alia</w:t>
      </w:r>
      <w:r>
        <w:rPr>
          <w:rFonts w:ascii="Arial" w:cs="Arial" w:eastAsia="Arial" w:hAnsi="Arial"/>
          <w:sz w:val="18"/>
          <w:szCs w:val="18"/>
          <w:color w:val="auto"/>
        </w:rPr>
        <w:t>, to approve the nominee and depositary transfers in connection with the Offering (the “</w:t>
      </w:r>
      <w:r>
        <w:rPr>
          <w:rFonts w:ascii="Arial" w:cs="Arial" w:eastAsia="Arial" w:hAnsi="Arial"/>
          <w:sz w:val="18"/>
          <w:szCs w:val="18"/>
          <w:b w:val="1"/>
          <w:bCs w:val="1"/>
          <w:color w:val="auto"/>
        </w:rPr>
        <w:t>Transfer Resolutions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copy of the resolutions passed by the shareholders the Company on 20 May 2021 pursuant to which it was resolved, inter alia, to delegate authority to the board of directors of the Company to allot the Shares (the “</w:t>
      </w:r>
      <w:r>
        <w:rPr>
          <w:rFonts w:ascii="Arial" w:cs="Arial" w:eastAsia="Arial" w:hAnsi="Arial"/>
          <w:sz w:val="18"/>
          <w:szCs w:val="18"/>
          <w:b w:val="1"/>
          <w:bCs w:val="1"/>
          <w:color w:val="auto"/>
        </w:rPr>
        <w:t>Allotment Resolutions</w:t>
      </w:r>
      <w:r>
        <w:rPr>
          <w:rFonts w:ascii="Arial" w:cs="Arial" w:eastAsia="Arial" w:hAnsi="Arial"/>
          <w:sz w:val="18"/>
          <w:szCs w:val="18"/>
          <w:color w:val="auto"/>
        </w:rPr>
        <w:t>” and, together with the Offering Resolutions, the Transfer Resolutions and the Conversion Resolutions, the “</w:t>
      </w:r>
      <w:r>
        <w:rPr>
          <w:rFonts w:ascii="Arial" w:cs="Arial" w:eastAsia="Arial" w:hAnsi="Arial"/>
          <w:sz w:val="18"/>
          <w:szCs w:val="18"/>
          <w:b w:val="1"/>
          <w:bCs w:val="1"/>
          <w:color w:val="auto"/>
        </w:rPr>
        <w:t>Corporate Approvals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 copy of the certificate of incorporation of the Company dated 24 July 2014 (notarial deed no. 56 </w:t>
      </w:r>
      <w:r>
        <w:rPr>
          <w:rFonts w:ascii="Arial" w:cs="Arial" w:eastAsia="Arial" w:hAnsi="Arial"/>
          <w:sz w:val="18"/>
          <w:szCs w:val="18"/>
          <w:i w:val="1"/>
          <w:iCs w:val="1"/>
          <w:color w:val="auto"/>
        </w:rPr>
        <w:t>rep</w:t>
      </w:r>
      <w:r>
        <w:rPr>
          <w:rFonts w:ascii="Arial" w:cs="Arial" w:eastAsia="Arial" w:hAnsi="Arial"/>
          <w:sz w:val="18"/>
          <w:szCs w:val="18"/>
          <w:color w:val="auto"/>
        </w:rPr>
        <w:t xml:space="preserve">. and no. 9 </w:t>
      </w:r>
      <w:r>
        <w:rPr>
          <w:rFonts w:ascii="Arial" w:cs="Arial" w:eastAsia="Arial" w:hAnsi="Arial"/>
          <w:sz w:val="18"/>
          <w:szCs w:val="18"/>
          <w:i w:val="1"/>
          <w:iCs w:val="1"/>
          <w:color w:val="auto"/>
        </w:rPr>
        <w:t>racc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copy of the Current Bylaws of the Company approved by means of the Conversion Resolutions;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copy of the Registration Statement, as amended; and</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 extract on the Company issued by the Companies’ Register of Milan on ___ 2021 (the “</w:t>
      </w:r>
      <w:r>
        <w:rPr>
          <w:rFonts w:ascii="Arial" w:cs="Arial" w:eastAsia="Arial" w:hAnsi="Arial"/>
          <w:sz w:val="18"/>
          <w:szCs w:val="18"/>
          <w:b w:val="1"/>
          <w:bCs w:val="1"/>
          <w:color w:val="auto"/>
        </w:rPr>
        <w:t>Search</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to be construed in accordance with, Italian law and relate only to Italian law as applied by the Italian courts, including the laws of the European Union to the extent having the force of law in Italy, as at today’s date. In particular:</w:t>
      </w:r>
    </w:p>
    <w:p>
      <w:pPr>
        <w:spacing w:after="0" w:line="184" w:lineRule="exact"/>
        <w:rPr>
          <w:sz w:val="20"/>
          <w:szCs w:val="20"/>
          <w:color w:val="auto"/>
        </w:rPr>
      </w:pPr>
    </w:p>
    <w:p>
      <w:pPr>
        <w:jc w:val="both"/>
        <w:ind w:left="900" w:hanging="447"/>
        <w:spacing w:after="0" w:line="254"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Italy and we express no opinion in this letter on the laws of any jurisdiction other than Italy and we assume that no foreign law affects any of the opinions given below. It is assumed that no foreign law which may apply to the matters contemplated by the Registration Statement, the Offering, the Company, any document or any other matter contemplated by any document would or might affect this letter and/or the opinions given in it; and</w:t>
      </w:r>
    </w:p>
    <w:p>
      <w:pPr>
        <w:spacing w:after="0" w:line="2" w:lineRule="exact"/>
        <w:rPr>
          <w:rFonts w:ascii="Arial" w:cs="Arial" w:eastAsia="Arial" w:hAnsi="Arial"/>
          <w:sz w:val="18"/>
          <w:szCs w:val="18"/>
          <w:color w:val="auto"/>
        </w:rPr>
      </w:pPr>
    </w:p>
    <w:p>
      <w:pPr>
        <w:ind w:left="900" w:hanging="447"/>
        <w:spacing w:after="0" w:line="260"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do not undertake or accept any obligation to update this letter and/or the opinions given in it to reflect subsequent changes in Italian law or factual matters.</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opinions given in this letter are given on the basis of each of the assumptions set out in Schedule 1 (</w:t>
      </w:r>
      <w:r>
        <w:rPr>
          <w:rFonts w:ascii="Arial" w:cs="Arial" w:eastAsia="Arial" w:hAnsi="Arial"/>
          <w:sz w:val="17"/>
          <w:szCs w:val="17"/>
          <w:i w:val="1"/>
          <w:iCs w:val="1"/>
          <w:color w:val="auto"/>
        </w:rPr>
        <w:t>Assumptions</w:t>
      </w:r>
      <w:r>
        <w:rPr>
          <w:rFonts w:ascii="Arial" w:cs="Arial" w:eastAsia="Arial" w:hAnsi="Arial"/>
          <w:sz w:val="17"/>
          <w:szCs w:val="17"/>
          <w:color w:val="auto"/>
        </w:rPr>
        <w:t>) and are subject to each of the reservations set out in Schedule 2 (</w:t>
      </w:r>
      <w:r>
        <w:rPr>
          <w:rFonts w:ascii="Arial" w:cs="Arial" w:eastAsia="Arial" w:hAnsi="Arial"/>
          <w:sz w:val="17"/>
          <w:szCs w:val="17"/>
          <w:i w:val="1"/>
          <w:iCs w:val="1"/>
          <w:color w:val="auto"/>
        </w:rPr>
        <w:t>Reservations</w:t>
      </w:r>
      <w:r>
        <w:rPr>
          <w:rFonts w:ascii="Arial" w:cs="Arial" w:eastAsia="Arial" w:hAnsi="Arial"/>
          <w:sz w:val="17"/>
          <w:szCs w:val="17"/>
          <w:color w:val="auto"/>
        </w:rPr>
        <w:t>) to this letter. The opinions given in this letter are strictly limited to the matters stated in Paragraph 2 (</w:t>
      </w:r>
      <w:r>
        <w:rPr>
          <w:rFonts w:ascii="Arial" w:cs="Arial" w:eastAsia="Arial" w:hAnsi="Arial"/>
          <w:sz w:val="17"/>
          <w:szCs w:val="17"/>
          <w:i w:val="1"/>
          <w:iCs w:val="1"/>
          <w:color w:val="auto"/>
        </w:rPr>
        <w:t>Opinion</w:t>
      </w:r>
      <w:r>
        <w:rPr>
          <w:rFonts w:ascii="Arial" w:cs="Arial" w:eastAsia="Arial" w:hAnsi="Arial"/>
          <w:sz w:val="17"/>
          <w:szCs w:val="17"/>
          <w:color w:val="auto"/>
        </w:rPr>
        <w:t>) below and do not extend, and should not be read as extending, by implication or otherwise, to any other matters.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IA DEI</w:t>
      </w:r>
      <w:r>
        <w:rPr>
          <w:rFonts w:ascii="Arial" w:cs="Arial" w:eastAsia="Arial" w:hAnsi="Arial"/>
          <w:sz w:val="18"/>
          <w:szCs w:val="18"/>
          <w:color w:val="auto"/>
        </w:rPr>
        <w:t xml:space="preserve"> B</w:t>
      </w:r>
      <w:r>
        <w:rPr>
          <w:rFonts w:ascii="Arial" w:cs="Arial" w:eastAsia="Arial" w:hAnsi="Arial"/>
          <w:sz w:val="12"/>
          <w:szCs w:val="12"/>
          <w:color w:val="auto"/>
        </w:rPr>
        <w:t>OSSI</w:t>
      </w:r>
      <w:r>
        <w:rPr>
          <w:rFonts w:ascii="Arial" w:cs="Arial" w:eastAsia="Arial" w:hAnsi="Arial"/>
          <w:sz w:val="18"/>
          <w:szCs w:val="18"/>
          <w:color w:val="auto"/>
        </w:rPr>
        <w:t>, 4 – 20121 M</w:t>
      </w:r>
      <w:r>
        <w:rPr>
          <w:rFonts w:ascii="Arial" w:cs="Arial" w:eastAsia="Arial" w:hAnsi="Arial"/>
          <w:sz w:val="12"/>
          <w:szCs w:val="12"/>
          <w:color w:val="auto"/>
        </w:rPr>
        <w:t>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431800</wp:posOffset>
            </wp:positionV>
            <wp:extent cx="2134235" cy="4203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2134235" cy="420370"/>
                    </a:xfrm>
                    <a:prstGeom prst="rect">
                      <a:avLst/>
                    </a:prstGeom>
                    <a:noFill/>
                  </pic:spPr>
                </pic:pic>
              </a:graphicData>
            </a:graphic>
          </wp:anchor>
        </w:drawing>
      </w:r>
    </w:p>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paragraph 1 (</w:t>
      </w:r>
      <w:r>
        <w:rPr>
          <w:rFonts w:ascii="Arial" w:cs="Arial" w:eastAsia="Arial" w:hAnsi="Arial"/>
          <w:sz w:val="18"/>
          <w:szCs w:val="18"/>
          <w:i w:val="1"/>
          <w:iCs w:val="1"/>
          <w:color w:val="auto"/>
        </w:rPr>
        <w:t>Introduction</w:t>
      </w:r>
      <w:r>
        <w:rPr>
          <w:rFonts w:ascii="Arial" w:cs="Arial" w:eastAsia="Arial" w:hAnsi="Arial"/>
          <w:sz w:val="18"/>
          <w:szCs w:val="18"/>
          <w:color w:val="auto"/>
        </w:rPr>
        <w:t>) and the other matters set out in this letter and its schedules, and subject further to the following:</w:t>
      </w:r>
    </w:p>
    <w:p>
      <w:pPr>
        <w:spacing w:after="0" w:line="225" w:lineRule="exact"/>
        <w:rPr>
          <w:sz w:val="20"/>
          <w:szCs w:val="20"/>
          <w:color w:val="auto"/>
        </w:rPr>
      </w:pPr>
    </w:p>
    <w:p>
      <w:pPr>
        <w:ind w:left="900" w:hanging="447"/>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Registration Statement becoming effective under the Securities Act;</w:t>
      </w:r>
    </w:p>
    <w:p>
      <w:pPr>
        <w:spacing w:after="0" w:line="225" w:lineRule="exact"/>
        <w:rPr>
          <w:rFonts w:ascii="Arial" w:cs="Arial" w:eastAsia="Arial" w:hAnsi="Arial"/>
          <w:sz w:val="18"/>
          <w:szCs w:val="18"/>
          <w:color w:val="auto"/>
        </w:rPr>
      </w:pPr>
    </w:p>
    <w:p>
      <w:pPr>
        <w:ind w:left="900" w:right="20" w:hanging="447"/>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number of Shares to be allotted and issued in connection with the Offering not being greater than ___ and such Shares being allotted and issued by ___ 2021;</w:t>
      </w:r>
    </w:p>
    <w:p>
      <w:pPr>
        <w:spacing w:after="0" w:line="170" w:lineRule="exact"/>
        <w:rPr>
          <w:rFonts w:ascii="Arial" w:cs="Arial" w:eastAsia="Arial" w:hAnsi="Arial"/>
          <w:sz w:val="18"/>
          <w:szCs w:val="18"/>
          <w:color w:val="auto"/>
        </w:rPr>
      </w:pPr>
    </w:p>
    <w:p>
      <w:pPr>
        <w:jc w:val="both"/>
        <w:ind w:left="900" w:hanging="447"/>
        <w:spacing w:after="0" w:line="259"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that the Corporate Approvals were or will be (as appropriate) each passed at duly convened meeting; and that in relation to each meeting of the board of directors of the Company, each provision contained in the Royal Decree No. 262 of 16 March 1942, as amended (the “</w:t>
      </w:r>
      <w:r>
        <w:rPr>
          <w:rFonts w:ascii="Arial" w:cs="Arial" w:eastAsia="Arial" w:hAnsi="Arial"/>
          <w:sz w:val="18"/>
          <w:szCs w:val="18"/>
          <w:b w:val="1"/>
          <w:bCs w:val="1"/>
          <w:color w:val="auto"/>
        </w:rPr>
        <w:t>Italian Civil</w:t>
      </w:r>
      <w:r>
        <w:rPr>
          <w:rFonts w:ascii="Arial" w:cs="Arial" w:eastAsia="Arial" w:hAnsi="Arial"/>
          <w:sz w:val="18"/>
          <w:szCs w:val="18"/>
          <w:color w:val="auto"/>
        </w:rPr>
        <w:t xml:space="preserve"> </w:t>
      </w:r>
      <w:r>
        <w:rPr>
          <w:rFonts w:ascii="Arial" w:cs="Arial" w:eastAsia="Arial" w:hAnsi="Arial"/>
          <w:sz w:val="18"/>
          <w:szCs w:val="18"/>
          <w:b w:val="1"/>
          <w:bCs w:val="1"/>
          <w:color w:val="auto"/>
        </w:rPr>
        <w:t>Code</w:t>
      </w:r>
      <w:r>
        <w:rPr>
          <w:rFonts w:ascii="Arial" w:cs="Arial" w:eastAsia="Arial" w:hAnsi="Arial"/>
          <w:sz w:val="18"/>
          <w:szCs w:val="18"/>
          <w:color w:val="auto"/>
        </w:rPr>
        <w:t>” or “</w:t>
      </w:r>
      <w:r>
        <w:rPr>
          <w:rFonts w:ascii="Arial" w:cs="Arial" w:eastAsia="Arial" w:hAnsi="Arial"/>
          <w:sz w:val="18"/>
          <w:szCs w:val="18"/>
          <w:b w:val="1"/>
          <w:bCs w:val="1"/>
          <w:color w:val="auto"/>
        </w:rPr>
        <w:t>ICC</w:t>
      </w:r>
      <w:r>
        <w:rPr>
          <w:rFonts w:ascii="Arial" w:cs="Arial" w:eastAsia="Arial" w:hAnsi="Arial"/>
          <w:sz w:val="18"/>
          <w:szCs w:val="18"/>
          <w:color w:val="auto"/>
        </w:rPr>
        <w:t>”) or the Current Bylaws relating to the declaration of the directors’ interests or the power of the interested directors to vote and</w:t>
      </w:r>
      <w:r>
        <w:rPr>
          <w:rFonts w:ascii="Arial" w:cs="Arial" w:eastAsia="Arial" w:hAnsi="Arial"/>
          <w:sz w:val="18"/>
          <w:szCs w:val="18"/>
          <w:b w:val="1"/>
          <w:bCs w:val="1"/>
          <w:color w:val="auto"/>
        </w:rPr>
        <w:t xml:space="preserve"> </w:t>
      </w:r>
      <w:r>
        <w:rPr>
          <w:rFonts w:ascii="Arial" w:cs="Arial" w:eastAsia="Arial" w:hAnsi="Arial"/>
          <w:sz w:val="18"/>
          <w:szCs w:val="18"/>
          <w:color w:val="auto"/>
        </w:rPr>
        <w:t>to count in the quorum was or will be duly observed;</w:t>
      </w:r>
    </w:p>
    <w:p>
      <w:pPr>
        <w:spacing w:after="0" w:line="186" w:lineRule="exact"/>
        <w:rPr>
          <w:rFonts w:ascii="Arial" w:cs="Arial" w:eastAsia="Arial" w:hAnsi="Arial"/>
          <w:sz w:val="18"/>
          <w:szCs w:val="18"/>
          <w:color w:val="auto"/>
        </w:rPr>
      </w:pPr>
    </w:p>
    <w:p>
      <w:pPr>
        <w:ind w:left="900" w:hanging="447"/>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receipt in full of payment for the Shares in an amount of cash consideration (“</w:t>
      </w:r>
      <w:r>
        <w:rPr>
          <w:rFonts w:ascii="Arial" w:cs="Arial" w:eastAsia="Arial" w:hAnsi="Arial"/>
          <w:sz w:val="18"/>
          <w:szCs w:val="18"/>
          <w:i w:val="1"/>
          <w:iCs w:val="1"/>
          <w:color w:val="auto"/>
        </w:rPr>
        <w:t>denaro</w:t>
      </w:r>
      <w:r>
        <w:rPr>
          <w:rFonts w:ascii="Arial" w:cs="Arial" w:eastAsia="Arial" w:hAnsi="Arial"/>
          <w:sz w:val="18"/>
          <w:szCs w:val="18"/>
          <w:color w:val="auto"/>
        </w:rPr>
        <w:t>”, as defined in Article 2342 of the ICC) of not less than the aggregate nominal value for such Shares; and</w:t>
      </w:r>
    </w:p>
    <w:p>
      <w:pPr>
        <w:spacing w:after="0" w:line="170" w:lineRule="exact"/>
        <w:rPr>
          <w:rFonts w:ascii="Arial" w:cs="Arial" w:eastAsia="Arial" w:hAnsi="Arial"/>
          <w:sz w:val="18"/>
          <w:szCs w:val="18"/>
          <w:color w:val="auto"/>
        </w:rPr>
      </w:pPr>
    </w:p>
    <w:p>
      <w:pPr>
        <w:ind w:left="900" w:hanging="447"/>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valid entries having been made in relation to the allotment and issue of the Shares in the electronic books and registers of the relevant intermediaries,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our opinion that, as at today’s date, the Shares, if and when allotted and issued, registered in the name of the recipient in the electronic books and registers of the relevant intermediaries and delivered as described in the Registration Statement, will be duly and validly authorised and issued, fully paid or credited as fully paid (subject to the receipt of valid consideration by the Company for the issue thereof in connection with the Offering) and will not be subject to any call for payment of further capital in connection therewith.</w:t>
      </w:r>
    </w:p>
    <w:p>
      <w:pPr>
        <w:spacing w:after="0" w:line="183"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express no opinion as to any agreement, instrument or other document other than as specified in this letter or as to any liability to tax or duty which may arise or be suffered as a result of or in connection with the Offering or the transactions contemplated thereby.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61"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AND RELIANCE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is addressed to you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for the purpose set out in the prior paragraph, this letter may not be relied upon, or assigned, for any purpose, without our prior written consent, which may be granted or withheld in our discretion.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IA DEI</w:t>
      </w:r>
      <w:r>
        <w:rPr>
          <w:rFonts w:ascii="Arial" w:cs="Arial" w:eastAsia="Arial" w:hAnsi="Arial"/>
          <w:sz w:val="18"/>
          <w:szCs w:val="18"/>
          <w:color w:val="auto"/>
        </w:rPr>
        <w:t xml:space="preserve"> B</w:t>
      </w:r>
      <w:r>
        <w:rPr>
          <w:rFonts w:ascii="Arial" w:cs="Arial" w:eastAsia="Arial" w:hAnsi="Arial"/>
          <w:sz w:val="12"/>
          <w:szCs w:val="12"/>
          <w:color w:val="auto"/>
        </w:rPr>
        <w:t>OSSI</w:t>
      </w:r>
      <w:r>
        <w:rPr>
          <w:rFonts w:ascii="Arial" w:cs="Arial" w:eastAsia="Arial" w:hAnsi="Arial"/>
          <w:sz w:val="18"/>
          <w:szCs w:val="18"/>
          <w:color w:val="auto"/>
        </w:rPr>
        <w:t>, 4 – 20121 M</w:t>
      </w:r>
      <w:r>
        <w:rPr>
          <w:rFonts w:ascii="Arial" w:cs="Arial" w:eastAsia="Arial" w:hAnsi="Arial"/>
          <w:sz w:val="12"/>
          <w:szCs w:val="12"/>
          <w:color w:val="auto"/>
        </w:rPr>
        <w:t>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431800</wp:posOffset>
            </wp:positionV>
            <wp:extent cx="2134235" cy="4203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213423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have been given on the basis of the following assumptions:</w:t>
      </w:r>
    </w:p>
    <w:p>
      <w:pPr>
        <w:spacing w:after="0" w:line="225" w:lineRule="exact"/>
        <w:rPr>
          <w:sz w:val="20"/>
          <w:szCs w:val="20"/>
          <w:color w:val="auto"/>
        </w:rPr>
      </w:pPr>
    </w:p>
    <w:p>
      <w:pPr>
        <w:ind w:left="900" w:hanging="447"/>
        <w:spacing w:after="0" w:line="258"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original documents of all documents submitted to us as copies;</w:t>
      </w:r>
    </w:p>
    <w:p>
      <w:pPr>
        <w:spacing w:after="0" w:line="1"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 and that each of the signed documents examined by us has been duly executed and, where applicable, delivered on behalf of the Company;</w:t>
      </w:r>
    </w:p>
    <w:p>
      <w:pPr>
        <w:spacing w:after="0" w:line="1"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the Current Bylaws referred to in paragraph 1.3(a) of this letter remain in full force and effect, and no alteration has been made or will be made to such bylaws, in each case prior to the date of allotment and issue of the Shares (the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ind w:left="900" w:right="20" w:hanging="447"/>
        <w:spacing w:after="0" w:line="250"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on the Allotment Date the Company will comply with all applicable laws to allot and issue the Shares and the Company will receive such amounts as are necessary to fully pay the nominal value of the Shares and any applicable share premium;</w:t>
      </w:r>
    </w:p>
    <w:p>
      <w:pPr>
        <w:jc w:val="both"/>
        <w:ind w:left="900" w:hanging="447"/>
        <w:spacing w:after="0" w:line="250"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all documents, forms and notices which should have been delivered to the Companies’ Register in respect of the Company have been so delivered, that information revealed by the Search was complete and accurate in all respects and has not, since the time of the Search, been altered and that the results of the Search will remain complete and accurate as at the Allotment Date;</w:t>
      </w:r>
    </w:p>
    <w:p>
      <w:pPr>
        <w:spacing w:after="0" w:line="1" w:lineRule="exact"/>
        <w:rPr>
          <w:rFonts w:ascii="Arial" w:cs="Arial" w:eastAsia="Arial" w:hAnsi="Arial"/>
          <w:sz w:val="18"/>
          <w:szCs w:val="18"/>
          <w:color w:val="auto"/>
        </w:rPr>
      </w:pPr>
    </w:p>
    <w:p>
      <w:pPr>
        <w:jc w:val="both"/>
        <w:ind w:left="900" w:hanging="447"/>
        <w:spacing w:after="0" w:line="250"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the minutes of the meetings of the shareholders of the Company and the resolutions of the board of directors of the Company provided to us in connection with the giving of the opinions in this letter reflect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the Allotment Date;</w:t>
      </w:r>
    </w:p>
    <w:p>
      <w:pPr>
        <w:spacing w:after="0" w:line="1"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the resolutions set out in the Corporate Approvals were validly passed and have not been and will not be revoked, challenged or varied and remain in full force and effect and will remain so as at the Allotment Date;</w:t>
      </w:r>
    </w:p>
    <w:p>
      <w:pPr>
        <w:jc w:val="both"/>
        <w:ind w:left="900" w:hanging="447"/>
        <w:spacing w:after="0" w:line="250"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in relation to the allotment and issue of the Shares, the directors of the Company have acted and will act in the manner required by Article 2380-</w:t>
      </w:r>
      <w:r>
        <w:rPr>
          <w:rFonts w:ascii="Arial" w:cs="Arial" w:eastAsia="Arial" w:hAnsi="Arial"/>
          <w:sz w:val="18"/>
          <w:szCs w:val="18"/>
          <w:i w:val="1"/>
          <w:iCs w:val="1"/>
          <w:color w:val="auto"/>
        </w:rPr>
        <w:t>bis</w:t>
      </w:r>
      <w:r>
        <w:rPr>
          <w:rFonts w:ascii="Arial" w:cs="Arial" w:eastAsia="Arial" w:hAnsi="Arial"/>
          <w:sz w:val="18"/>
          <w:szCs w:val="18"/>
          <w:color w:val="auto"/>
        </w:rPr>
        <w:t xml:space="preserve"> of the ICC (Duty to attain the corporate purpose of the Company), and there has not been and will not be any bad faith, breach of trust, fraud, coercion, duress or undue influence on the part of any of the directors of the Company;</w:t>
      </w:r>
    </w:p>
    <w:p>
      <w:pPr>
        <w:spacing w:after="0" w:line="1"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following the date of this letter and prior to the issue of the Ordinary Shares, the Company will validly enter into an underwriting agreement on substantially the terms and conditions described in Exhibit 1.1 of the Registration Statement; and</w:t>
      </w:r>
    </w:p>
    <w:p>
      <w:pPr>
        <w:jc w:val="both"/>
        <w:ind w:left="900" w:hanging="447"/>
        <w:spacing w:after="0" w:line="253"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that no Shares or rights to subscribe for Shares have been or shall be offered to the public in Italy in breach of Consolidate Law on Finance or of any other Italian laws or regulations concerning offers of securities to the public, and no communication has been or shall be made in relation to the Shares in breach of Italian Security Act or any other Italian laws or regulations relating to offers or invitations to subscribe for, or to acquire rights to subscribe for or otherwise acquire, shares or other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IA DEI</w:t>
      </w:r>
      <w:r>
        <w:rPr>
          <w:rFonts w:ascii="Arial" w:cs="Arial" w:eastAsia="Arial" w:hAnsi="Arial"/>
          <w:sz w:val="18"/>
          <w:szCs w:val="18"/>
          <w:color w:val="auto"/>
        </w:rPr>
        <w:t xml:space="preserve"> B</w:t>
      </w:r>
      <w:r>
        <w:rPr>
          <w:rFonts w:ascii="Arial" w:cs="Arial" w:eastAsia="Arial" w:hAnsi="Arial"/>
          <w:sz w:val="12"/>
          <w:szCs w:val="12"/>
          <w:color w:val="auto"/>
        </w:rPr>
        <w:t>OSSI</w:t>
      </w:r>
      <w:r>
        <w:rPr>
          <w:rFonts w:ascii="Arial" w:cs="Arial" w:eastAsia="Arial" w:hAnsi="Arial"/>
          <w:sz w:val="18"/>
          <w:szCs w:val="18"/>
          <w:color w:val="auto"/>
        </w:rPr>
        <w:t>, 4 – 20121 M</w:t>
      </w:r>
      <w:r>
        <w:rPr>
          <w:rFonts w:ascii="Arial" w:cs="Arial" w:eastAsia="Arial" w:hAnsi="Arial"/>
          <w:sz w:val="12"/>
          <w:szCs w:val="12"/>
          <w:color w:val="auto"/>
        </w:rPr>
        <w:t>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431800</wp:posOffset>
            </wp:positionV>
            <wp:extent cx="2134235" cy="420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213423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are subject to the following reservations:</w:t>
      </w:r>
    </w:p>
    <w:p>
      <w:pPr>
        <w:spacing w:after="0" w:line="225" w:lineRule="exact"/>
        <w:rPr>
          <w:sz w:val="20"/>
          <w:szCs w:val="20"/>
          <w:color w:val="auto"/>
        </w:rPr>
      </w:pPr>
    </w:p>
    <w:p>
      <w:pPr>
        <w:jc w:val="both"/>
        <w:ind w:left="900" w:hanging="447"/>
        <w:spacing w:after="0" w:line="284" w:lineRule="auto"/>
        <w:tabs>
          <w:tab w:leader="none" w:pos="9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Search is not capable of revealing conclusively whether or not a winding-up or administration petition or order has been presented or made, a receiver appointed, a company voluntary arrangement proposed or approved or any other insolvency proceeding commenced, and the available records may not be complete or up-to-date. In particular, the Companies’ Register of Milan may not contain details of administration applications filed, or appointments recorded in, or orders made by, district registries and courts outside Milan. Searches at the Companies’ Register of Milan may not be capable of revealing whether or not a winding up petition or a petition for the making of an administration order has been presented and, further, notice of a winding up order or resolution, notice of an administration order and notice of the appointment of a receiver may not be filed at the Companies’ Register immediately and there may be a delay in the relevant notice appearing on the file of the company concerned. Further, not all security interests are registrable, if such security interests have not in fact been registered;</w:t>
      </w:r>
    </w:p>
    <w:p>
      <w:pPr>
        <w:jc w:val="both"/>
        <w:ind w:left="900" w:hanging="447"/>
        <w:spacing w:after="0" w:line="250"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opinions set out in this letter are subject to any limitations arising from the Royal Decree No. 267 of 16 March 1942 (“</w:t>
      </w:r>
      <w:r>
        <w:rPr>
          <w:rFonts w:ascii="Arial" w:cs="Arial" w:eastAsia="Arial" w:hAnsi="Arial"/>
          <w:sz w:val="18"/>
          <w:szCs w:val="18"/>
          <w:i w:val="1"/>
          <w:iCs w:val="1"/>
          <w:color w:val="auto"/>
        </w:rPr>
        <w:t>Legge</w:t>
      </w:r>
      <w:r>
        <w:rPr>
          <w:rFonts w:ascii="Arial" w:cs="Arial" w:eastAsia="Arial" w:hAnsi="Arial"/>
          <w:sz w:val="18"/>
          <w:szCs w:val="18"/>
          <w:color w:val="auto"/>
        </w:rPr>
        <w:t xml:space="preserve"> </w:t>
      </w:r>
      <w:r>
        <w:rPr>
          <w:rFonts w:ascii="Arial" w:cs="Arial" w:eastAsia="Arial" w:hAnsi="Arial"/>
          <w:sz w:val="18"/>
          <w:szCs w:val="18"/>
          <w:i w:val="1"/>
          <w:iCs w:val="1"/>
          <w:color w:val="auto"/>
        </w:rPr>
        <w:t>Fallimentare</w:t>
      </w:r>
      <w:r>
        <w:rPr>
          <w:rFonts w:ascii="Arial" w:cs="Arial" w:eastAsia="Arial" w:hAnsi="Arial"/>
          <w:sz w:val="18"/>
          <w:szCs w:val="18"/>
          <w:color w:val="auto"/>
        </w:rPr>
        <w:t>”), the Legislative Decree No. 14 of 12 January 2019 (“</w:t>
      </w:r>
      <w:r>
        <w:rPr>
          <w:rFonts w:ascii="Arial" w:cs="Arial" w:eastAsia="Arial" w:hAnsi="Arial"/>
          <w:sz w:val="18"/>
          <w:szCs w:val="18"/>
          <w:i w:val="1"/>
          <w:iCs w:val="1"/>
          <w:color w:val="auto"/>
        </w:rPr>
        <w:t>Codice della crisi d’impresa e dell’insolvenza</w:t>
      </w:r>
      <w:r>
        <w:rPr>
          <w:rFonts w:ascii="Arial" w:cs="Arial" w:eastAsia="Arial" w:hAnsi="Arial"/>
          <w:sz w:val="18"/>
          <w:szCs w:val="18"/>
          <w:color w:val="auto"/>
        </w:rPr>
        <w:t>”), the Law No. 3 of 27</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2012 (“</w:t>
      </w:r>
      <w:r>
        <w:rPr>
          <w:rFonts w:ascii="Arial" w:cs="Arial" w:eastAsia="Arial" w:hAnsi="Arial"/>
          <w:sz w:val="18"/>
          <w:szCs w:val="18"/>
          <w:i w:val="1"/>
          <w:iCs w:val="1"/>
          <w:color w:val="auto"/>
        </w:rPr>
        <w:t>Composizione delle crisi da sovraindebitamento</w:t>
      </w:r>
      <w:r>
        <w:rPr>
          <w:rFonts w:ascii="Arial" w:cs="Arial" w:eastAsia="Arial" w:hAnsi="Arial"/>
          <w:sz w:val="18"/>
          <w:szCs w:val="18"/>
          <w:color w:val="auto"/>
        </w:rPr>
        <w:t>”) or any other applicable law relating to insolvency, bankruptcy, administration, reorganisation, liquidation, moratoria, schemes or analogous circumstances;</w:t>
      </w:r>
    </w:p>
    <w:p>
      <w:pPr>
        <w:spacing w:after="0" w:line="1" w:lineRule="exact"/>
        <w:rPr>
          <w:rFonts w:ascii="Arial" w:cs="Arial" w:eastAsia="Arial" w:hAnsi="Arial"/>
          <w:sz w:val="18"/>
          <w:szCs w:val="18"/>
          <w:color w:val="auto"/>
        </w:rPr>
      </w:pPr>
    </w:p>
    <w:p>
      <w:pPr>
        <w:ind w:left="900" w:hanging="447"/>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we have made no enquiries of any individual connected with the Company;</w:t>
      </w:r>
    </w:p>
    <w:p>
      <w:pPr>
        <w:spacing w:after="0" w:line="9" w:lineRule="exact"/>
        <w:rPr>
          <w:rFonts w:ascii="Arial" w:cs="Arial" w:eastAsia="Arial" w:hAnsi="Arial"/>
          <w:sz w:val="18"/>
          <w:szCs w:val="18"/>
          <w:color w:val="auto"/>
        </w:rPr>
      </w:pPr>
    </w:p>
    <w:p>
      <w:pPr>
        <w:ind w:left="900" w:hanging="447"/>
        <w:spacing w:after="0" w:line="250"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certificate, documentation, notification, opinion or the like might be held by the Italian courts not to be conclusive if it can be shown to have an unreasonable or arbitrary basis or in the event of a manifest error;</w:t>
      </w:r>
    </w:p>
    <w:p>
      <w:pPr>
        <w:jc w:val="both"/>
        <w:ind w:left="900" w:hanging="447"/>
        <w:spacing w:after="0" w:line="250"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(i) the accuracy of the facts, including statements of foreign law, or the reasonableness of any statements of opinion, contained in the Registration Statement; or (ii) that no material facts have been omitted from it; and</w:t>
      </w:r>
    </w:p>
    <w:p>
      <w:pPr>
        <w:spacing w:after="0" w:line="1" w:lineRule="exact"/>
        <w:rPr>
          <w:rFonts w:ascii="Arial" w:cs="Arial" w:eastAsia="Arial" w:hAnsi="Arial"/>
          <w:sz w:val="18"/>
          <w:szCs w:val="18"/>
          <w:color w:val="auto"/>
        </w:rPr>
      </w:pPr>
    </w:p>
    <w:p>
      <w:pPr>
        <w:jc w:val="both"/>
        <w:ind w:left="900" w:hanging="447"/>
        <w:spacing w:after="0" w:line="253"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this legal opinion, Italian legal concepts are expressed in English terms and not in their original Italian language. The concepts concerned may not be identical to the concepts described by the same English terms as they exist under the laws of other jurisdictions. This legal opinion may, therefore, only be relied upon under the express condition that any issues of interpretation or liability arising hereunder will be governed by Italian law and that any dispute arising out of or in connection with this legal opinion shall be subject to the exclusive jurisdiction of the Court of Milan.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IA DEI</w:t>
      </w:r>
      <w:r>
        <w:rPr>
          <w:rFonts w:ascii="Arial" w:cs="Arial" w:eastAsia="Arial" w:hAnsi="Arial"/>
          <w:sz w:val="18"/>
          <w:szCs w:val="18"/>
          <w:color w:val="auto"/>
        </w:rPr>
        <w:t xml:space="preserve"> B</w:t>
      </w:r>
      <w:r>
        <w:rPr>
          <w:rFonts w:ascii="Arial" w:cs="Arial" w:eastAsia="Arial" w:hAnsi="Arial"/>
          <w:sz w:val="12"/>
          <w:szCs w:val="12"/>
          <w:color w:val="auto"/>
        </w:rPr>
        <w:t>OSSI</w:t>
      </w:r>
      <w:r>
        <w:rPr>
          <w:rFonts w:ascii="Arial" w:cs="Arial" w:eastAsia="Arial" w:hAnsi="Arial"/>
          <w:sz w:val="18"/>
          <w:szCs w:val="18"/>
          <w:color w:val="auto"/>
        </w:rPr>
        <w:t>, 4 – 20121 M</w:t>
      </w:r>
      <w:r>
        <w:rPr>
          <w:rFonts w:ascii="Arial" w:cs="Arial" w:eastAsia="Arial" w:hAnsi="Arial"/>
          <w:sz w:val="12"/>
          <w:szCs w:val="12"/>
          <w:color w:val="auto"/>
        </w:rPr>
        <w:t>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decimal"/>
      <w:start w:val="1"/>
    </w:lvl>
  </w:abstractNum>
  <w:abstractNum w:abstractNumId="1">
    <w:nsid w:val="26F324BA"/>
    <w:multiLevelType w:val="hybridMultilevel"/>
    <w:lvl w:ilvl="0">
      <w:lvlJc w:val="left"/>
      <w:lvlText w:val="(%1)"/>
      <w:numFmt w:val="decimal"/>
      <w:start w:val="2"/>
    </w:lvl>
  </w:abstractNum>
  <w:abstractNum w:abstractNumId="2">
    <w:nsid w:val="7F01579B"/>
    <w:multiLevelType w:val="hybridMultilevel"/>
    <w:lvl w:ilvl="0">
      <w:lvlJc w:val="left"/>
      <w:lvlText w:val="(%1)"/>
      <w:numFmt w:val="decimal"/>
      <w:start w:val="1"/>
    </w:lvl>
  </w:abstractNum>
  <w:abstractNum w:abstractNumId="3">
    <w:nsid w:val="49DA307D"/>
    <w:multiLevelType w:val="hybridMultilevel"/>
    <w:lvl w:ilvl="0">
      <w:lvlJc w:val="left"/>
      <w:lvlText w:val="(%1)"/>
      <w:numFmt w:val="lowerRoman"/>
      <w:start w:val="2"/>
    </w:lvl>
    <w:lvl w:ilvl="1">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1)"/>
      <w:numFmt w:val="decimal"/>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
      <w:numFmt w:val="bullet"/>
      <w:start w:val="1"/>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
      <w:numFmt w:val="bullet"/>
      <w:start w:val="1"/>
    </w:lvl>
  </w:abstractNum>
  <w:abstractNum w:abstractNumId="52">
    <w:nsid w:val="1DF029D3"/>
    <w:multiLevelType w:val="hybridMultilevel"/>
    <w:lvl w:ilvl="0">
      <w:lvlJc w:val="left"/>
      <w:lvlText w:val="●"/>
      <w:numFmt w:val="bullet"/>
      <w:start w:val="1"/>
    </w:lvl>
  </w:abstractNum>
  <w:abstractNum w:abstractNumId="53">
    <w:nsid w:val="5675FF36"/>
    <w:multiLevelType w:val="hybridMultilevel"/>
    <w:lvl w:ilvl="0">
      <w:lvlJc w:val="left"/>
      <w:lvlText w:val="●"/>
      <w:numFmt w:val="bullet"/>
      <w:start w:val="1"/>
    </w:lvl>
  </w:abstractNum>
  <w:abstractNum w:abstractNumId="54">
    <w:nsid w:val="3DD15094"/>
    <w:multiLevelType w:val="hybridMultilevel"/>
    <w:lvl w:ilvl="0">
      <w:lvlJc w:val="left"/>
      <w:lvlText w:val="●"/>
      <w:numFmt w:val="bullet"/>
      <w:start w:val="1"/>
    </w:lvl>
  </w:abstractNum>
  <w:abstractNum w:abstractNumId="55">
    <w:nsid w:val="3DB012B3"/>
    <w:multiLevelType w:val="hybridMultilevel"/>
    <w:lvl w:ilvl="0">
      <w:lvlJc w:val="left"/>
      <w:lvlText w:val="(%1)"/>
      <w:numFmt w:val="decimal"/>
      <w:start w:val="1"/>
    </w:lvl>
  </w:abstractNum>
  <w:abstractNum w:abstractNumId="56">
    <w:nsid w:val="2708C9AF"/>
    <w:multiLevelType w:val="hybridMultilevel"/>
    <w:lvl w:ilvl="0">
      <w:lvlJc w:val="left"/>
      <w:lvlText w:val="●"/>
      <w:numFmt w:val="bullet"/>
      <w:start w:val="1"/>
    </w:lvl>
  </w:abstractNum>
  <w:abstractNum w:abstractNumId="57">
    <w:nsid w:val="5B25ACE2"/>
    <w:multiLevelType w:val="hybridMultilevel"/>
    <w:lvl w:ilvl="0">
      <w:lvlJc w:val="left"/>
      <w:lvlText w:val="●"/>
      <w:numFmt w:val="bullet"/>
      <w:start w:val="1"/>
    </w:lvl>
  </w:abstractNum>
  <w:abstractNum w:abstractNumId="58">
    <w:nsid w:val="175DFCF0"/>
    <w:multiLevelType w:val="hybridMultilevel"/>
    <w:lvl w:ilvl="0">
      <w:lvlJc w:val="left"/>
      <w:lvlText w:val="●"/>
      <w:numFmt w:val="bullet"/>
      <w:start w:val="1"/>
    </w:lvl>
  </w:abstractNum>
  <w:abstractNum w:abstractNumId="59">
    <w:nsid w:val="4F97E3E4"/>
    <w:multiLevelType w:val="hybridMultilevel"/>
    <w:lvl w:ilvl="0">
      <w:lvlJc w:val="left"/>
      <w:lvlText w:val="1"/>
      <w:numFmt w:val="bullet"/>
      <w:start w:val="1"/>
    </w:lvl>
  </w:abstractNum>
  <w:abstractNum w:abstractNumId="60">
    <w:nsid w:val="53B0A9E"/>
    <w:multiLevelType w:val="hybridMultilevel"/>
    <w:lvl w:ilvl="0">
      <w:lvlJc w:val="left"/>
      <w:lvlText w:val="●"/>
      <w:numFmt w:val="bullet"/>
      <w:start w:val="1"/>
    </w:lvl>
  </w:abstractNum>
  <w:abstractNum w:abstractNumId="61">
    <w:nsid w:val="34FD6B4F"/>
    <w:multiLevelType w:val="hybridMultilevel"/>
    <w:lvl w:ilvl="0">
      <w:lvlJc w:val="left"/>
      <w:lvlText w:val="●"/>
      <w:numFmt w:val="bullet"/>
      <w:start w:val="1"/>
    </w:lvl>
  </w:abstractNum>
  <w:abstractNum w:abstractNumId="62">
    <w:nsid w:val="5915FF32"/>
    <w:multiLevelType w:val="hybridMultilevel"/>
    <w:lvl w:ilvl="0">
      <w:lvlJc w:val="left"/>
      <w:lvlText w:val="●"/>
      <w:numFmt w:val="bullet"/>
      <w:start w:val="1"/>
    </w:lvl>
  </w:abstractNum>
  <w:abstractNum w:abstractNumId="63">
    <w:nsid w:val="56438D15"/>
    <w:multiLevelType w:val="hybridMultilevel"/>
    <w:lvl w:ilvl="0">
      <w:lvlJc w:val="left"/>
      <w:lvlText w:val="●"/>
      <w:numFmt w:val="bullet"/>
      <w:start w:val="1"/>
    </w:lvl>
  </w:abstractNum>
  <w:abstractNum w:abstractNumId="64">
    <w:nsid w:val="519E3149"/>
    <w:multiLevelType w:val="hybridMultilevel"/>
    <w:lvl w:ilvl="0">
      <w:lvlJc w:val="left"/>
      <w:lvlText w:val="●"/>
      <w:numFmt w:val="bullet"/>
      <w:start w:val="1"/>
    </w:lvl>
  </w:abstractNum>
  <w:abstractNum w:abstractNumId="65">
    <w:nsid w:val="2C6E4AFD"/>
    <w:multiLevelType w:val="hybridMultilevel"/>
    <w:lvl w:ilvl="0">
      <w:lvlJc w:val="left"/>
      <w:lvlText w:val="●"/>
      <w:numFmt w:val="bullet"/>
      <w:start w:val="1"/>
    </w:lvl>
  </w:abstractNum>
  <w:abstractNum w:abstractNumId="66">
    <w:nsid w:val="17A1B582"/>
    <w:multiLevelType w:val="hybridMultilevel"/>
    <w:lvl w:ilvl="0">
      <w:lvlJc w:val="left"/>
      <w:lvlText w:val="●"/>
      <w:numFmt w:val="bullet"/>
      <w:start w:val="1"/>
    </w:lvl>
  </w:abstractNum>
  <w:abstractNum w:abstractNumId="67">
    <w:nsid w:val="4DF72E4E"/>
    <w:multiLevelType w:val="hybridMultilevel"/>
    <w:lvl w:ilvl="0">
      <w:lvlJc w:val="left"/>
      <w:lvlText w:val="●"/>
      <w:numFmt w:val="bullet"/>
      <w:start w:val="1"/>
    </w:lvl>
  </w:abstractNum>
  <w:abstractNum w:abstractNumId="68">
    <w:nsid w:val="5046B5A9"/>
    <w:multiLevelType w:val="hybridMultilevel"/>
    <w:lvl w:ilvl="0">
      <w:lvlJc w:val="left"/>
      <w:lvlText w:val="●"/>
      <w:numFmt w:val="bullet"/>
      <w:start w:val="1"/>
    </w:lvl>
  </w:abstractNum>
  <w:abstractNum w:abstractNumId="69">
    <w:nsid w:val="5D888A08"/>
    <w:multiLevelType w:val="hybridMultilevel"/>
    <w:lvl w:ilvl="0">
      <w:lvlJc w:val="left"/>
      <w:lvlText w:val="●"/>
      <w:numFmt w:val="bullet"/>
      <w:start w:val="1"/>
    </w:lvl>
  </w:abstractNum>
  <w:abstractNum w:abstractNumId="70">
    <w:nsid w:val="2A082C70"/>
    <w:multiLevelType w:val="hybridMultilevel"/>
    <w:lvl w:ilvl="0">
      <w:lvlJc w:val="left"/>
      <w:lvlText w:val="●"/>
      <w:numFmt w:val="bullet"/>
      <w:start w:val="1"/>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1."/>
      <w:numFmt w:val="decimal"/>
      <w:start w:val="1"/>
    </w:lvl>
  </w:abstractNum>
  <w:abstractNum w:abstractNumId="73">
    <w:nsid w:val="75E0858A"/>
    <w:multiLevelType w:val="hybridMultilevel"/>
    <w:lvl w:ilvl="0">
      <w:lvlJc w:val="left"/>
      <w:lvlText w:val="%1)"/>
      <w:numFmt w:val="lowerLetter"/>
      <w:start w:val="1"/>
    </w:lvl>
  </w:abstractNum>
  <w:abstractNum w:abstractNumId="74">
    <w:nsid w:val="57A61A29"/>
    <w:multiLevelType w:val="hybridMultilevel"/>
    <w:lvl w:ilvl="0">
      <w:lvlJc w:val="left"/>
      <w:lvlText w:val="(%1)"/>
      <w:numFmt w:val="decimal"/>
      <w:start w:val="1"/>
    </w:lvl>
  </w:abstractNum>
  <w:abstractNum w:abstractNumId="75">
    <w:nsid w:val="5399C654"/>
    <w:multiLevelType w:val="hybridMultilevel"/>
    <w:lvl w:ilvl="0">
      <w:lvlJc w:val="left"/>
      <w:lvlText w:val="(%1)"/>
      <w:numFmt w:val="lowerRoman"/>
      <w:start w:val="1"/>
    </w:lvl>
  </w:abstractNum>
  <w:abstractNum w:abstractNumId="76">
    <w:nsid w:val="20EE1348"/>
    <w:multiLevelType w:val="hybridMultilevel"/>
    <w:lvl w:ilvl="0">
      <w:lvlJc w:val="left"/>
      <w:lvlText w:val="%1"/>
      <w:numFmt w:val="upperLetter"/>
      <w:start w:val="1"/>
    </w:lvl>
    <w:lvl w:ilvl="1">
      <w:lvlJc w:val="left"/>
      <w:lvlText w:val="%2)"/>
      <w:numFmt w:val="upperLetter"/>
      <w:start w:val="1"/>
    </w:lvl>
  </w:abstractNum>
  <w:abstractNum w:abstractNumId="77">
    <w:nsid w:val="4427069A"/>
    <w:multiLevelType w:val="hybridMultilevel"/>
    <w:lvl w:ilvl="0">
      <w:lvlJc w:val="left"/>
      <w:lvlText w:val="%1)"/>
      <w:numFmt w:val="upperLetter"/>
      <w:start w:val="2"/>
    </w:lvl>
    <w:lvl w:ilvl="1">
      <w:lvlJc w:val="left"/>
      <w:lvlText w:val="%2"/>
      <w:numFmt w:val="upperLetter"/>
      <w:start w:val="1"/>
    </w:lvl>
  </w:abstractNum>
  <w:abstractNum w:abstractNumId="78">
    <w:nsid w:val="B37E80A"/>
    <w:multiLevelType w:val="hybridMultilevel"/>
    <w:lvl w:ilvl="0">
      <w:lvlJc w:val="left"/>
      <w:lvlText w:val="●"/>
      <w:numFmt w:val="bullet"/>
      <w:start w:val="1"/>
    </w:lvl>
  </w:abstractNum>
  <w:abstractNum w:abstractNumId="79">
    <w:nsid w:val="2157F6BC"/>
    <w:multiLevelType w:val="hybridMultilevel"/>
    <w:lvl w:ilvl="0">
      <w:lvlJc w:val="left"/>
      <w:lvlText w:val="●"/>
      <w:numFmt w:val="bullet"/>
      <w:start w:val="1"/>
    </w:lvl>
  </w:abstractNum>
  <w:abstractNum w:abstractNumId="80">
    <w:nsid w:val="704E1DD5"/>
    <w:multiLevelType w:val="hybridMultilevel"/>
    <w:lvl w:ilvl="0">
      <w:lvlJc w:val="left"/>
      <w:lvlText w:val="●"/>
      <w:numFmt w:val="bullet"/>
      <w:start w:val="1"/>
    </w:lvl>
  </w:abstractNum>
  <w:abstractNum w:abstractNumId="81">
    <w:nsid w:val="57D2F10E"/>
    <w:multiLevelType w:val="hybridMultilevel"/>
    <w:lvl w:ilvl="0">
      <w:lvlJc w:val="left"/>
      <w:lvlText w:val="●"/>
      <w:numFmt w:val="bullet"/>
      <w:start w:val="1"/>
    </w:lvl>
  </w:abstractNum>
  <w:abstractNum w:abstractNumId="82">
    <w:nsid w:val="BFFAE18"/>
    <w:multiLevelType w:val="hybridMultilevel"/>
    <w:lvl w:ilvl="0">
      <w:lvlJc w:val="left"/>
      <w:lvlText w:val="●"/>
      <w:numFmt w:val="bullet"/>
      <w:start w:val="1"/>
    </w:lvl>
  </w:abstractNum>
  <w:abstractNum w:abstractNumId="83">
    <w:nsid w:val="E3E47A8"/>
    <w:multiLevelType w:val="hybridMultilevel"/>
    <w:lvl w:ilvl="0">
      <w:lvlJc w:val="left"/>
      <w:lvlText w:val="●"/>
      <w:numFmt w:val="bullet"/>
      <w:start w:val="1"/>
    </w:lvl>
  </w:abstractNum>
  <w:abstractNum w:abstractNumId="84">
    <w:nsid w:val="2E48F044"/>
    <w:multiLevelType w:val="hybridMultilevel"/>
    <w:lvl w:ilvl="0">
      <w:lvlJc w:val="left"/>
      <w:lvlText w:val="●"/>
      <w:numFmt w:val="bullet"/>
      <w:start w:val="1"/>
    </w:lvl>
  </w:abstractNum>
  <w:abstractNum w:abstractNumId="85">
    <w:nsid w:val="49D0FEAC"/>
    <w:multiLevelType w:val="hybridMultilevel"/>
    <w:lvl w:ilvl="0">
      <w:lvlJc w:val="left"/>
      <w:lvlText w:val="●"/>
      <w:numFmt w:val="bullet"/>
      <w:start w:val="1"/>
    </w:lvl>
    <w:lvl w:ilvl="1">
      <w:lvlJc w:val="left"/>
      <w:lvlText w:val="○"/>
      <w:numFmt w:val="bullet"/>
      <w:start w:val="1"/>
    </w:lvl>
  </w:abstractNum>
  <w:abstractNum w:abstractNumId="86">
    <w:nsid w:val="4BEE5A5B"/>
    <w:multiLevelType w:val="hybridMultilevel"/>
    <w:lvl w:ilvl="0">
      <w:lvlJc w:val="left"/>
      <w:lvlText w:val="●"/>
      <w:numFmt w:val="bullet"/>
      <w:start w:val="1"/>
    </w:lvl>
  </w:abstractNum>
  <w:abstractNum w:abstractNumId="87">
    <w:nsid w:val="5551B9F3"/>
    <w:multiLevelType w:val="hybridMultilevel"/>
    <w:lvl w:ilvl="0">
      <w:lvlJc w:val="left"/>
      <w:lvlText w:val="●"/>
      <w:numFmt w:val="bullet"/>
      <w:start w:val="1"/>
    </w:lvl>
  </w:abstractNum>
  <w:abstractNum w:abstractNumId="88">
    <w:nsid w:val="24F6AB8E"/>
    <w:multiLevelType w:val="hybridMultilevel"/>
    <w:lvl w:ilvl="0">
      <w:lvlJc w:val="left"/>
      <w:lvlText w:val="●"/>
      <w:numFmt w:val="bullet"/>
      <w:start w:val="1"/>
    </w:lvl>
  </w:abstractNum>
  <w:abstractNum w:abstractNumId="89">
    <w:nsid w:val="634C574C"/>
    <w:multiLevelType w:val="hybridMultilevel"/>
    <w:lvl w:ilvl="0">
      <w:lvlJc w:val="left"/>
      <w:lvlText w:val="●"/>
      <w:numFmt w:val="bullet"/>
      <w:start w:val="1"/>
    </w:lvl>
  </w:abstractNum>
  <w:abstractNum w:abstractNumId="90">
    <w:nsid w:val="24E99DD7"/>
    <w:multiLevelType w:val="hybridMultilevel"/>
    <w:lvl w:ilvl="0">
      <w:lvlJc w:val="left"/>
      <w:lvlText w:val="%1."/>
      <w:numFmt w:val="decimal"/>
      <w:start w:val="1"/>
    </w:lvl>
  </w:abstractNum>
  <w:abstractNum w:abstractNumId="91">
    <w:nsid w:val="2A31B62D"/>
    <w:multiLevelType w:val="hybridMultilevel"/>
    <w:lvl w:ilvl="0">
      <w:lvlJc w:val="left"/>
      <w:lvlText w:val="*"/>
      <w:numFmt w:val="bullet"/>
      <w:start w:val="1"/>
    </w:lvl>
  </w:abstractNum>
  <w:abstractNum w:abstractNumId="92">
    <w:nsid w:val="1849C29B"/>
    <w:multiLevelType w:val="hybridMultilevel"/>
    <w:lvl w:ilvl="0">
      <w:lvlJc w:val="left"/>
      <w:lvlText w:val="(%1)"/>
      <w:numFmt w:val="lowerLetter"/>
      <w:start w:val="1"/>
    </w:lvl>
  </w:abstractNum>
  <w:abstractNum w:abstractNumId="93">
    <w:nsid w:val="7DFF9D09"/>
    <w:multiLevelType w:val="hybridMultilevel"/>
    <w:lvl w:ilvl="0">
      <w:lvlJc w:val="left"/>
      <w:lvlText w:val="●"/>
      <w:numFmt w:val="bullet"/>
      <w:start w:val="1"/>
    </w:lvl>
  </w:abstractNum>
  <w:abstractNum w:abstractNumId="94">
    <w:nsid w:val="754342"/>
    <w:multiLevelType w:val="hybridMultilevel"/>
    <w:lvl w:ilvl="0">
      <w:lvlJc w:val="left"/>
      <w:lvlText w:val="●"/>
      <w:numFmt w:val="bullet"/>
      <w:start w:val="1"/>
    </w:lvl>
  </w:abstractNum>
  <w:abstractNum w:abstractNumId="95">
    <w:nsid w:val="69E7F3E5"/>
    <w:multiLevelType w:val="hybridMultilevel"/>
    <w:lvl w:ilvl="0">
      <w:lvlJc w:val="left"/>
      <w:lvlText w:val="●"/>
      <w:numFmt w:val="bullet"/>
      <w:start w:val="1"/>
    </w:lvl>
  </w:abstractNum>
  <w:abstractNum w:abstractNumId="96">
    <w:nsid w:val="2A6DE806"/>
    <w:multiLevelType w:val="hybridMultilevel"/>
    <w:lvl w:ilvl="0">
      <w:lvlJc w:val="left"/>
      <w:lvlText w:val="●"/>
      <w:numFmt w:val="bullet"/>
      <w:start w:val="1"/>
    </w:lvl>
  </w:abstractNum>
  <w:abstractNum w:abstractNumId="97">
    <w:nsid w:val="1816F8C4"/>
    <w:multiLevelType w:val="hybridMultilevel"/>
    <w:lvl w:ilvl="0">
      <w:lvlJc w:val="left"/>
      <w:lvlText w:val="●"/>
      <w:numFmt w:val="bullet"/>
      <w:start w:val="1"/>
    </w:lvl>
  </w:abstractNum>
  <w:abstractNum w:abstractNumId="98">
    <w:nsid w:val="37DF2233"/>
    <w:multiLevelType w:val="hybridMultilevel"/>
    <w:lvl w:ilvl="0">
      <w:lvlJc w:val="left"/>
      <w:lvlText w:val="●"/>
      <w:numFmt w:val="bullet"/>
      <w:start w:val="1"/>
    </w:lvl>
  </w:abstractNum>
  <w:abstractNum w:abstractNumId="99">
    <w:nsid w:val="7AB49DAF"/>
    <w:multiLevelType w:val="hybridMultilevel"/>
    <w:lvl w:ilvl="0">
      <w:lvlJc w:val="left"/>
      <w:lvlText w:val="●"/>
      <w:numFmt w:val="bullet"/>
      <w:start w:val="1"/>
    </w:lvl>
  </w:abstractNum>
  <w:abstractNum w:abstractNumId="100">
    <w:nsid w:val="759F82CD"/>
    <w:multiLevelType w:val="hybridMultilevel"/>
    <w:lvl w:ilvl="0">
      <w:lvlJc w:val="left"/>
      <w:lvlText w:val="(%1)"/>
      <w:numFmt w:val="decimal"/>
      <w:start w:val="1"/>
    </w:lvl>
  </w:abstractNum>
  <w:abstractNum w:abstractNumId="101">
    <w:nsid w:val="61E74EA3"/>
    <w:multiLevelType w:val="hybridMultilevel"/>
    <w:lvl w:ilvl="0">
      <w:lvlJc w:val="left"/>
      <w:lvlText w:val="●"/>
      <w:numFmt w:val="bullet"/>
      <w:start w:val="1"/>
    </w:lvl>
  </w:abstractNum>
  <w:abstractNum w:abstractNumId="102">
    <w:nsid w:val="597B4D84"/>
    <w:multiLevelType w:val="hybridMultilevel"/>
    <w:lvl w:ilvl="0">
      <w:lvlJc w:val="left"/>
      <w:lvlText w:val="●"/>
      <w:numFmt w:val="bullet"/>
      <w:start w:val="1"/>
    </w:lvl>
  </w:abstractNum>
  <w:abstractNum w:abstractNumId="103">
    <w:nsid w:val="F819E7F"/>
    <w:multiLevelType w:val="hybridMultilevel"/>
    <w:lvl w:ilvl="0">
      <w:lvlJc w:val="left"/>
      <w:lvlText w:val="(%1)"/>
      <w:numFmt w:val="lowerRoman"/>
      <w:start w:val="1"/>
    </w:lvl>
  </w:abstractNum>
  <w:abstractNum w:abstractNumId="104">
    <w:nsid w:val="57C7D42D"/>
    <w:multiLevelType w:val="hybridMultilevel"/>
    <w:lvl w:ilvl="0">
      <w:lvlJc w:val="left"/>
      <w:lvlText w:val="●"/>
      <w:numFmt w:val="bullet"/>
      <w:start w:val="1"/>
    </w:lvl>
  </w:abstractNum>
  <w:abstractNum w:abstractNumId="105">
    <w:nsid w:val="312167AD"/>
    <w:multiLevelType w:val="hybridMultilevel"/>
    <w:lvl w:ilvl="0">
      <w:lvlJc w:val="left"/>
      <w:lvlText w:val="●"/>
      <w:numFmt w:val="bullet"/>
      <w:start w:val="1"/>
    </w:lvl>
  </w:abstractNum>
  <w:abstractNum w:abstractNumId="106">
    <w:nsid w:val="631B64D4"/>
    <w:multiLevelType w:val="hybridMultilevel"/>
    <w:lvl w:ilvl="0">
      <w:lvlJc w:val="left"/>
      <w:lvlText w:val="●"/>
      <w:numFmt w:val="bullet"/>
      <w:start w:val="1"/>
    </w:lvl>
  </w:abstractNum>
  <w:abstractNum w:abstractNumId="107">
    <w:nsid w:val="78B5E776"/>
    <w:multiLevelType w:val="hybridMultilevel"/>
    <w:lvl w:ilvl="0">
      <w:lvlJc w:val="left"/>
      <w:lvlText w:val="(%1)"/>
      <w:numFmt w:val="decimal"/>
      <w:start w:val="1"/>
    </w:lvl>
  </w:abstractNum>
  <w:abstractNum w:abstractNumId="108">
    <w:nsid w:val="75486E47"/>
    <w:multiLevelType w:val="hybridMultilevel"/>
    <w:lvl w:ilvl="0">
      <w:lvlJc w:val="left"/>
      <w:lvlText w:val="(%1)"/>
      <w:numFmt w:val="lowerLetter"/>
      <w:start w:val="1"/>
    </w:lvl>
  </w:abstractNum>
  <w:abstractNum w:abstractNumId="109">
    <w:nsid w:val="6E534CDE"/>
    <w:multiLevelType w:val="hybridMultilevel"/>
    <w:lvl w:ilvl="0">
      <w:lvlJc w:val="left"/>
      <w:lvlText w:val="(%1)"/>
      <w:numFmt w:val="lowerLetter"/>
      <w:start w:val="1"/>
    </w:lvl>
  </w:abstractNum>
  <w:abstractNum w:abstractNumId="110">
    <w:nsid w:val="1A0DDE32"/>
    <w:multiLevelType w:val="hybridMultilevel"/>
    <w:lvl w:ilvl="0">
      <w:lvlJc w:val="left"/>
      <w:lvlText w:val="●"/>
      <w:numFmt w:val="bullet"/>
      <w:start w:val="1"/>
    </w:lvl>
  </w:abstractNum>
  <w:abstractNum w:abstractNumId="111">
    <w:nsid w:val="65968C1C"/>
    <w:multiLevelType w:val="hybridMultilevel"/>
    <w:lvl w:ilvl="0">
      <w:lvlJc w:val="left"/>
      <w:lvlText w:val="●"/>
      <w:numFmt w:val="bullet"/>
      <w:start w:val="1"/>
    </w:lvl>
  </w:abstractNum>
  <w:abstractNum w:abstractNumId="112">
    <w:nsid w:val="46263DEC"/>
    <w:multiLevelType w:val="hybridMultilevel"/>
    <w:lvl w:ilvl="0">
      <w:lvlJc w:val="left"/>
      <w:lvlText w:val="●"/>
      <w:numFmt w:val="bullet"/>
      <w:start w:val="1"/>
    </w:lvl>
  </w:abstractNum>
  <w:abstractNum w:abstractNumId="113">
    <w:nsid w:val="260D8C4A"/>
    <w:multiLevelType w:val="hybridMultilevel"/>
    <w:lvl w:ilvl="0">
      <w:lvlJc w:val="left"/>
      <w:lvlText w:val="●"/>
      <w:numFmt w:val="bullet"/>
      <w:start w:val="1"/>
    </w:lvl>
  </w:abstractNum>
  <w:abstractNum w:abstractNumId="114">
    <w:nsid w:val="73D4D3C4"/>
    <w:multiLevelType w:val="hybridMultilevel"/>
    <w:lvl w:ilvl="0">
      <w:lvlJc w:val="left"/>
      <w:lvlText w:val="(%1)"/>
      <w:numFmt w:val="lowerRoman"/>
      <w:start w:val="1"/>
    </w:lvl>
  </w:abstractNum>
  <w:abstractNum w:abstractNumId="115">
    <w:nsid w:val="746F2E30"/>
    <w:multiLevelType w:val="hybridMultilevel"/>
    <w:lvl w:ilvl="0">
      <w:lvlJc w:val="left"/>
      <w:lvlText w:val="%1)"/>
      <w:numFmt w:val="lowerLetter"/>
      <w:start w:val="1"/>
    </w:lvl>
    <w:lvl w:ilvl="1">
      <w:lvlJc w:val="left"/>
      <w:lvlText w:val="-"/>
      <w:numFmt w:val="bullet"/>
      <w:start w:val="1"/>
    </w:lvl>
  </w:abstractNum>
  <w:abstractNum w:abstractNumId="116">
    <w:nsid w:val="6FDE8AF6"/>
    <w:multiLevelType w:val="hybridMultilevel"/>
    <w:lvl w:ilvl="0">
      <w:lvlJc w:val="left"/>
      <w:lvlText w:val="●"/>
      <w:numFmt w:val="bullet"/>
      <w:start w:val="1"/>
    </w:lvl>
    <w:lvl w:ilvl="1">
      <w:lvlJc w:val="left"/>
      <w:lvlText w:val="●"/>
      <w:numFmt w:val="bullet"/>
      <w:start w:val="1"/>
    </w:lvl>
  </w:abstractNum>
  <w:abstractNum w:abstractNumId="117">
    <w:nsid w:val="3FC32E20"/>
    <w:multiLevelType w:val="hybridMultilevel"/>
    <w:lvl w:ilvl="0">
      <w:lvlJc w:val="left"/>
      <w:lvlText w:val="●"/>
      <w:numFmt w:val="bullet"/>
      <w:start w:val="1"/>
    </w:lvl>
  </w:abstractNum>
  <w:abstractNum w:abstractNumId="118">
    <w:nsid w:val="49C0E823"/>
    <w:multiLevelType w:val="hybridMultilevel"/>
    <w:lvl w:ilvl="0">
      <w:lvlJc w:val="left"/>
      <w:lvlText w:val="●"/>
      <w:numFmt w:val="bullet"/>
      <w:start w:val="1"/>
    </w:lvl>
  </w:abstractNum>
  <w:abstractNum w:abstractNumId="119">
    <w:nsid w:val="14D53685"/>
    <w:multiLevelType w:val="hybridMultilevel"/>
    <w:lvl w:ilvl="0">
      <w:lvlJc w:val="left"/>
      <w:lvlText w:val="●"/>
      <w:numFmt w:val="bullet"/>
      <w:start w:val="1"/>
    </w:lvl>
  </w:abstractNum>
  <w:abstractNum w:abstractNumId="120">
    <w:nsid w:val="230F856C"/>
    <w:multiLevelType w:val="hybridMultilevel"/>
    <w:lvl w:ilvl="0">
      <w:lvlJc w:val="left"/>
      <w:lvlText w:val="●"/>
      <w:numFmt w:val="bullet"/>
      <w:start w:val="1"/>
    </w:lvl>
  </w:abstractNum>
  <w:abstractNum w:abstractNumId="121">
    <w:nsid w:val="6EAA85FB"/>
    <w:multiLevelType w:val="hybridMultilevel"/>
    <w:lvl w:ilvl="0">
      <w:lvlJc w:val="left"/>
      <w:lvlText w:val="●"/>
      <w:numFmt w:val="bullet"/>
      <w:start w:val="1"/>
    </w:lvl>
  </w:abstractNum>
  <w:abstractNum w:abstractNumId="122">
    <w:nsid w:val="3F06ECB2"/>
    <w:multiLevelType w:val="hybridMultilevel"/>
    <w:lvl w:ilvl="0">
      <w:lvlJc w:val="left"/>
      <w:lvlText w:val="●"/>
      <w:numFmt w:val="bullet"/>
      <w:start w:val="1"/>
    </w:lvl>
  </w:abstractNum>
  <w:abstractNum w:abstractNumId="123">
    <w:nsid w:val="3B594807"/>
    <w:multiLevelType w:val="hybridMultilevel"/>
    <w:lvl w:ilvl="0">
      <w:lvlJc w:val="left"/>
      <w:lvlText w:val="(%1)"/>
      <w:numFmt w:val="lowerRoman"/>
      <w:start w:val="2"/>
    </w:lvl>
  </w:abstractNum>
  <w:abstractNum w:abstractNumId="124">
    <w:nsid w:val="6CAA2304"/>
    <w:multiLevelType w:val="hybridMultilevel"/>
    <w:lvl w:ilvl="0">
      <w:lvlJc w:val="left"/>
      <w:lvlText w:val="●"/>
      <w:numFmt w:val="bullet"/>
      <w:start w:val="1"/>
    </w:lvl>
  </w:abstractNum>
  <w:abstractNum w:abstractNumId="125">
    <w:nsid w:val="3F7C2FF4"/>
    <w:multiLevelType w:val="hybridMultilevel"/>
    <w:lvl w:ilvl="0">
      <w:lvlJc w:val="left"/>
      <w:lvlText w:val="(%1)"/>
      <w:numFmt w:val="lowerLetter"/>
      <w:start w:val="1"/>
    </w:lvl>
  </w:abstractNum>
  <w:abstractNum w:abstractNumId="126">
    <w:nsid w:val="25413BEC"/>
    <w:multiLevelType w:val="hybridMultilevel"/>
    <w:lvl w:ilvl="0">
      <w:lvlJc w:val="left"/>
      <w:lvlText w:val="(%1)"/>
      <w:numFmt w:val="decimal"/>
      <w:start w:val="3"/>
    </w:lvl>
  </w:abstractNum>
  <w:abstractNum w:abstractNumId="127">
    <w:nsid w:val="17180B0B"/>
    <w:multiLevelType w:val="hybridMultilevel"/>
    <w:lvl w:ilvl="0">
      <w:lvlJc w:val="left"/>
      <w:lvlText w:val="●"/>
      <w:numFmt w:val="bullet"/>
      <w:start w:val="1"/>
    </w:lvl>
  </w:abstractNum>
  <w:abstractNum w:abstractNumId="128">
    <w:nsid w:val="579328B9"/>
    <w:multiLevelType w:val="hybridMultilevel"/>
    <w:lvl w:ilvl="0">
      <w:lvlJc w:val="left"/>
      <w:lvlText w:val="(%1)"/>
      <w:numFmt w:val="lowerRoman"/>
      <w:start w:val="2"/>
    </w:lvl>
  </w:abstractNum>
  <w:abstractNum w:abstractNumId="129">
    <w:nsid w:val="5D205E20"/>
    <w:multiLevelType w:val="hybridMultilevel"/>
    <w:lvl w:ilvl="0">
      <w:lvlJc w:val="left"/>
      <w:lvlText w:val="(%1)"/>
      <w:numFmt w:val="decimal"/>
      <w:start w:val="1"/>
    </w:lvl>
  </w:abstractNum>
  <w:abstractNum w:abstractNumId="130">
    <w:nsid w:val="11CCA8BA"/>
    <w:multiLevelType w:val="hybridMultilevel"/>
    <w:lvl w:ilvl="0">
      <w:lvlJc w:val="left"/>
      <w:lvlText w:val="•"/>
      <w:numFmt w:val="bullet"/>
      <w:start w:val="1"/>
    </w:lvl>
  </w:abstractNum>
  <w:abstractNum w:abstractNumId="131">
    <w:nsid w:val="4D32AB86"/>
    <w:multiLevelType w:val="hybridMultilevel"/>
    <w:lvl w:ilvl="0">
      <w:lvlJc w:val="left"/>
      <w:lvlText w:val="%1)"/>
      <w:numFmt w:val="lowerLetter"/>
      <w:start w:val="1"/>
    </w:lvl>
  </w:abstractNum>
  <w:abstractNum w:abstractNumId="132">
    <w:nsid w:val="3F07ACC3"/>
    <w:multiLevelType w:val="hybridMultilevel"/>
    <w:lvl w:ilvl="0">
      <w:lvlJc w:val="left"/>
      <w:lvlText w:val="●"/>
      <w:numFmt w:val="bullet"/>
      <w:start w:val="1"/>
    </w:lvl>
  </w:abstractNum>
  <w:abstractNum w:abstractNumId="133">
    <w:nsid w:val="6B47F63E"/>
    <w:multiLevelType w:val="hybridMultilevel"/>
    <w:lvl w:ilvl="0">
      <w:lvlJc w:val="left"/>
      <w:lvlText w:val="%1)"/>
      <w:numFmt w:val="lowerLetter"/>
      <w:start w:val="17"/>
    </w:lvl>
  </w:abstractNum>
  <w:abstractNum w:abstractNumId="134">
    <w:nsid w:val="5CB44A05"/>
    <w:multiLevelType w:val="hybridMultilevel"/>
    <w:lvl w:ilvl="0">
      <w:lvlJc w:val="left"/>
      <w:lvlText w:val="●"/>
      <w:numFmt w:val="bullet"/>
      <w:start w:val="1"/>
    </w:lvl>
  </w:abstractNum>
  <w:abstractNum w:abstractNumId="135">
    <w:nsid w:val="16CF80F1"/>
    <w:multiLevelType w:val="hybridMultilevel"/>
    <w:lvl w:ilvl="0">
      <w:lvlJc w:val="left"/>
      <w:lvlText w:val="-"/>
      <w:numFmt w:val="bullet"/>
      <w:start w:val="1"/>
    </w:lvl>
  </w:abstractNum>
  <w:abstractNum w:abstractNumId="136">
    <w:nsid w:val="1C695DEC"/>
    <w:multiLevelType w:val="hybridMultilevel"/>
    <w:lvl w:ilvl="0">
      <w:lvlJc w:val="left"/>
      <w:lvlText w:val="●"/>
      <w:numFmt w:val="bullet"/>
      <w:start w:val="1"/>
    </w:lvl>
  </w:abstractNum>
  <w:abstractNum w:abstractNumId="137">
    <w:nsid w:val="3FCFAED9"/>
    <w:multiLevelType w:val="hybridMultilevel"/>
    <w:lvl w:ilvl="0">
      <w:lvlJc w:val="left"/>
      <w:lvlText w:val="%1."/>
      <w:numFmt w:val="decimal"/>
      <w:start w:val="10"/>
    </w:lvl>
    <w:lvl w:ilvl="1">
      <w:lvlJc w:val="left"/>
      <w:lvlText w:val="●"/>
      <w:numFmt w:val="bullet"/>
      <w:start w:val="1"/>
    </w:lvl>
  </w:abstractNum>
  <w:abstractNum w:abstractNumId="138">
    <w:nsid w:val="F856867"/>
    <w:multiLevelType w:val="hybridMultilevel"/>
    <w:lvl w:ilvl="0">
      <w:lvlJc w:val="left"/>
      <w:lvlText w:val="●"/>
      <w:numFmt w:val="bullet"/>
      <w:start w:val="1"/>
    </w:lvl>
  </w:abstractNum>
  <w:abstractNum w:abstractNumId="139">
    <w:nsid w:val="11B1CC33"/>
    <w:multiLevelType w:val="hybridMultilevel"/>
    <w:lvl w:ilvl="0">
      <w:lvlJc w:val="left"/>
      <w:lvlText w:val="●"/>
      <w:numFmt w:val="bullet"/>
      <w:start w:val="1"/>
    </w:lvl>
  </w:abstractNum>
  <w:abstractNum w:abstractNumId="140">
    <w:nsid w:val="2E22FBB7"/>
    <w:multiLevelType w:val="hybridMultilevel"/>
    <w:lvl w:ilvl="0">
      <w:lvlJc w:val="left"/>
      <w:lvlText w:val="%1)"/>
      <w:numFmt w:val="lowerLetter"/>
      <w:start w:val="1"/>
    </w:lvl>
  </w:abstractNum>
  <w:abstractNum w:abstractNumId="141">
    <w:nsid w:val="29934699"/>
    <w:multiLevelType w:val="hybridMultilevel"/>
    <w:lvl w:ilvl="0">
      <w:lvlJc w:val="left"/>
      <w:lvlText w:val="●"/>
      <w:numFmt w:val="bullet"/>
      <w:start w:val="1"/>
    </w:lvl>
  </w:abstractNum>
  <w:abstractNum w:abstractNumId="142">
    <w:nsid w:val="77485850"/>
    <w:multiLevelType w:val="hybridMultilevel"/>
    <w:lvl w:ilvl="0">
      <w:lvlJc w:val="left"/>
      <w:lvlText w:val="●"/>
      <w:numFmt w:val="bullet"/>
      <w:start w:val="1"/>
    </w:lvl>
  </w:abstractNum>
  <w:abstractNum w:abstractNumId="143">
    <w:nsid w:val="744939A3"/>
    <w:multiLevelType w:val="hybridMultilevel"/>
    <w:lvl w:ilvl="0">
      <w:lvlJc w:val="left"/>
      <w:lvlText w:val="●"/>
      <w:numFmt w:val="bullet"/>
      <w:start w:val="1"/>
    </w:lvl>
  </w:abstractNum>
  <w:abstractNum w:abstractNumId="144">
    <w:nsid w:val="4FA0D2E3"/>
    <w:multiLevelType w:val="hybridMultilevel"/>
    <w:lvl w:ilvl="0">
      <w:lvlJc w:val="left"/>
      <w:lvlText w:val="%1)"/>
      <w:numFmt w:val="lowerLetter"/>
      <w:start w:val="17"/>
    </w:lvl>
    <w:lvl w:ilvl="1">
      <w:lvlJc w:val="left"/>
      <w:lvlText w:val="●"/>
      <w:numFmt w:val="bullet"/>
      <w:start w:val="1"/>
    </w:lvl>
  </w:abstractNum>
  <w:abstractNum w:abstractNumId="145">
    <w:nsid w:val="6B1D2C14"/>
    <w:multiLevelType w:val="hybridMultilevel"/>
    <w:lvl w:ilvl="0">
      <w:lvlJc w:val="left"/>
      <w:lvlText w:val="●"/>
      <w:numFmt w:val="bullet"/>
      <w:start w:val="1"/>
    </w:lvl>
  </w:abstractNum>
  <w:abstractNum w:abstractNumId="146">
    <w:nsid w:val="68B867D3"/>
    <w:multiLevelType w:val="hybridMultilevel"/>
    <w:lvl w:ilvl="0">
      <w:lvlJc w:val="left"/>
      <w:lvlText w:val="●"/>
      <w:numFmt w:val="bullet"/>
      <w:start w:val="1"/>
    </w:lvl>
  </w:abstractNum>
  <w:abstractNum w:abstractNumId="147">
    <w:nsid w:val="3F7F5DD9"/>
    <w:multiLevelType w:val="hybridMultilevel"/>
    <w:lvl w:ilvl="0">
      <w:lvlJc w:val="left"/>
      <w:lvlText w:val="●"/>
      <w:numFmt w:val="bullet"/>
      <w:start w:val="1"/>
    </w:lvl>
  </w:abstractNum>
  <w:abstractNum w:abstractNumId="148">
    <w:nsid w:val="2AE05A34"/>
    <w:multiLevelType w:val="hybridMultilevel"/>
    <w:lvl w:ilvl="0">
      <w:lvlJc w:val="left"/>
      <w:lvlText w:val="●"/>
      <w:numFmt w:val="bullet"/>
      <w:start w:val="1"/>
    </w:lvl>
  </w:abstractNum>
  <w:abstractNum w:abstractNumId="149">
    <w:nsid w:val="32794FF7"/>
    <w:multiLevelType w:val="hybridMultilevel"/>
    <w:lvl w:ilvl="0">
      <w:lvlJc w:val="left"/>
      <w:lvlText w:val="●"/>
      <w:numFmt w:val="bullet"/>
      <w:start w:val="1"/>
    </w:lvl>
  </w:abstractNum>
  <w:abstractNum w:abstractNumId="150">
    <w:nsid w:val="5454945E"/>
    <w:multiLevelType w:val="hybridMultilevel"/>
    <w:lvl w:ilvl="0">
      <w:lvlJc w:val="left"/>
      <w:lvlText w:val="%1)"/>
      <w:numFmt w:val="lowerLetter"/>
      <w:start w:val="1"/>
    </w:lvl>
  </w:abstractNum>
  <w:abstractNum w:abstractNumId="151">
    <w:nsid w:val="4DEFDFA0"/>
    <w:multiLevelType w:val="hybridMultilevel"/>
    <w:lvl w:ilvl="0">
      <w:lvlJc w:val="left"/>
      <w:lvlText w:val="●"/>
      <w:numFmt w:val="bullet"/>
      <w:start w:val="1"/>
    </w:lvl>
  </w:abstractNum>
  <w:abstractNum w:abstractNumId="152">
    <w:nsid w:val="2123D5F2"/>
    <w:multiLevelType w:val="hybridMultilevel"/>
    <w:lvl w:ilvl="0">
      <w:lvlJc w:val="left"/>
      <w:lvlText w:val="1"/>
      <w:numFmt w:val="bullet"/>
      <w:start w:val="1"/>
    </w:lvl>
  </w:abstractNum>
  <w:abstractNum w:abstractNumId="153">
    <w:nsid w:val="135B8110"/>
    <w:multiLevelType w:val="hybridMultilevel"/>
    <w:lvl w:ilvl="0">
      <w:lvlJc w:val="left"/>
      <w:lvlText w:val="-"/>
      <w:numFmt w:val="bullet"/>
      <w:start w:val="1"/>
    </w:lvl>
  </w:abstractNum>
  <w:abstractNum w:abstractNumId="154">
    <w:nsid w:val="94927A8"/>
    <w:multiLevelType w:val="hybridMultilevel"/>
    <w:lvl w:ilvl="0">
      <w:lvlJc w:val="left"/>
      <w:lvlText w:val="●"/>
      <w:numFmt w:val="bullet"/>
      <w:start w:val="1"/>
    </w:lvl>
  </w:abstractNum>
  <w:abstractNum w:abstractNumId="155">
    <w:nsid w:val="DCDF8F6"/>
    <w:multiLevelType w:val="hybridMultilevel"/>
    <w:lvl w:ilvl="0">
      <w:lvlJc w:val="left"/>
      <w:lvlText w:val="●"/>
      <w:numFmt w:val="bullet"/>
      <w:start w:val="1"/>
    </w:lvl>
  </w:abstractNum>
  <w:abstractNum w:abstractNumId="156">
    <w:nsid w:val="52D7B105"/>
    <w:multiLevelType w:val="hybridMultilevel"/>
    <w:lvl w:ilvl="0">
      <w:lvlJc w:val="left"/>
      <w:lvlText w:val="*"/>
      <w:numFmt w:val="bullet"/>
      <w:start w:val="1"/>
    </w:lvl>
  </w:abstractNum>
  <w:abstractNum w:abstractNumId="157">
    <w:nsid w:val="2E8A6394"/>
    <w:multiLevelType w:val="hybridMultilevel"/>
    <w:lvl w:ilvl="0">
      <w:lvlJc w:val="left"/>
      <w:lvlText w:val="(%1)"/>
      <w:numFmt w:val="lowerLetter"/>
      <w:start w:val="1"/>
    </w:lvl>
    <w:lvl w:ilvl="1">
      <w:lvlJc w:val="left"/>
      <w:lvlText w:val="(%2)"/>
      <w:numFmt w:val="decimal"/>
      <w:start w:val="1"/>
    </w:lvl>
  </w:abstractNum>
  <w:abstractNum w:abstractNumId="158">
    <w:nsid w:val="24E60401"/>
    <w:multiLevelType w:val="hybridMultilevel"/>
    <w:lvl w:ilvl="0">
      <w:lvlJc w:val="left"/>
      <w:lvlText w:val="%1)"/>
      <w:numFmt w:val="decimal"/>
      <w:start w:val="1"/>
    </w:lvl>
  </w:abstractNum>
  <w:abstractNum w:abstractNumId="159">
    <w:nsid w:val="2A6AD9BE"/>
    <w:multiLevelType w:val="hybridMultilevel"/>
    <w:lvl w:ilvl="0">
      <w:lvlJc w:val="left"/>
      <w:lvlText w:val="-"/>
      <w:numFmt w:val="bullet"/>
      <w:start w:val="1"/>
    </w:lvl>
  </w:abstractNum>
  <w:abstractNum w:abstractNumId="160">
    <w:nsid w:val="BAAC1B4"/>
    <w:multiLevelType w:val="hybridMultilevel"/>
    <w:lvl w:ilvl="0">
      <w:lvlJc w:val="left"/>
      <w:lvlText w:val="%1)"/>
      <w:numFmt w:val="upperLetter"/>
      <w:start w:val="1"/>
    </w:lvl>
  </w:abstractNum>
  <w:abstractNum w:abstractNumId="161">
    <w:nsid w:val="36B2ACBC"/>
    <w:multiLevelType w:val="hybridMultilevel"/>
    <w:lvl w:ilvl="0">
      <w:lvlJc w:val="left"/>
      <w:lvlText w:val="%1)"/>
      <w:numFmt w:val="decimal"/>
      <w:start w:val="1"/>
    </w:lvl>
  </w:abstractNum>
  <w:abstractNum w:abstractNumId="162">
    <w:nsid w:val="779D8544"/>
    <w:multiLevelType w:val="hybridMultilevel"/>
    <w:lvl w:ilvl="0">
      <w:lvlJc w:val="left"/>
      <w:lvlText w:val="%1)"/>
      <w:numFmt w:val="decimal"/>
      <w:start w:val="2"/>
    </w:lvl>
  </w:abstractNum>
  <w:abstractNum w:abstractNumId="163">
    <w:nsid w:val="4AB26E78"/>
    <w:multiLevelType w:val="hybridMultilevel"/>
    <w:lvl w:ilvl="0">
      <w:lvlJc w:val="left"/>
      <w:lvlText w:val="%1)"/>
      <w:numFmt w:val="lowerLetter"/>
      <w:start w:val="1"/>
    </w:lvl>
  </w:abstractNum>
  <w:abstractNum w:abstractNumId="164">
    <w:nsid w:val="21FAA2FA"/>
    <w:multiLevelType w:val="hybridMultilevel"/>
    <w:lvl w:ilvl="0">
      <w:lvlJc w:val="left"/>
      <w:lvlText w:val="%1)"/>
      <w:numFmt w:val="decimal"/>
      <w:start w:val="3"/>
    </w:lvl>
  </w:abstractNum>
  <w:abstractNum w:abstractNumId="165">
    <w:nsid w:val="5451CF49"/>
    <w:multiLevelType w:val="hybridMultilevel"/>
    <w:lvl w:ilvl="0">
      <w:lvlJc w:val="left"/>
      <w:lvlText w:val="%1)"/>
      <w:numFmt w:val="decimal"/>
      <w:start w:val="5"/>
    </w:lvl>
  </w:abstractNum>
  <w:abstractNum w:abstractNumId="166">
    <w:nsid w:val="6181EF69"/>
    <w:multiLevelType w:val="hybridMultilevel"/>
    <w:lvl w:ilvl="0">
      <w:lvlJc w:val="left"/>
      <w:lvlText w:val="-"/>
      <w:numFmt w:val="bullet"/>
      <w:start w:val="1"/>
    </w:lvl>
  </w:abstractNum>
  <w:abstractNum w:abstractNumId="167">
    <w:nsid w:val="3E6400E6"/>
    <w:multiLevelType w:val="hybridMultilevel"/>
    <w:lvl w:ilvl="0">
      <w:lvlJc w:val="left"/>
      <w:lvlText w:val="●"/>
      <w:numFmt w:val="bullet"/>
      <w:start w:val="1"/>
    </w:lvl>
  </w:abstractNum>
  <w:abstractNum w:abstractNumId="168">
    <w:nsid w:val="14217E23"/>
    <w:multiLevelType w:val="hybridMultilevel"/>
    <w:lvl w:ilvl="0">
      <w:lvlJc w:val="left"/>
      <w:lvlText w:val="%1)"/>
      <w:numFmt w:val="decimal"/>
      <w:start w:val="6"/>
    </w:lvl>
  </w:abstractNum>
  <w:abstractNum w:abstractNumId="169">
    <w:nsid w:val="710757D0"/>
    <w:multiLevelType w:val="hybridMultilevel"/>
    <w:lvl w:ilvl="0">
      <w:lvlJc w:val="left"/>
      <w:lvlText w:val="●"/>
      <w:numFmt w:val="bullet"/>
      <w:start w:val="1"/>
    </w:lvl>
  </w:abstractNum>
  <w:abstractNum w:abstractNumId="170">
    <w:nsid w:val="5015CD1A"/>
    <w:multiLevelType w:val="hybridMultilevel"/>
    <w:lvl w:ilvl="0">
      <w:lvlJc w:val="left"/>
      <w:lvlText w:val="%1)"/>
      <w:numFmt w:val="decimal"/>
      <w:start w:val="7"/>
    </w:lvl>
  </w:abstractNum>
  <w:abstractNum w:abstractNumId="171">
    <w:nsid w:val="424479DA"/>
    <w:multiLevelType w:val="hybridMultilevel"/>
    <w:lvl w:ilvl="0">
      <w:lvlJc w:val="left"/>
      <w:lvlText w:val="%1)"/>
      <w:numFmt w:val="lowerLetter"/>
      <w:start w:val="1"/>
    </w:lvl>
  </w:abstractNum>
  <w:abstractNum w:abstractNumId="172">
    <w:nsid w:val="1A9A9E69"/>
    <w:multiLevelType w:val="hybridMultilevel"/>
    <w:lvl w:ilvl="0">
      <w:lvlJc w:val="left"/>
      <w:lvlText w:val="[●]"/>
      <w:numFmt w:val="bullet"/>
      <w:start w:val="1"/>
    </w:lvl>
  </w:abstractNum>
  <w:abstractNum w:abstractNumId="173">
    <w:nsid w:val="475E256A"/>
    <w:multiLevelType w:val="hybridMultilevel"/>
    <w:lvl w:ilvl="0">
      <w:lvlJc w:val="left"/>
      <w:lvlText w:val="●"/>
      <w:numFmt w:val="bullet"/>
      <w:start w:val="1"/>
    </w:lvl>
  </w:abstractNum>
  <w:abstractNum w:abstractNumId="174">
    <w:nsid w:val="368DB37E"/>
    <w:multiLevelType w:val="hybridMultilevel"/>
    <w:lvl w:ilvl="0">
      <w:lvlJc w:val="left"/>
      <w:lvlText w:val="●"/>
      <w:numFmt w:val="bullet"/>
      <w:start w:val="1"/>
    </w:lvl>
  </w:abstractNum>
  <w:abstractNum w:abstractNumId="175">
    <w:nsid w:val="6A3B714C"/>
    <w:multiLevelType w:val="hybridMultilevel"/>
    <w:lvl w:ilvl="0">
      <w:lvlJc w:val="left"/>
      <w:lvlText w:val="●"/>
      <w:numFmt w:val="bullet"/>
      <w:start w:val="1"/>
    </w:lvl>
  </w:abstractNum>
  <w:abstractNum w:abstractNumId="176">
    <w:nsid w:val="327B517E"/>
    <w:multiLevelType w:val="hybridMultilevel"/>
    <w:lvl w:ilvl="0">
      <w:lvlJc w:val="left"/>
      <w:lvlText w:val="●"/>
      <w:numFmt w:val="bullet"/>
      <w:start w:val="1"/>
    </w:lvl>
  </w:abstractNum>
  <w:abstractNum w:abstractNumId="177">
    <w:nsid w:val="1F461B51"/>
    <w:multiLevelType w:val="hybridMultilevel"/>
    <w:lvl w:ilvl="0">
      <w:lvlJc w:val="left"/>
      <w:lvlText w:val="%1."/>
      <w:numFmt w:val="decimal"/>
      <w:start w:val="1"/>
    </w:lvl>
  </w:abstractNum>
  <w:abstractNum w:abstractNumId="178">
    <w:nsid w:val="29BACF25"/>
    <w:multiLevelType w:val="hybridMultilevel"/>
    <w:lvl w:ilvl="0">
      <w:lvlJc w:val="left"/>
      <w:lvlText w:val="(%1)"/>
      <w:numFmt w:val="lowerLetter"/>
      <w:start w:val="1"/>
    </w:lvl>
  </w:abstractNum>
  <w:abstractNum w:abstractNumId="179">
    <w:nsid w:val="5D5BABB3"/>
    <w:multiLevelType w:val="hybridMultilevel"/>
    <w:lvl w:ilvl="0">
      <w:lvlJc w:val="left"/>
      <w:lvlText w:val="%1)"/>
      <w:numFmt w:val="lowerLetter"/>
      <w:start w:val="1"/>
    </w:lvl>
  </w:abstractNum>
  <w:abstractNum w:abstractNumId="180">
    <w:nsid w:val="51BF6B48"/>
    <w:multiLevelType w:val="hybridMultilevel"/>
    <w:lvl w:ilvl="0">
      <w:lvlJc w:val="left"/>
      <w:lvlText w:val="(%1)"/>
      <w:numFmt w:val="lowerLetter"/>
      <w:start w:val="1"/>
    </w:lvl>
  </w:abstractNum>
  <w:abstractNum w:abstractNumId="181">
    <w:nsid w:val="7E0F6384"/>
    <w:multiLevelType w:val="hybridMultilevel"/>
    <w:lvl w:ilvl="0">
      <w:lvlJc w:val="left"/>
      <w:lvlText w:val="%1."/>
      <w:numFmt w:val="decimal"/>
      <w:start w:val="2"/>
    </w:lvl>
  </w:abstractNum>
  <w:abstractNum w:abstractNumId="182">
    <w:nsid w:val="2B4B8B53"/>
    <w:multiLevelType w:val="hybridMultilevel"/>
    <w:lvl w:ilvl="0">
      <w:lvlJc w:val="left"/>
      <w:lvlText w:val="(%1)"/>
      <w:numFmt w:val="lowerLetter"/>
      <w:start w:val="1"/>
    </w:lvl>
  </w:abstractNum>
  <w:abstractNum w:abstractNumId="183">
    <w:nsid w:val="72E3413A"/>
    <w:multiLevelType w:val="hybridMultilevel"/>
    <w:lvl w:ilvl="0">
      <w:lvlJc w:val="left"/>
      <w:lvlText w:val="%1."/>
      <w:numFmt w:val="decimal"/>
      <w:start w:val="3"/>
    </w:lvl>
  </w:abstractNum>
  <w:abstractNum w:abstractNumId="184">
    <w:nsid w:val="116AE494"/>
    <w:multiLevelType w:val="hybridMultilevel"/>
    <w:lvl w:ilvl="0">
      <w:lvlJc w:val="left"/>
      <w:lvlText w:val="%1."/>
      <w:numFmt w:val="decimal"/>
      <w:start w:val="4"/>
    </w:lvl>
  </w:abstractNum>
  <w:abstractNum w:abstractNumId="185">
    <w:nsid w:val="3494B2FB"/>
    <w:multiLevelType w:val="hybridMultilevel"/>
    <w:lvl w:ilvl="0">
      <w:lvlJc w:val="left"/>
      <w:lvlText w:val="(%1)"/>
      <w:numFmt w:val="lowerLetter"/>
      <w:start w:val="1"/>
    </w:lvl>
  </w:abstractNum>
  <w:abstractNum w:abstractNumId="186">
    <w:nsid w:val="B13A3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2021-11-09T23:09:10Z</dcterms:created>
  <dcterms:modified xsi:type="dcterms:W3CDTF">2021-11-09T23:09:10Z</dcterms:modified>
</cp:coreProperties>
</file>