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including Exhibit 10.1,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Ospedale San Raffaele License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2026, the Board of Directors of Genenta Science S.p.A. (the “Company”) approved the delivery of a notice of termination of the Company’s amended and restated license agreement with Ospedale San Raffaele S.r.l. (“OSR”), relating to certain technology and intellectual property rights licensed by OSR to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terms of the agreement, the termination will result in the termination of the licenses and option rights granted to the Company under the agreement, subject to any surviving provisions, wind-down obligations, and accrued obligations thereunder. The Company does not expect to incur any material termination fee or penalty in connection with the termination, other than any accrued obligations under the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this determination following a review of its strategic priorities and resource allocation. The Company expects to reallocate resources toward its ongoing business and strategic initiatives.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continue to support and monitor the ongoing glioblastoma multiforme (“GBM”) clinical trial, which remains active with two patients currently under observation.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applicable securities laws, including statements regarding the expected impacts of the termination and future strategic plans of the Company. These statements are based on current expectations and are subject to risks and uncertainties that could cause actual results to differ materially. The Company undertakes no obligation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920" w:type="dxa"/>
            <w:vAlign w:val="bottom"/>
          </w:tcPr>
          <w:p>
            <w:pPr>
              <w:spacing w:after="0"/>
              <w:rPr>
                <w:sz w:val="20"/>
                <w:szCs w:val="20"/>
                <w:color w:val="auto"/>
              </w:rPr>
            </w:pPr>
          </w:p>
        </w:tc>
        <w:tc>
          <w:tcPr>
            <w:tcW w:w="722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212529"/>
              </w:rPr>
              <w:t>10.1</w:t>
            </w:r>
          </w:p>
        </w:tc>
        <w:tc>
          <w:tcPr>
            <w:tcW w:w="120" w:type="dxa"/>
            <w:vAlign w:val="bottom"/>
          </w:tcPr>
          <w:p>
            <w:pPr>
              <w:spacing w:after="0"/>
              <w:rPr>
                <w:sz w:val="14"/>
                <w:szCs w:val="14"/>
                <w:color w:val="auto"/>
              </w:rPr>
            </w:pPr>
          </w:p>
        </w:tc>
        <w:tc>
          <w:tcPr>
            <w:tcW w:w="10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Termination Notice Dated May 18, 2026</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top w:val="single" w:sz="8" w:color="0000EE"/>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156845</wp:posOffset>
            </wp:positionV>
            <wp:extent cx="1714500" cy="52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Ospedale San Raffaele S.r.l.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Olgettina No. 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20132, Milan, Italy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dott. Marco Centenari, dott. Federico Esposti, Prof. Luigi Naldini.</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direzione.legale.osr@hsr.postecert.it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hsrsanraffaele@hsr.postecert.it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marco.centenari@grupposandonato.it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esposti.federico@hsr.it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naldini.luigi@hsr.it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Termination of Amended and Restated License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Dott. Centenari, Dott. Esposti, Prof. Naldini,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am following-up on our discussion with respect to the Amended and Restated License Agreement dated March 23, 2023 between Genenta Science S.p.A. (“</w:t>
      </w:r>
      <w:r>
        <w:rPr>
          <w:rFonts w:ascii="Times New Roman" w:cs="Times New Roman" w:eastAsia="Times New Roman" w:hAnsi="Times New Roman"/>
          <w:sz w:val="18"/>
          <w:szCs w:val="18"/>
          <w:b w:val="1"/>
          <w:bCs w:val="1"/>
          <w:color w:val="auto"/>
        </w:rPr>
        <w:t>Genenta</w:t>
      </w:r>
      <w:r>
        <w:rPr>
          <w:rFonts w:ascii="Times New Roman" w:cs="Times New Roman" w:eastAsia="Times New Roman" w:hAnsi="Times New Roman"/>
          <w:sz w:val="18"/>
          <w:szCs w:val="18"/>
          <w:color w:val="auto"/>
        </w:rPr>
        <w:t>”) and Ospedale San Raffaele S.r.l., as amended by the Amendment to the Amended and Restated License Agreement dated as of September 28, 2023 (collectively,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Genenta hereby </w:t>
      </w:r>
      <w:r>
        <w:rPr>
          <w:rFonts w:ascii="Times New Roman" w:cs="Times New Roman" w:eastAsia="Times New Roman" w:hAnsi="Times New Roman"/>
          <w:sz w:val="18"/>
          <w:szCs w:val="18"/>
          <w:u w:val="single" w:color="auto"/>
          <w:color w:val="auto"/>
        </w:rPr>
        <w:t>terminates</w:t>
      </w:r>
      <w:r>
        <w:rPr>
          <w:rFonts w:ascii="Times New Roman" w:cs="Times New Roman" w:eastAsia="Times New Roman" w:hAnsi="Times New Roman"/>
          <w:sz w:val="18"/>
          <w:szCs w:val="18"/>
          <w:color w:val="auto"/>
        </w:rPr>
        <w:t xml:space="preserve"> the Agreement in its entirety pursuant to Section 10.6(a) thereof.</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Pierluigi Paracchi</w:t>
      </w:r>
    </w:p>
    <w:p>
      <w:pPr>
        <w:spacing w:after="0" w:line="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CEO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Via dell’Annunciata 31, 20121 Milano (Italia)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CF e P. Iva 08738490963 - REA 2045555 – Cap. Sociale €909.102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www.genenta.com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2026-05-19T16:27:34Z</dcterms:created>
  <dcterms:modified xsi:type="dcterms:W3CDTF">2026-05-19T16:27:34Z</dcterms:modified>
</cp:coreProperties>
</file>