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20-f.htm"/>
      <w:bookmarkStart w:id="1" w:name="ksform20f"/>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30101__20"/>
      <w:bookmarkEnd w:id="2"/>
      <w:r>
        <w:rPr>
          <w:rFonts w:ascii="Times New Roman;Times;Serif" w:hAnsi="Times New Roman;Times;Serif"/>
          <w:b/>
          <w:i w:val="false"/>
          <w:caps w:val="false"/>
          <w:smallCaps w:val="false"/>
          <w:sz w:val="36"/>
        </w:rPr>
        <w:t xml:space="preserve">20-F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3" w:name="xdx_90D_edei--DocumentRegistrationStatem"/>
            <w:bookmarkEnd w:id="3"/>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PURSUANT TO SECTION 12(b) OR 12 (g)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245"/>
        <w:gridCol w:w="9515"/>
      </w:tblGrid>
      <w:tr>
        <w:trPr/>
        <w:tc>
          <w:tcPr>
            <w:tcW w:w="245" w:type="dxa"/>
            <w:tcBorders/>
            <w:vAlign w:val="center"/>
          </w:tcPr>
          <w:p>
            <w:pPr>
              <w:pStyle w:val="TableContents"/>
              <w:bidi w:val="0"/>
              <w:spacing w:before="0" w:after="283"/>
              <w:jc w:val="left"/>
              <w:rPr>
                <w:caps w:val="false"/>
                <w:smallCaps w:val="false"/>
              </w:rPr>
            </w:pPr>
            <w:bookmarkStart w:id="4" w:name="xdx_906_edei--DocumentAnnualReport_c2023"/>
            <w:bookmarkEnd w:id="4"/>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REPORT PURSUANT TO SECTION 13 OR 15(d) OF THE SECURITIES EXCHANGE ACT OF 1934 </w:t>
            </w:r>
          </w:p>
        </w:tc>
      </w:tr>
    </w:tbl>
    <w:p>
      <w:pPr>
        <w:pStyle w:val="TextBody"/>
        <w:bidi w:val="0"/>
        <w:spacing w:before="0" w:after="0"/>
        <w:ind w:left="34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A_edei--CurrentFiscalYearEndDate_c"/>
      <w:bookmarkStart w:id="6" w:name="xdx_906_edei--DocumentPeriodEndDate_c202"/>
      <w:bookmarkEnd w:id="5"/>
      <w:bookmarkEnd w:id="6"/>
      <w:r>
        <w:rPr>
          <w:rFonts w:ascii="Times New Roman;Times;Serif" w:hAnsi="Times New Roman;Times;Serif"/>
          <w:b/>
          <w:i w:val="false"/>
          <w:caps w:val="false"/>
          <w:smallCaps w:val="false"/>
          <w:sz w:val="20"/>
        </w:rPr>
        <w:t xml:space="preserve">December 31, </w:t>
      </w:r>
      <w:bookmarkStart w:id="7" w:name="xdx_905_edei--DocumentFiscalYearFocus_c2"/>
      <w:bookmarkEnd w:id="7"/>
      <w:r>
        <w:rPr>
          <w:rFonts w:ascii="Times New Roman;Times;Serif" w:hAnsi="Times New Roman;Times;Serif"/>
          <w:b/>
          <w:i w:val="false"/>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45"/>
        <w:gridCol w:w="9920"/>
      </w:tblGrid>
      <w:tr>
        <w:trPr/>
        <w:tc>
          <w:tcPr>
            <w:tcW w:w="245" w:type="dxa"/>
            <w:tcBorders/>
            <w:vAlign w:val="center"/>
          </w:tcPr>
          <w:p>
            <w:pPr>
              <w:pStyle w:val="TableContents"/>
              <w:bidi w:val="0"/>
              <w:spacing w:before="0" w:after="283"/>
              <w:jc w:val="left"/>
              <w:rPr>
                <w:caps w:val="false"/>
                <w:smallCaps w:val="false"/>
              </w:rPr>
            </w:pPr>
            <w:bookmarkStart w:id="8" w:name="xdx_909_edei--DocumentTransitionReport_c"/>
            <w:bookmarkEnd w:id="8"/>
            <w:r>
              <w:rPr>
                <w:caps w:val="false"/>
                <w:smallCaps w:val="false"/>
              </w:rPr>
              <w:t>☐</w:t>
            </w:r>
          </w:p>
        </w:tc>
        <w:tc>
          <w:tcPr>
            <w:tcW w:w="99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w:t>
            </w:r>
          </w:p>
        </w:tc>
      </w:tr>
    </w:tbl>
    <w:p>
      <w:pPr>
        <w:pStyle w:val="TextBody"/>
        <w:bidi w:val="0"/>
        <w:spacing w:before="0" w:after="0"/>
        <w:ind w:left="8" w:right="0" w:hanging="0"/>
        <w:jc w:val="center"/>
        <w:rPr>
          <w:caps w:val="false"/>
          <w:smallCaps w:val="false"/>
        </w:rPr>
      </w:pPr>
      <w:r>
        <w:rPr>
          <w:caps w:val="false"/>
          <w:smallCaps w:val="false"/>
        </w:rPr>
        <w:t> </w:t>
      </w:r>
    </w:p>
    <w:p>
      <w:pPr>
        <w:pStyle w:val="TextBody"/>
        <w:bidi w:val="0"/>
        <w:spacing w:before="0" w:after="0"/>
        <w:ind w:left="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9" w:name="xdx_907_edei--DocumentShellCompanyReport"/>
            <w:bookmarkEnd w:id="9"/>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SHELL COMPANY REPORT PURSUANT TO SECTION 13 OR 15(d) OF THE SECURITIES EXCHANGE ACT OF 1934 </w:t>
            </w:r>
          </w:p>
        </w:tc>
      </w:tr>
    </w:tbl>
    <w:p>
      <w:pPr>
        <w:pStyle w:val="TextBody"/>
        <w:bidi w:val="0"/>
        <w:spacing w:before="0" w:after="0"/>
        <w:ind w:left="34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 to 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10" w:name="xdx_90F_edei--EntityFileNumber_c20230101"/>
      <w:bookmarkEnd w:id="10"/>
      <w:r>
        <w:rPr>
          <w:rFonts w:ascii="Times New Roman;Times;Serif" w:hAnsi="Times New Roman;Times;Serif"/>
          <w:b w:val="false"/>
          <w:i w:val="false"/>
          <w:caps w:val="false"/>
          <w:smallCaps w:val="false"/>
          <w:sz w:val="20"/>
        </w:rPr>
        <w:t>001-41115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11" w:name="xdx_906_edei--EntityRegistrantName_c2023"/>
      <w:bookmarkEnd w:id="11"/>
      <w:r>
        <w:rPr>
          <w:rFonts w:ascii="Times New Roman;Times;Serif" w:hAnsi="Times New Roman;Times;Serif"/>
          <w:b/>
          <w:i w:val="false"/>
          <w:caps w:val="false"/>
          <w:smallCaps w:val="false"/>
          <w:sz w:val="36"/>
        </w:rPr>
        <w:t>Genenta Science S.p.A.</w:t>
      </w:r>
    </w:p>
    <w:p>
      <w:pPr>
        <w:pStyle w:val="TextBody"/>
        <w:bidi w:val="0"/>
        <w:jc w:val="center"/>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xdx_906_edei--EntityIncorporationStateCo"/>
      <w:bookmarkEnd w:id="12"/>
      <w:r>
        <w:rPr>
          <w:rFonts w:ascii="Times New Roman;Times;Serif" w:hAnsi="Times New Roman;Times;Serif"/>
          <w:b/>
          <w:i w:val="false"/>
          <w:caps w:val="false"/>
          <w:smallCaps w:val="false"/>
          <w:sz w:val="20"/>
        </w:rPr>
        <w:t>Italy</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F_edei--EntityAddressAddressLine1_"/>
      <w:bookmarkEnd w:id="13"/>
      <w:r>
        <w:rPr>
          <w:rFonts w:ascii="Times New Roman;Times;Serif" w:hAnsi="Times New Roman;Times;Serif"/>
          <w:b/>
          <w:i w:val="false"/>
          <w:caps w:val="false"/>
          <w:smallCaps w:val="false"/>
          <w:sz w:val="20"/>
        </w:rPr>
        <w:t>Via Olgettina No. 58</w:t>
      </w:r>
    </w:p>
    <w:p>
      <w:pPr>
        <w:pStyle w:val="TextBody"/>
        <w:bidi w:val="0"/>
        <w:spacing w:before="0" w:after="0"/>
        <w:jc w:val="center"/>
        <w:rPr>
          <w:rFonts w:ascii="Times New Roman;Times;Serif" w:hAnsi="Times New Roman;Times;Serif"/>
          <w:b/>
          <w:i w:val="false"/>
          <w:caps w:val="false"/>
          <w:smallCaps w:val="false"/>
          <w:sz w:val="20"/>
        </w:rPr>
      </w:pPr>
      <w:bookmarkStart w:id="14" w:name="xdx_907_edei--EntityAddressPostalZipCode"/>
      <w:bookmarkEnd w:id="14"/>
      <w:r>
        <w:rPr>
          <w:rFonts w:ascii="Times New Roman;Times;Serif" w:hAnsi="Times New Roman;Times;Serif"/>
          <w:b/>
          <w:i w:val="false"/>
          <w:caps w:val="false"/>
          <w:smallCaps w:val="false"/>
          <w:sz w:val="20"/>
        </w:rPr>
        <w:t xml:space="preserve">20132 </w:t>
      </w:r>
      <w:bookmarkStart w:id="15" w:name="xdx_906_edei--EntityAddressCityOrTown_c2"/>
      <w:bookmarkEnd w:id="15"/>
      <w:r>
        <w:rPr>
          <w:rFonts w:ascii="Times New Roman;Times;Serif" w:hAnsi="Times New Roman;Times;Serif"/>
          <w:b/>
          <w:i w:val="false"/>
          <w:caps w:val="false"/>
          <w:smallCaps w:val="false"/>
          <w:sz w:val="20"/>
        </w:rPr>
        <w:t xml:space="preserve">Milan, </w:t>
      </w:r>
      <w:bookmarkStart w:id="16" w:name="xdx_90F_edei--EntityAddressCountry_c2023"/>
      <w:bookmarkEnd w:id="16"/>
      <w:r>
        <w:rPr>
          <w:rFonts w:ascii="Times New Roman;Times;Serif" w:hAnsi="Times New Roman;Times;Serif"/>
          <w:b/>
          <w:i w:val="false"/>
          <w:caps w:val="false"/>
          <w:smallCaps w:val="false"/>
          <w:sz w:val="20"/>
        </w:rPr>
        <w:t>Italy</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xdx_903_edei--EntityAddressAddressLine1_"/>
      <w:bookmarkEnd w:id="17"/>
      <w:r>
        <w:rPr>
          <w:rFonts w:ascii="Times New Roman;Times;Serif" w:hAnsi="Times New Roman;Times;Serif"/>
          <w:b/>
          <w:i w:val="false"/>
          <w:caps w:val="false"/>
          <w:smallCaps w:val="false"/>
          <w:sz w:val="20"/>
        </w:rPr>
        <w:t>Via Olgettina No. 58</w:t>
      </w:r>
    </w:p>
    <w:p>
      <w:pPr>
        <w:pStyle w:val="TextBody"/>
        <w:bidi w:val="0"/>
        <w:spacing w:before="0" w:after="0"/>
        <w:jc w:val="center"/>
        <w:rPr>
          <w:rFonts w:ascii="Times New Roman;Times;Serif" w:hAnsi="Times New Roman;Times;Serif"/>
          <w:b/>
          <w:i w:val="false"/>
          <w:caps w:val="false"/>
          <w:smallCaps w:val="false"/>
          <w:sz w:val="20"/>
        </w:rPr>
      </w:pPr>
      <w:bookmarkStart w:id="18" w:name="xdx_907_edei--EntityAddressPostalZipCode"/>
      <w:bookmarkEnd w:id="18"/>
      <w:r>
        <w:rPr>
          <w:rFonts w:ascii="Times New Roman;Times;Serif" w:hAnsi="Times New Roman;Times;Serif"/>
          <w:b/>
          <w:i w:val="false"/>
          <w:caps w:val="false"/>
          <w:smallCaps w:val="false"/>
          <w:sz w:val="20"/>
        </w:rPr>
        <w:t xml:space="preserve">20132 </w:t>
      </w:r>
      <w:bookmarkStart w:id="19" w:name="xdx_902_edei--EntityAddressCityOrTown_c2"/>
      <w:bookmarkEnd w:id="19"/>
      <w:r>
        <w:rPr>
          <w:rFonts w:ascii="Times New Roman;Times;Serif" w:hAnsi="Times New Roman;Times;Serif"/>
          <w:b/>
          <w:i w:val="false"/>
          <w:caps w:val="false"/>
          <w:smallCaps w:val="false"/>
          <w:sz w:val="20"/>
        </w:rPr>
        <w:t xml:space="preserve">Milan, </w:t>
      </w:r>
      <w:bookmarkStart w:id="20" w:name="xdx_90B_edei--EntityAddressCountry_c2023"/>
      <w:bookmarkEnd w:id="20"/>
      <w:r>
        <w:rPr>
          <w:rFonts w:ascii="Times New Roman;Times;Serif" w:hAnsi="Times New Roman;Times;Serif"/>
          <w:b/>
          <w:i w:val="false"/>
          <w:caps w:val="false"/>
          <w:smallCaps w:val="false"/>
          <w:sz w:val="20"/>
        </w:rPr>
        <w:t>Italy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Attn: </w:t>
      </w:r>
      <w:bookmarkStart w:id="21" w:name="xdx_90B_edei--ContactPersonnelName_c2023"/>
      <w:bookmarkEnd w:id="21"/>
      <w:r>
        <w:rPr>
          <w:rFonts w:ascii="Times New Roman;Times;Serif" w:hAnsi="Times New Roman;Times;Serif"/>
          <w:b/>
          <w:i w:val="false"/>
          <w:caps w:val="false"/>
          <w:smallCaps w:val="false"/>
          <w:sz w:val="20"/>
        </w:rPr>
        <w:t>Pierluigi Paracchi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w:t>
      </w:r>
      <w:bookmarkStart w:id="22" w:name="xdx_90B_edei--CityAreaCode_c20230101__20"/>
      <w:bookmarkEnd w:id="22"/>
      <w:r>
        <w:rPr>
          <w:rFonts w:ascii="Times New Roman;Times;Serif" w:hAnsi="Times New Roman;Times;Serif"/>
          <w:b/>
          <w:i w:val="false"/>
          <w:caps w:val="false"/>
          <w:smallCaps w:val="false"/>
          <w:sz w:val="20"/>
        </w:rPr>
        <w:t>+39-</w:t>
      </w:r>
      <w:bookmarkStart w:id="23" w:name="xdx_909_edei--LocalPhoneNumber_c20230101"/>
      <w:bookmarkEnd w:id="23"/>
      <w:r>
        <w:rPr>
          <w:rFonts w:ascii="Times New Roman;Times;Serif" w:hAnsi="Times New Roman;Times;Serif"/>
          <w:b/>
          <w:i w:val="false"/>
          <w:caps w:val="false"/>
          <w:smallCaps w:val="false"/>
          <w:sz w:val="20"/>
        </w:rPr>
        <w:t>02-2643-4681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Email: </w:t>
      </w:r>
      <w:bookmarkStart w:id="24" w:name="xdx_904_edei--ContactPersonnelEmailAddre"/>
      <w:bookmarkEnd w:id="24"/>
      <w:r>
        <w:rPr>
          <w:rFonts w:ascii="Times New Roman;Times;Serif" w:hAnsi="Times New Roman;Times;Serif"/>
          <w:b/>
          <w:i w:val="false"/>
          <w:caps w:val="false"/>
          <w:smallCaps w:val="false"/>
          <w:sz w:val="20"/>
        </w:rPr>
        <w:t>pierluigi.paracchi@genenta.com</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37"/>
        <w:gridCol w:w="60"/>
        <w:gridCol w:w="1263"/>
        <w:gridCol w:w="60"/>
        <w:gridCol w:w="2785"/>
      </w:tblGrid>
      <w:tr>
        <w:trPr/>
        <w:tc>
          <w:tcPr>
            <w:tcW w:w="6037"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037"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5" w:name="xdx_90A_edei--Security12bTitle_c20230101"/>
            <w:bookmarkEnd w:id="25"/>
            <w:r>
              <w:rPr>
                <w:rFonts w:ascii="Times New Roman;Times;Serif" w:hAnsi="Times New Roman;Times;Serif"/>
                <w:b/>
                <w:i w:val="false"/>
                <w:caps w:val="false"/>
                <w:smallCaps w:val="false"/>
                <w:sz w:val="20"/>
              </w:rPr>
              <w:t>American depositary shares (each American depositary share representing one ordinary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6" w:name="xdx_903_edei--TradingSymbol_c20230101__2"/>
            <w:bookmarkEnd w:id="26"/>
            <w:r>
              <w:rPr>
                <w:rFonts w:ascii="Times New Roman;Times;Serif" w:hAnsi="Times New Roman;Times;Serif"/>
                <w:b/>
                <w:i w:val="false"/>
                <w:caps w:val="false"/>
                <w:smallCaps w:val="false"/>
                <w:sz w:val="20"/>
              </w:rPr>
              <w:t>GNTA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7" w:name="xdx_903_edei--SecurityExchangeName_c2023"/>
            <w:bookmarkEnd w:id="27"/>
            <w:r>
              <w:rPr>
                <w:rFonts w:ascii="Times New Roman;Times;Serif" w:hAnsi="Times New Roman;Times;Serif"/>
                <w:b/>
                <w:i w:val="false"/>
                <w:caps w:val="false"/>
                <w:smallCaps w:val="false"/>
                <w:sz w:val="20"/>
              </w:rPr>
              <w:t>Nasdaq Stock Market LLC</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 </w:t>
            </w:r>
          </w:p>
        </w:tc>
      </w:tr>
      <w:tr>
        <w:trPr/>
        <w:tc>
          <w:tcPr>
            <w:tcW w:w="603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03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 w:name="xdx_900_edei--Security12bTitle_c20230101"/>
            <w:bookmarkEnd w:id="28"/>
            <w:r>
              <w:rPr>
                <w:rFonts w:ascii="Times New Roman;Times;Serif" w:hAnsi="Times New Roman;Times;Serif"/>
                <w:b/>
                <w:i w:val="false"/>
                <w:caps w:val="false"/>
                <w:smallCaps w:val="false"/>
                <w:sz w:val="20"/>
              </w:rPr>
              <w:t>Ordinary shares, no par value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Stock Market LLC</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140"/>
        <w:gridCol w:w="951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for trading, but only in connection with the listing of American depositary shares on The 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registrant had </w:t>
      </w:r>
      <w:bookmarkStart w:id="29" w:name="xdx_908_edei--EntityCommonStockSharesOut"/>
      <w:bookmarkEnd w:id="29"/>
      <w:r>
        <w:rPr>
          <w:rFonts w:ascii="Times New Roman;Times;Serif" w:hAnsi="Times New Roman;Times;Serif"/>
          <w:b/>
          <w:i w:val="false"/>
          <w:caps w:val="false"/>
          <w:smallCaps w:val="false"/>
          <w:sz w:val="20"/>
        </w:rPr>
        <w:t>18,216,958 ordinary shares outstanding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 Yes ☒ </w:t>
      </w:r>
      <w:bookmarkStart w:id="30" w:name="xdx_909_edei--EntityWellKnownSeasonedIss"/>
      <w:bookmarkEnd w:id="30"/>
      <w:r>
        <w:rPr>
          <w:rFonts w:ascii="Times New Roman;Times;Serif" w:hAnsi="Times New Roman;Times;Serif"/>
          <w:b w:val="false"/>
          <w:i w:val="false"/>
          <w:caps w:val="false"/>
          <w:smallCaps w:val="false"/>
          <w:sz w:val="20"/>
        </w:rPr>
        <w:t>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report is an annual or transition report, indicate by check mark if the registrant is not required to file reports pursuant to Section 13 or 15(d) of the Securities Exchange Act of 1934. ☐ Yes ☒ </w:t>
      </w:r>
      <w:bookmarkStart w:id="31" w:name="xdx_90A_edei--EntityVoluntaryFilers_c202"/>
      <w:bookmarkEnd w:id="31"/>
      <w:r>
        <w:rPr>
          <w:rFonts w:ascii="Times New Roman;Times;Serif" w:hAnsi="Times New Roman;Times;Serif"/>
          <w:b w:val="false"/>
          <w:i w:val="false"/>
          <w:caps w:val="false"/>
          <w:smallCaps w:val="false"/>
          <w:sz w:val="20"/>
        </w:rPr>
        <w:t>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bookmarkStart w:id="32" w:name="xdx_908_edei--EntityCurrentReportingStat"/>
      <w:bookmarkEnd w:id="32"/>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xml:space="preserve">☒ </w:t>
      </w:r>
      <w:bookmarkStart w:id="33" w:name="xdx_903_edei--EntityInteractiveDataCurre"/>
      <w:bookmarkEnd w:id="33"/>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8780" w:type="dxa"/>
        <w:jc w:val="left"/>
        <w:tblInd w:w="0" w:type="dxa"/>
        <w:tblLayout w:type="fixed"/>
        <w:tblCellMar>
          <w:top w:w="0" w:type="dxa"/>
          <w:left w:w="0" w:type="dxa"/>
          <w:bottom w:w="0" w:type="dxa"/>
          <w:right w:w="0" w:type="dxa"/>
        </w:tblCellMar>
      </w:tblPr>
      <w:tblGrid>
        <w:gridCol w:w="2045"/>
        <w:gridCol w:w="1580"/>
        <w:gridCol w:w="2270"/>
        <w:gridCol w:w="2885"/>
      </w:tblGrid>
      <w:tr>
        <w:trPr/>
        <w:tc>
          <w:tcPr>
            <w:tcW w:w="2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 ☐</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 ☐</w:t>
            </w:r>
          </w:p>
        </w:tc>
        <w:tc>
          <w:tcPr>
            <w:tcW w:w="2270" w:type="dxa"/>
            <w:tcBorders/>
            <w:vAlign w:val="center"/>
          </w:tcPr>
          <w:p>
            <w:pPr>
              <w:pStyle w:val="TableContents"/>
              <w:bidi w:val="0"/>
              <w:spacing w:before="0" w:after="283"/>
              <w:jc w:val="left"/>
              <w:rPr>
                <w:rFonts w:ascii="Times New Roman;Times;Serif" w:hAnsi="Times New Roman;Times;Serif"/>
              </w:rPr>
            </w:pPr>
            <w:bookmarkStart w:id="34" w:name="xdx_904_edei--EntityFilerCategory_c20230"/>
            <w:bookmarkEnd w:id="34"/>
            <w:r>
              <w:rPr>
                <w:rFonts w:ascii="Times New Roman;Times;Serif" w:hAnsi="Times New Roman;Times;Serif"/>
              </w:rPr>
              <w:t>Non-accelerated filer ☒</w:t>
            </w:r>
          </w:p>
        </w:tc>
        <w:tc>
          <w:tcPr>
            <w:tcW w:w="28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Emerging growth company </w:t>
            </w:r>
            <w:bookmarkStart w:id="35" w:name="xdx_90E_edei--EntityEmergingGrowthCompan"/>
            <w:bookmarkEnd w:id="35"/>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36" w:name="xdx_908_edei--EntityExTransitionPeriod_c"/>
      <w:bookmarkEnd w:id="3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aps w:val="false"/>
                <w:smallCaps w:val="false"/>
                <w:position w:val="-2"/>
                <w:sz w:val="19"/>
              </w:rPr>
            </w:pPr>
            <w:r>
              <w:rPr>
                <w:caps w:val="false"/>
                <w:smallCaps w:val="false"/>
                <w:position w:val="-2"/>
                <w:sz w:val="19"/>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7" w:name="xdx_909_edei--IcfrAuditorAttestationFlag"/>
      <w:bookmarkEnd w:id="3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8" w:name="xdx_906_edei--DocumentFinStmtErrorCorrec"/>
      <w:bookmarkEnd w:id="3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4"/>
        <w:gridCol w:w="60"/>
        <w:gridCol w:w="8381"/>
        <w:gridCol w:w="60"/>
        <w:gridCol w:w="670"/>
      </w:tblGrid>
      <w:tr>
        <w:trPr/>
        <w:tc>
          <w:tcPr>
            <w:tcW w:w="1034"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39" w:name="xdx_907_edei--DocumentAccountingStandard"/>
            <w:bookmarkEnd w:id="39"/>
            <w:r>
              <w:rPr>
                <w:rFonts w:ascii="Times New Roman;Times;Serif" w:hAnsi="Times New Roman;Times;Serif"/>
                <w:b w:val="false"/>
                <w:i w:val="false"/>
                <w:caps w:val="false"/>
                <w:smallCaps w:val="false"/>
                <w:sz w:val="20"/>
              </w:rPr>
              <w:t>U.S. GAAP ☒</w:t>
            </w:r>
          </w:p>
        </w:tc>
        <w:tc>
          <w:tcPr>
            <w:tcW w:w="60" w:type="dxa"/>
            <w:tcBorders/>
            <w:vAlign w:val="center"/>
          </w:tcPr>
          <w:p>
            <w:pPr>
              <w:pStyle w:val="TableContents"/>
              <w:bidi w:val="0"/>
              <w:spacing w:before="0" w:after="283"/>
              <w:jc w:val="left"/>
              <w:rPr/>
            </w:pPr>
            <w:r>
              <w:rPr/>
              <w:t> </w:t>
            </w:r>
          </w:p>
        </w:tc>
        <w:tc>
          <w:tcPr>
            <w:tcW w:w="8381"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International Financial Reporting Standards as issued by the International Accounting Standards Board ☐</w:t>
            </w:r>
          </w:p>
        </w:tc>
        <w:tc>
          <w:tcPr>
            <w:tcW w:w="6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 Item 17 ☐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 Yes </w:t>
      </w:r>
      <w:bookmarkStart w:id="40" w:name="xdx_907_edei--EntityShellCompany_dbF_c20"/>
      <w:bookmarkEnd w:id="40"/>
      <w:r>
        <w:rPr>
          <w:rFonts w:ascii="Times New Roman;Times;Serif" w:hAnsi="Times New Roman;Times;Serif"/>
          <w:b w:val="false"/>
          <w:i w:val="false"/>
          <w:caps w:val="false"/>
          <w:smallCaps w:val="false"/>
          <w:sz w:val="20"/>
        </w:rPr>
        <w:t>☒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025" w:type="dxa"/>
        <w:jc w:val="left"/>
        <w:tblInd w:w="0" w:type="dxa"/>
        <w:tblLayout w:type="fixed"/>
        <w:tblCellMar>
          <w:top w:w="0" w:type="dxa"/>
          <w:left w:w="0" w:type="dxa"/>
          <w:bottom w:w="0" w:type="dxa"/>
          <w:right w:w="0" w:type="dxa"/>
        </w:tblCellMar>
      </w:tblPr>
      <w:tblGrid>
        <w:gridCol w:w="725"/>
        <w:gridCol w:w="6845"/>
        <w:gridCol w:w="455"/>
      </w:tblGrid>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84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CCEEFF" w:val="clear"/>
            <w:vAlign w:val="center"/>
          </w:tcPr>
          <w:p>
            <w:pPr>
              <w:pStyle w:val="TableContents"/>
              <w:bidi w:val="0"/>
              <w:spacing w:before="0" w:after="283"/>
              <w:jc w:val="center"/>
              <w:rPr/>
            </w:pPr>
            <w:hyperlink w:anchor="sj_001">
              <w:r>
                <w:rPr>
                  <w:rStyle w:val="InternetLink"/>
                  <w:rFonts w:ascii="Times New Roman;Times;Serif" w:hAnsi="Times New Roman;Times;Serif"/>
                  <w:b w:val="false"/>
                  <w:i w:val="false"/>
                  <w:caps w:val="false"/>
                  <w:smallCaps w:val="false"/>
                  <w:sz w:val="20"/>
                </w:rPr>
                <w:t>PART I</w:t>
              </w:r>
            </w:hyperlink>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845" w:type="dxa"/>
            <w:tcBorders/>
            <w:shd w:fill="CCEEFF" w:val="clear"/>
            <w:vAlign w:val="center"/>
          </w:tcPr>
          <w:p>
            <w:pPr>
              <w:pStyle w:val="TableContents"/>
              <w:bidi w:val="0"/>
              <w:spacing w:before="0" w:after="283"/>
              <w:jc w:val="left"/>
              <w:rPr/>
            </w:pPr>
            <w:hyperlink w:anchor="sj_002">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845" w:type="dxa"/>
            <w:tcBorders/>
            <w:shd w:fill="CCEEFF" w:val="clear"/>
            <w:vAlign w:val="center"/>
          </w:tcPr>
          <w:p>
            <w:pPr>
              <w:pStyle w:val="TableContents"/>
              <w:bidi w:val="0"/>
              <w:spacing w:before="0" w:after="283"/>
              <w:jc w:val="left"/>
              <w:rPr/>
            </w:pPr>
            <w:hyperlink w:anchor="sj_003">
              <w:r>
                <w:rPr>
                  <w:rStyle w:val="InternetLink"/>
                  <w:rFonts w:ascii="Times New Roman;Times;Serif" w:hAnsi="Times New Roman;Times;Serif"/>
                  <w:b w:val="false"/>
                  <w:i w:val="false"/>
                  <w:caps w:val="false"/>
                  <w:smallCaps w:val="false"/>
                  <w:sz w:val="20"/>
                </w:rPr>
                <w:t>Offer Statistics and Expected Timetable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845" w:type="dxa"/>
            <w:tcBorders/>
            <w:shd w:fill="CCEEFF" w:val="clear"/>
            <w:vAlign w:val="center"/>
          </w:tcPr>
          <w:p>
            <w:pPr>
              <w:pStyle w:val="TableContents"/>
              <w:bidi w:val="0"/>
              <w:spacing w:before="0" w:after="283"/>
              <w:jc w:val="left"/>
              <w:rPr/>
            </w:pPr>
            <w:hyperlink w:anchor="sj_004">
              <w:r>
                <w:rPr>
                  <w:rStyle w:val="InternetLink"/>
                  <w:rFonts w:ascii="Times New Roman;Times;Serif" w:hAnsi="Times New Roman;Times;Serif"/>
                  <w:b w:val="false"/>
                  <w:i w:val="false"/>
                  <w:caps w:val="false"/>
                  <w:smallCaps w:val="false"/>
                  <w:sz w:val="20"/>
                </w:rPr>
                <w:t>Key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FFFFFF" w:val="clear"/>
            <w:vAlign w:val="center"/>
          </w:tcPr>
          <w:p>
            <w:pPr>
              <w:pStyle w:val="TableContents"/>
              <w:bidi w:val="0"/>
              <w:spacing w:before="0" w:after="283"/>
              <w:jc w:val="left"/>
              <w:rPr/>
            </w:pPr>
            <w:hyperlink w:anchor="sj_005">
              <w:r>
                <w:rPr>
                  <w:rStyle w:val="InternetLink"/>
                  <w:rFonts w:ascii="Times New Roman;Times;Serif" w:hAnsi="Times New Roman;Times;Serif"/>
                  <w:b w:val="false"/>
                  <w:i/>
                  <w:caps w:val="false"/>
                  <w:smallCaps w:val="false"/>
                  <w:sz w:val="20"/>
                </w:rPr>
                <w:t>[Reserved]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CCEEFF" w:val="clear"/>
            <w:vAlign w:val="center"/>
          </w:tcPr>
          <w:p>
            <w:pPr>
              <w:pStyle w:val="TableContents"/>
              <w:bidi w:val="0"/>
              <w:spacing w:before="0" w:after="283"/>
              <w:jc w:val="left"/>
              <w:rPr/>
            </w:pPr>
            <w:hyperlink w:anchor="sj_006">
              <w:r>
                <w:rPr>
                  <w:rStyle w:val="InternetLink"/>
                  <w:rFonts w:ascii="Times New Roman;Times;Serif" w:hAnsi="Times New Roman;Times;Serif"/>
                  <w:b w:val="false"/>
                  <w:i/>
                  <w:caps w:val="false"/>
                  <w:smallCaps w:val="false"/>
                  <w:sz w:val="20"/>
                </w:rPr>
                <w:t>Capitalization and Indebtedness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FFFFFF" w:val="clear"/>
            <w:vAlign w:val="center"/>
          </w:tcPr>
          <w:p>
            <w:pPr>
              <w:pStyle w:val="TableContents"/>
              <w:bidi w:val="0"/>
              <w:spacing w:before="0" w:after="283"/>
              <w:jc w:val="left"/>
              <w:rPr/>
            </w:pPr>
            <w:hyperlink w:anchor="sj_007">
              <w:r>
                <w:rPr>
                  <w:rStyle w:val="InternetLink"/>
                  <w:rFonts w:ascii="Times New Roman;Times;Serif" w:hAnsi="Times New Roman;Times;Serif"/>
                  <w:b w:val="false"/>
                  <w:i/>
                  <w:caps w:val="false"/>
                  <w:smallCaps w:val="false"/>
                  <w:sz w:val="20"/>
                </w:rPr>
                <w:t>Reasons for the Offer and 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845" w:type="dxa"/>
            <w:tcBorders/>
            <w:shd w:fill="CCEEFF" w:val="clear"/>
            <w:vAlign w:val="center"/>
          </w:tcPr>
          <w:p>
            <w:pPr>
              <w:pStyle w:val="TableContents"/>
              <w:bidi w:val="0"/>
              <w:spacing w:before="0" w:after="283"/>
              <w:jc w:val="left"/>
              <w:rPr/>
            </w:pPr>
            <w:hyperlink w:anchor="sj_008">
              <w:r>
                <w:rPr>
                  <w:rStyle w:val="InternetLink"/>
                  <w:rFonts w:ascii="Times New Roman;Times;Serif" w:hAnsi="Times New Roman;Times;Serif"/>
                  <w:b w:val="false"/>
                  <w:i/>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845" w:type="dxa"/>
            <w:tcBorders/>
            <w:shd w:fill="CCEEFF" w:val="clear"/>
            <w:vAlign w:val="center"/>
          </w:tcPr>
          <w:p>
            <w:pPr>
              <w:pStyle w:val="TableContents"/>
              <w:bidi w:val="0"/>
              <w:spacing w:before="0" w:after="283"/>
              <w:jc w:val="left"/>
              <w:rPr/>
            </w:pPr>
            <w:hyperlink w:anchor="da_001">
              <w:r>
                <w:rPr>
                  <w:rStyle w:val="InternetLink"/>
                  <w:rFonts w:ascii="Times New Roman;Times;Serif" w:hAnsi="Times New Roman;Times;Serif"/>
                  <w:b w:val="false"/>
                  <w:i w:val="false"/>
                  <w:caps w:val="false"/>
                  <w:smallCaps w:val="false"/>
                  <w:sz w:val="20"/>
                </w:rPr>
                <w:t>Information on the Company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FFFFFF" w:val="clear"/>
            <w:vAlign w:val="center"/>
          </w:tcPr>
          <w:p>
            <w:pPr>
              <w:pStyle w:val="TableContents"/>
              <w:bidi w:val="0"/>
              <w:spacing w:before="0" w:after="283"/>
              <w:jc w:val="left"/>
              <w:rPr/>
            </w:pPr>
            <w:hyperlink w:anchor="da_002">
              <w:r>
                <w:rPr>
                  <w:rStyle w:val="InternetLink"/>
                  <w:rFonts w:ascii="Times New Roman;Times;Serif" w:hAnsi="Times New Roman;Times;Serif"/>
                  <w:b w:val="false"/>
                  <w:i/>
                  <w:caps w:val="false"/>
                  <w:smallCaps w:val="false"/>
                  <w:sz w:val="20"/>
                </w:rPr>
                <w:t>History and Development of the Company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CCEEFF" w:val="clear"/>
            <w:vAlign w:val="center"/>
          </w:tcPr>
          <w:p>
            <w:pPr>
              <w:pStyle w:val="TableContents"/>
              <w:bidi w:val="0"/>
              <w:spacing w:before="0" w:after="283"/>
              <w:jc w:val="left"/>
              <w:rPr/>
            </w:pPr>
            <w:hyperlink w:anchor="da_003">
              <w:r>
                <w:rPr>
                  <w:rStyle w:val="InternetLink"/>
                  <w:rFonts w:ascii="Times New Roman;Times;Serif" w:hAnsi="Times New Roman;Times;Serif"/>
                  <w:b w:val="false"/>
                  <w:i/>
                  <w:caps w:val="false"/>
                  <w:smallCaps w:val="false"/>
                  <w:sz w:val="20"/>
                </w:rPr>
                <w:t>Business Overview</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FFFFFF" w:val="clear"/>
            <w:vAlign w:val="center"/>
          </w:tcPr>
          <w:p>
            <w:pPr>
              <w:pStyle w:val="TableContents"/>
              <w:bidi w:val="0"/>
              <w:spacing w:before="0" w:after="283"/>
              <w:jc w:val="left"/>
              <w:rPr/>
            </w:pPr>
            <w:hyperlink w:anchor="am_001">
              <w:r>
                <w:rPr>
                  <w:rStyle w:val="InternetLink"/>
                  <w:rFonts w:ascii="Times New Roman;Times;Serif" w:hAnsi="Times New Roman;Times;Serif"/>
                  <w:b w:val="false"/>
                  <w:i/>
                  <w:caps w:val="false"/>
                  <w:smallCaps w:val="false"/>
                  <w:sz w:val="20"/>
                </w:rPr>
                <w:t>Organizational Structure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845" w:type="dxa"/>
            <w:tcBorders/>
            <w:shd w:fill="CCEEFF" w:val="clear"/>
            <w:vAlign w:val="center"/>
          </w:tcPr>
          <w:p>
            <w:pPr>
              <w:pStyle w:val="TableContents"/>
              <w:bidi w:val="0"/>
              <w:spacing w:before="0" w:after="283"/>
              <w:jc w:val="left"/>
              <w:rPr/>
            </w:pPr>
            <w:hyperlink w:anchor="am_002">
              <w:r>
                <w:rPr>
                  <w:rStyle w:val="InternetLink"/>
                  <w:rFonts w:ascii="Times New Roman;Times;Serif" w:hAnsi="Times New Roman;Times;Serif"/>
                  <w:b w:val="false"/>
                  <w:i/>
                  <w:caps w:val="false"/>
                  <w:smallCaps w:val="false"/>
                  <w:sz w:val="20"/>
                </w:rPr>
                <w:t>Property, Plants and Equipment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4A.</w:t>
            </w:r>
          </w:p>
        </w:tc>
        <w:tc>
          <w:tcPr>
            <w:tcW w:w="6845" w:type="dxa"/>
            <w:tcBorders/>
            <w:shd w:fill="CCEEFF" w:val="clear"/>
            <w:vAlign w:val="center"/>
          </w:tcPr>
          <w:p>
            <w:pPr>
              <w:pStyle w:val="TableContents"/>
              <w:bidi w:val="0"/>
              <w:spacing w:before="0" w:after="283"/>
              <w:jc w:val="left"/>
              <w:rPr/>
            </w:pPr>
            <w:hyperlink w:anchor="am_003">
              <w:r>
                <w:rPr>
                  <w:rStyle w:val="InternetLink"/>
                  <w:rFonts w:ascii="Times New Roman;Times;Serif" w:hAnsi="Times New Roman;Times;Serif"/>
                  <w:b w:val="false"/>
                  <w:i w:val="false"/>
                  <w:caps w:val="false"/>
                  <w:smallCaps w:val="false"/>
                  <w:sz w:val="20"/>
                </w:rPr>
                <w:t>Unresolved Staff Comments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6845" w:type="dxa"/>
            <w:tcBorders/>
            <w:shd w:fill="CCEEFF" w:val="clear"/>
            <w:vAlign w:val="center"/>
          </w:tcPr>
          <w:p>
            <w:pPr>
              <w:pStyle w:val="TableContents"/>
              <w:bidi w:val="0"/>
              <w:spacing w:before="0" w:after="283"/>
              <w:jc w:val="left"/>
              <w:rPr/>
            </w:pPr>
            <w:hyperlink w:anchor="am_004">
              <w:r>
                <w:rPr>
                  <w:rStyle w:val="InternetLink"/>
                  <w:rFonts w:ascii="Times New Roman;Times;Serif" w:hAnsi="Times New Roman;Times;Serif"/>
                  <w:b w:val="false"/>
                  <w:i w:val="false"/>
                  <w:caps w:val="false"/>
                  <w:smallCaps w:val="false"/>
                  <w:sz w:val="20"/>
                </w:rPr>
                <w:t>Operating and Financial Review and Prospects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FFFFFF" w:val="clear"/>
            <w:vAlign w:val="center"/>
          </w:tcPr>
          <w:p>
            <w:pPr>
              <w:pStyle w:val="TableContents"/>
              <w:bidi w:val="0"/>
              <w:spacing w:before="0" w:after="283"/>
              <w:jc w:val="left"/>
              <w:rPr/>
            </w:pPr>
            <w:hyperlink w:anchor="am_005">
              <w:r>
                <w:rPr>
                  <w:rStyle w:val="InternetLink"/>
                  <w:rFonts w:ascii="Times New Roman;Times;Serif" w:hAnsi="Times New Roman;Times;Serif"/>
                  <w:b w:val="false"/>
                  <w:i/>
                  <w:caps w:val="false"/>
                  <w:smallCaps w:val="false"/>
                  <w:sz w:val="20"/>
                </w:rPr>
                <w:t>Operating Results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CCEEFF" w:val="clear"/>
            <w:vAlign w:val="center"/>
          </w:tcPr>
          <w:p>
            <w:pPr>
              <w:pStyle w:val="TableContents"/>
              <w:bidi w:val="0"/>
              <w:spacing w:before="0" w:after="283"/>
              <w:jc w:val="left"/>
              <w:rPr/>
            </w:pPr>
            <w:hyperlink w:anchor="am_006">
              <w:r>
                <w:rPr>
                  <w:rStyle w:val="InternetLink"/>
                  <w:rFonts w:ascii="Times New Roman;Times;Serif" w:hAnsi="Times New Roman;Times;Serif"/>
                  <w:b w:val="false"/>
                  <w:i/>
                  <w:caps w:val="false"/>
                  <w:smallCaps w:val="false"/>
                  <w:sz w:val="20"/>
                </w:rPr>
                <w:t>Liquidity and Capital Resources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FFFFFF" w:val="clear"/>
            <w:vAlign w:val="center"/>
          </w:tcPr>
          <w:p>
            <w:pPr>
              <w:pStyle w:val="TableContents"/>
              <w:bidi w:val="0"/>
              <w:spacing w:before="0" w:after="283"/>
              <w:jc w:val="left"/>
              <w:rPr/>
            </w:pPr>
            <w:hyperlink w:anchor="am_007">
              <w:r>
                <w:rPr>
                  <w:rStyle w:val="InternetLink"/>
                  <w:rFonts w:ascii="Times New Roman;Times;Serif" w:hAnsi="Times New Roman;Times;Serif"/>
                  <w:b w:val="false"/>
                  <w:i/>
                  <w:caps w:val="false"/>
                  <w:smallCaps w:val="false"/>
                  <w:sz w:val="20"/>
                </w:rPr>
                <w:t>Research and Development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845" w:type="dxa"/>
            <w:tcBorders/>
            <w:shd w:fill="CCEEFF" w:val="clear"/>
            <w:vAlign w:val="center"/>
          </w:tcPr>
          <w:p>
            <w:pPr>
              <w:pStyle w:val="TableContents"/>
              <w:bidi w:val="0"/>
              <w:spacing w:before="0" w:after="283"/>
              <w:jc w:val="left"/>
              <w:rPr/>
            </w:pPr>
            <w:hyperlink w:anchor="am_008">
              <w:r>
                <w:rPr>
                  <w:rStyle w:val="InternetLink"/>
                  <w:rFonts w:ascii="Times New Roman;Times;Serif" w:hAnsi="Times New Roman;Times;Serif"/>
                  <w:b w:val="false"/>
                  <w:i/>
                  <w:caps w:val="false"/>
                  <w:smallCaps w:val="false"/>
                  <w:sz w:val="20"/>
                </w:rPr>
                <w:t>Trend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w:t>
            </w:r>
          </w:p>
        </w:tc>
        <w:tc>
          <w:tcPr>
            <w:tcW w:w="6845" w:type="dxa"/>
            <w:tcBorders/>
            <w:shd w:fill="FFFFFF" w:val="clear"/>
            <w:vAlign w:val="center"/>
          </w:tcPr>
          <w:p>
            <w:pPr>
              <w:pStyle w:val="TableContents"/>
              <w:bidi w:val="0"/>
              <w:spacing w:before="0" w:after="283"/>
              <w:jc w:val="left"/>
              <w:rPr/>
            </w:pPr>
            <w:hyperlink w:anchor="am_009">
              <w:r>
                <w:rPr>
                  <w:rStyle w:val="InternetLink"/>
                  <w:rFonts w:ascii="Times New Roman;Times;Serif" w:hAnsi="Times New Roman;Times;Serif"/>
                  <w:b w:val="false"/>
                  <w:i/>
                  <w:caps w:val="false"/>
                  <w:smallCaps w:val="false"/>
                  <w:sz w:val="20"/>
                </w:rPr>
                <w:t>Critical Accounting Estimates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6845" w:type="dxa"/>
            <w:tcBorders/>
            <w:shd w:fill="FFFFFF" w:val="clear"/>
            <w:vAlign w:val="center"/>
          </w:tcPr>
          <w:p>
            <w:pPr>
              <w:pStyle w:val="TableContents"/>
              <w:bidi w:val="0"/>
              <w:spacing w:before="0" w:after="283"/>
              <w:jc w:val="left"/>
              <w:rPr/>
            </w:pPr>
            <w:hyperlink w:anchor="am_010">
              <w:r>
                <w:rPr>
                  <w:rStyle w:val="InternetLink"/>
                  <w:rFonts w:ascii="Times New Roman;Times;Serif" w:hAnsi="Times New Roman;Times;Serif"/>
                  <w:b w:val="false"/>
                  <w:i w:val="false"/>
                  <w:caps w:val="false"/>
                  <w:smallCaps w:val="false"/>
                  <w:sz w:val="20"/>
                </w:rPr>
                <w:t>Directors, Senior Management and Employees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CCEEFF" w:val="clear"/>
            <w:vAlign w:val="center"/>
          </w:tcPr>
          <w:p>
            <w:pPr>
              <w:pStyle w:val="TableContents"/>
              <w:bidi w:val="0"/>
              <w:spacing w:before="0" w:after="283"/>
              <w:jc w:val="left"/>
              <w:rPr/>
            </w:pPr>
            <w:hyperlink w:anchor="am_011">
              <w:r>
                <w:rPr>
                  <w:rStyle w:val="InternetLink"/>
                  <w:rFonts w:ascii="Times New Roman;Times;Serif" w:hAnsi="Times New Roman;Times;Serif"/>
                  <w:b w:val="false"/>
                  <w:i/>
                  <w:caps w:val="false"/>
                  <w:smallCaps w:val="false"/>
                  <w:sz w:val="20"/>
                </w:rPr>
                <w:t>Directors and Senior 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FFFFFF" w:val="clear"/>
            <w:vAlign w:val="center"/>
          </w:tcPr>
          <w:p>
            <w:pPr>
              <w:pStyle w:val="TableContents"/>
              <w:bidi w:val="0"/>
              <w:spacing w:before="0" w:after="283"/>
              <w:jc w:val="left"/>
              <w:rPr/>
            </w:pPr>
            <w:hyperlink w:anchor="am_012">
              <w:r>
                <w:rPr>
                  <w:rStyle w:val="InternetLink"/>
                  <w:rFonts w:ascii="Times New Roman;Times;Serif" w:hAnsi="Times New Roman;Times;Serif"/>
                  <w:b w:val="false"/>
                  <w:i/>
                  <w:caps w:val="false"/>
                  <w:smallCaps w:val="false"/>
                  <w:sz w:val="20"/>
                </w:rPr>
                <w:t>Compensation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CCEEFF" w:val="clear"/>
            <w:vAlign w:val="center"/>
          </w:tcPr>
          <w:p>
            <w:pPr>
              <w:pStyle w:val="TableContents"/>
              <w:bidi w:val="0"/>
              <w:spacing w:before="0" w:after="283"/>
              <w:jc w:val="left"/>
              <w:rPr/>
            </w:pPr>
            <w:hyperlink w:anchor="am_013">
              <w:r>
                <w:rPr>
                  <w:rStyle w:val="InternetLink"/>
                  <w:rFonts w:ascii="Times New Roman;Times;Serif" w:hAnsi="Times New Roman;Times;Serif"/>
                  <w:b w:val="false"/>
                  <w:i/>
                  <w:caps w:val="false"/>
                  <w:smallCaps w:val="false"/>
                  <w:sz w:val="20"/>
                </w:rPr>
                <w:t>Board Practices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845" w:type="dxa"/>
            <w:tcBorders/>
            <w:shd w:fill="FFFFFF" w:val="clear"/>
            <w:vAlign w:val="center"/>
          </w:tcPr>
          <w:p>
            <w:pPr>
              <w:pStyle w:val="TableContents"/>
              <w:bidi w:val="0"/>
              <w:spacing w:before="0" w:after="283"/>
              <w:jc w:val="left"/>
              <w:rPr/>
            </w:pPr>
            <w:hyperlink w:anchor="am_014">
              <w:r>
                <w:rPr>
                  <w:rStyle w:val="InternetLink"/>
                  <w:rFonts w:ascii="Times New Roman;Times;Serif" w:hAnsi="Times New Roman;Times;Serif"/>
                  <w:b w:val="false"/>
                  <w:i/>
                  <w:caps w:val="false"/>
                  <w:smallCaps w:val="false"/>
                  <w:sz w:val="20"/>
                </w:rPr>
                <w:t>Employees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w:t>
            </w:r>
          </w:p>
        </w:tc>
        <w:tc>
          <w:tcPr>
            <w:tcW w:w="6845" w:type="dxa"/>
            <w:tcBorders/>
            <w:shd w:fill="CCEEFF" w:val="clear"/>
            <w:vAlign w:val="center"/>
          </w:tcPr>
          <w:p>
            <w:pPr>
              <w:pStyle w:val="TableContents"/>
              <w:bidi w:val="0"/>
              <w:spacing w:before="0" w:after="283"/>
              <w:jc w:val="left"/>
              <w:rPr/>
            </w:pPr>
            <w:hyperlink w:anchor="am_015">
              <w:r>
                <w:rPr>
                  <w:rStyle w:val="InternetLink"/>
                  <w:rFonts w:ascii="Times New Roman;Times;Serif" w:hAnsi="Times New Roman;Times;Serif"/>
                  <w:b w:val="false"/>
                  <w:i/>
                  <w:caps w:val="false"/>
                  <w:smallCaps w:val="false"/>
                  <w:sz w:val="20"/>
                </w:rPr>
                <w:t>Share Ownership</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w:t>
            </w:r>
          </w:p>
        </w:tc>
        <w:tc>
          <w:tcPr>
            <w:tcW w:w="6845" w:type="dxa"/>
            <w:tcBorders/>
            <w:shd w:fill="FFFFFF" w:val="clear"/>
            <w:vAlign w:val="center"/>
          </w:tcPr>
          <w:p>
            <w:pPr>
              <w:pStyle w:val="TableContents"/>
              <w:bidi w:val="0"/>
              <w:spacing w:before="0" w:after="283"/>
              <w:jc w:val="left"/>
              <w:rPr/>
            </w:pPr>
            <w:hyperlink w:anchor="am_016">
              <w:r>
                <w:rPr>
                  <w:rStyle w:val="InternetLink"/>
                  <w:rFonts w:ascii="Times New Roman;Times;Serif" w:hAnsi="Times New Roman;Times;Serif"/>
                  <w:b w:val="false"/>
                  <w:i/>
                  <w:caps w:val="false"/>
                  <w:smallCaps w:val="false"/>
                  <w:sz w:val="20"/>
                </w:rPr>
                <w:t>Disclosure of a Registrant’s Action to Recover Erroneously Awarded Compensation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6845" w:type="dxa"/>
            <w:tcBorders/>
            <w:shd w:fill="FFFFFF" w:val="clear"/>
            <w:vAlign w:val="center"/>
          </w:tcPr>
          <w:p>
            <w:pPr>
              <w:pStyle w:val="TableContents"/>
              <w:bidi w:val="0"/>
              <w:spacing w:before="0" w:after="283"/>
              <w:jc w:val="left"/>
              <w:rPr/>
            </w:pPr>
            <w:hyperlink w:anchor="am_017">
              <w:r>
                <w:rPr>
                  <w:rStyle w:val="InternetLink"/>
                  <w:rFonts w:ascii="Times New Roman;Times;Serif" w:hAnsi="Times New Roman;Times;Serif"/>
                  <w:b w:val="false"/>
                  <w:i w:val="false"/>
                  <w:caps w:val="false"/>
                  <w:smallCaps w:val="false"/>
                  <w:sz w:val="20"/>
                </w:rPr>
                <w:t>Major Shareholders and Related Party Transactions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CCEEFF" w:val="clear"/>
            <w:vAlign w:val="center"/>
          </w:tcPr>
          <w:p>
            <w:pPr>
              <w:pStyle w:val="TableContents"/>
              <w:bidi w:val="0"/>
              <w:spacing w:before="0" w:after="283"/>
              <w:jc w:val="left"/>
              <w:rPr/>
            </w:pPr>
            <w:hyperlink w:anchor="am_018">
              <w:r>
                <w:rPr>
                  <w:rStyle w:val="InternetLink"/>
                  <w:rFonts w:ascii="Times New Roman;Times;Serif" w:hAnsi="Times New Roman;Times;Serif"/>
                  <w:b w:val="false"/>
                  <w:i/>
                  <w:caps w:val="false"/>
                  <w:smallCaps w:val="false"/>
                  <w:sz w:val="20"/>
                </w:rPr>
                <w:t>Major Shareholders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FFFFFF" w:val="clear"/>
            <w:vAlign w:val="center"/>
          </w:tcPr>
          <w:p>
            <w:pPr>
              <w:pStyle w:val="TableContents"/>
              <w:bidi w:val="0"/>
              <w:spacing w:before="0" w:after="283"/>
              <w:jc w:val="left"/>
              <w:rPr/>
            </w:pPr>
            <w:hyperlink w:anchor="am_019">
              <w:r>
                <w:rPr>
                  <w:rStyle w:val="InternetLink"/>
                  <w:rFonts w:ascii="Times New Roman;Times;Serif" w:hAnsi="Times New Roman;Times;Serif"/>
                  <w:b w:val="false"/>
                  <w:i/>
                  <w:caps w:val="false"/>
                  <w:smallCaps w:val="false"/>
                  <w:sz w:val="20"/>
                </w:rPr>
                <w:t>Related Party Transactions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CCEEFF" w:val="clear"/>
            <w:vAlign w:val="center"/>
          </w:tcPr>
          <w:p>
            <w:pPr>
              <w:pStyle w:val="TableContents"/>
              <w:bidi w:val="0"/>
              <w:spacing w:before="0" w:after="283"/>
              <w:jc w:val="left"/>
              <w:rPr/>
            </w:pPr>
            <w:hyperlink w:anchor="am_020">
              <w:r>
                <w:rPr>
                  <w:rStyle w:val="InternetLink"/>
                  <w:rFonts w:ascii="Times New Roman;Times;Serif" w:hAnsi="Times New Roman;Times;Serif"/>
                  <w:b w:val="false"/>
                  <w:i/>
                  <w:caps w:val="false"/>
                  <w:smallCaps w:val="false"/>
                  <w:sz w:val="20"/>
                </w:rPr>
                <w:t>Interests of Experts and Counsel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6845" w:type="dxa"/>
            <w:tcBorders/>
            <w:shd w:fill="CCEEFF" w:val="clear"/>
            <w:vAlign w:val="center"/>
          </w:tcPr>
          <w:p>
            <w:pPr>
              <w:pStyle w:val="TableContents"/>
              <w:bidi w:val="0"/>
              <w:spacing w:before="0" w:after="283"/>
              <w:jc w:val="left"/>
              <w:rPr/>
            </w:pPr>
            <w:hyperlink w:anchor="am_021">
              <w:r>
                <w:rPr>
                  <w:rStyle w:val="InternetLink"/>
                  <w:rFonts w:ascii="Times New Roman;Times;Serif" w:hAnsi="Times New Roman;Times;Serif"/>
                  <w:b w:val="false"/>
                  <w:i w:val="false"/>
                  <w:caps w:val="false"/>
                  <w:smallCaps w:val="false"/>
                  <w:sz w:val="20"/>
                </w:rPr>
                <w:t>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FFFFFF" w:val="clear"/>
            <w:vAlign w:val="center"/>
          </w:tcPr>
          <w:p>
            <w:pPr>
              <w:pStyle w:val="TableContents"/>
              <w:bidi w:val="0"/>
              <w:spacing w:before="0" w:after="283"/>
              <w:jc w:val="left"/>
              <w:rPr/>
            </w:pPr>
            <w:hyperlink w:anchor="am_022">
              <w:r>
                <w:rPr>
                  <w:rStyle w:val="InternetLink"/>
                  <w:rFonts w:ascii="Times New Roman;Times;Serif" w:hAnsi="Times New Roman;Times;Serif"/>
                  <w:b w:val="false"/>
                  <w:i/>
                  <w:caps w:val="false"/>
                  <w:smallCaps w:val="false"/>
                  <w:sz w:val="20"/>
                </w:rPr>
                <w:t>Consolidated Statements and Other Financial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CCEEFF" w:val="clear"/>
            <w:vAlign w:val="center"/>
          </w:tcPr>
          <w:p>
            <w:pPr>
              <w:pStyle w:val="TableContents"/>
              <w:bidi w:val="0"/>
              <w:spacing w:before="0" w:after="283"/>
              <w:jc w:val="left"/>
              <w:rPr/>
            </w:pPr>
            <w:hyperlink w:anchor="am_023">
              <w:r>
                <w:rPr>
                  <w:rStyle w:val="InternetLink"/>
                  <w:rFonts w:ascii="Times New Roman;Times;Serif" w:hAnsi="Times New Roman;Times;Serif"/>
                  <w:b w:val="false"/>
                  <w:i/>
                  <w:caps w:val="false"/>
                  <w:smallCaps w:val="false"/>
                  <w:sz w:val="20"/>
                </w:rPr>
                <w:t>Significant Changes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6845" w:type="dxa"/>
            <w:tcBorders/>
            <w:shd w:fill="CCEEFF" w:val="clear"/>
            <w:vAlign w:val="center"/>
          </w:tcPr>
          <w:p>
            <w:pPr>
              <w:pStyle w:val="TableContents"/>
              <w:bidi w:val="0"/>
              <w:spacing w:before="0" w:after="283"/>
              <w:jc w:val="left"/>
              <w:rPr/>
            </w:pPr>
            <w:hyperlink w:anchor="am_024">
              <w:r>
                <w:rPr>
                  <w:rStyle w:val="InternetLink"/>
                  <w:rFonts w:ascii="Times New Roman;Times;Serif" w:hAnsi="Times New Roman;Times;Serif"/>
                  <w:b w:val="false"/>
                  <w:i w:val="false"/>
                  <w:caps w:val="false"/>
                  <w:smallCaps w:val="false"/>
                  <w:sz w:val="20"/>
                </w:rPr>
                <w:t>The Offer and Listing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FFFFFF" w:val="clear"/>
            <w:vAlign w:val="center"/>
          </w:tcPr>
          <w:p>
            <w:pPr>
              <w:pStyle w:val="TableContents"/>
              <w:bidi w:val="0"/>
              <w:spacing w:before="0" w:after="283"/>
              <w:jc w:val="left"/>
              <w:rPr/>
            </w:pPr>
            <w:hyperlink w:anchor="am_025">
              <w:r>
                <w:rPr>
                  <w:rStyle w:val="InternetLink"/>
                  <w:rFonts w:ascii="Times New Roman;Times;Serif" w:hAnsi="Times New Roman;Times;Serif"/>
                  <w:b w:val="false"/>
                  <w:i/>
                  <w:caps w:val="false"/>
                  <w:smallCaps w:val="false"/>
                  <w:sz w:val="20"/>
                </w:rPr>
                <w:t>Offer and Listing Details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CCEEFF" w:val="clear"/>
            <w:vAlign w:val="center"/>
          </w:tcPr>
          <w:p>
            <w:pPr>
              <w:pStyle w:val="TableContents"/>
              <w:bidi w:val="0"/>
              <w:spacing w:before="0" w:after="283"/>
              <w:jc w:val="left"/>
              <w:rPr/>
            </w:pPr>
            <w:hyperlink w:anchor="am_026">
              <w:r>
                <w:rPr>
                  <w:rStyle w:val="InternetLink"/>
                  <w:rFonts w:ascii="Times New Roman;Times;Serif" w:hAnsi="Times New Roman;Times;Serif"/>
                  <w:b w:val="false"/>
                  <w:i/>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FFFFFF" w:val="clear"/>
            <w:vAlign w:val="center"/>
          </w:tcPr>
          <w:p>
            <w:pPr>
              <w:pStyle w:val="TableContents"/>
              <w:bidi w:val="0"/>
              <w:spacing w:before="0" w:after="283"/>
              <w:jc w:val="left"/>
              <w:rPr/>
            </w:pPr>
            <w:hyperlink w:anchor="am_027">
              <w:r>
                <w:rPr>
                  <w:rStyle w:val="InternetLink"/>
                  <w:rFonts w:ascii="Times New Roman;Times;Serif" w:hAnsi="Times New Roman;Times;Serif"/>
                  <w:b w:val="false"/>
                  <w:i/>
                  <w:caps w:val="false"/>
                  <w:smallCaps w:val="false"/>
                  <w:sz w:val="20"/>
                </w:rPr>
                <w:t>Markets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845" w:type="dxa"/>
            <w:tcBorders/>
            <w:shd w:fill="CCEEFF" w:val="clear"/>
            <w:vAlign w:val="center"/>
          </w:tcPr>
          <w:p>
            <w:pPr>
              <w:pStyle w:val="TableContents"/>
              <w:bidi w:val="0"/>
              <w:spacing w:before="0" w:after="283"/>
              <w:jc w:val="left"/>
              <w:rPr/>
            </w:pPr>
            <w:hyperlink w:anchor="am_028">
              <w:r>
                <w:rPr>
                  <w:rStyle w:val="InternetLink"/>
                  <w:rFonts w:ascii="Times New Roman;Times;Serif" w:hAnsi="Times New Roman;Times;Serif"/>
                  <w:b w:val="false"/>
                  <w:i/>
                  <w:caps w:val="false"/>
                  <w:smallCaps w:val="false"/>
                  <w:sz w:val="20"/>
                </w:rPr>
                <w:t>Selling Shareholders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w:t>
            </w:r>
          </w:p>
        </w:tc>
        <w:tc>
          <w:tcPr>
            <w:tcW w:w="6845" w:type="dxa"/>
            <w:tcBorders/>
            <w:shd w:fill="FFFFFF" w:val="clear"/>
            <w:vAlign w:val="center"/>
          </w:tcPr>
          <w:p>
            <w:pPr>
              <w:pStyle w:val="TableContents"/>
              <w:bidi w:val="0"/>
              <w:spacing w:before="0" w:after="283"/>
              <w:jc w:val="left"/>
              <w:rPr/>
            </w:pPr>
            <w:hyperlink w:anchor="am_029">
              <w:r>
                <w:rPr>
                  <w:rStyle w:val="InternetLink"/>
                  <w:rFonts w:ascii="Times New Roman;Times;Serif" w:hAnsi="Times New Roman;Times;Serif"/>
                  <w:b w:val="false"/>
                  <w:i/>
                  <w:caps w:val="false"/>
                  <w:smallCaps w:val="false"/>
                  <w:sz w:val="20"/>
                </w:rPr>
                <w:t>Dilution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w:t>
            </w:r>
          </w:p>
        </w:tc>
        <w:tc>
          <w:tcPr>
            <w:tcW w:w="6845" w:type="dxa"/>
            <w:tcBorders/>
            <w:shd w:fill="CCEEFF" w:val="clear"/>
            <w:vAlign w:val="center"/>
          </w:tcPr>
          <w:p>
            <w:pPr>
              <w:pStyle w:val="TableContents"/>
              <w:bidi w:val="0"/>
              <w:spacing w:before="0" w:after="283"/>
              <w:jc w:val="left"/>
              <w:rPr/>
            </w:pPr>
            <w:hyperlink w:anchor="am_030">
              <w:r>
                <w:rPr>
                  <w:rStyle w:val="InternetLink"/>
                  <w:rFonts w:ascii="Times New Roman;Times;Serif" w:hAnsi="Times New Roman;Times;Serif"/>
                  <w:b w:val="false"/>
                  <w:i/>
                  <w:caps w:val="false"/>
                  <w:smallCaps w:val="false"/>
                  <w:sz w:val="20"/>
                </w:rPr>
                <w:t>Expenses of the Issue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515" w:type="dxa"/>
        <w:jc w:val="left"/>
        <w:tblInd w:w="0" w:type="dxa"/>
        <w:tblLayout w:type="fixed"/>
        <w:tblCellMar>
          <w:top w:w="0" w:type="dxa"/>
          <w:left w:w="0" w:type="dxa"/>
          <w:bottom w:w="0" w:type="dxa"/>
          <w:right w:w="0" w:type="dxa"/>
        </w:tblCellMar>
      </w:tblPr>
      <w:tblGrid>
        <w:gridCol w:w="890"/>
        <w:gridCol w:w="6275"/>
        <w:gridCol w:w="350"/>
      </w:tblGrid>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6275" w:type="dxa"/>
            <w:tcBorders/>
            <w:shd w:fill="CCEEFF" w:val="clear"/>
            <w:vAlign w:val="center"/>
          </w:tcPr>
          <w:p>
            <w:pPr>
              <w:pStyle w:val="TableContents"/>
              <w:bidi w:val="0"/>
              <w:spacing w:before="0" w:after="283"/>
              <w:jc w:val="left"/>
              <w:rPr/>
            </w:pPr>
            <w:hyperlink w:anchor="am_031">
              <w:r>
                <w:rPr>
                  <w:rStyle w:val="InternetLink"/>
                  <w:rFonts w:ascii="Times New Roman;Times;Serif" w:hAnsi="Times New Roman;Times;Serif"/>
                  <w:b w:val="false"/>
                  <w:i w:val="false"/>
                  <w:caps w:val="false"/>
                  <w:smallCaps w:val="false"/>
                  <w:sz w:val="20"/>
                </w:rPr>
                <w:t>Additional Information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275" w:type="dxa"/>
            <w:tcBorders/>
            <w:shd w:fill="FFFFFF" w:val="clear"/>
            <w:vAlign w:val="center"/>
          </w:tcPr>
          <w:p>
            <w:pPr>
              <w:pStyle w:val="TableContents"/>
              <w:bidi w:val="0"/>
              <w:spacing w:before="0" w:after="283"/>
              <w:jc w:val="left"/>
              <w:rPr/>
            </w:pPr>
            <w:hyperlink w:anchor="am_032">
              <w:r>
                <w:rPr>
                  <w:rStyle w:val="InternetLink"/>
                  <w:rFonts w:ascii="Times New Roman;Times;Serif" w:hAnsi="Times New Roman;Times;Serif"/>
                  <w:b w:val="false"/>
                  <w:i/>
                  <w:caps w:val="false"/>
                  <w:smallCaps w:val="false"/>
                  <w:sz w:val="20"/>
                </w:rPr>
                <w:t>Share Capital</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275" w:type="dxa"/>
            <w:tcBorders/>
            <w:shd w:fill="CCEEFF" w:val="clear"/>
            <w:vAlign w:val="center"/>
          </w:tcPr>
          <w:p>
            <w:pPr>
              <w:pStyle w:val="TableContents"/>
              <w:bidi w:val="0"/>
              <w:spacing w:before="0" w:after="283"/>
              <w:jc w:val="left"/>
              <w:rPr/>
            </w:pPr>
            <w:hyperlink w:anchor="am_033">
              <w:r>
                <w:rPr>
                  <w:rStyle w:val="InternetLink"/>
                  <w:rFonts w:ascii="Times New Roman;Times;Serif" w:hAnsi="Times New Roman;Times;Serif"/>
                  <w:b w:val="false"/>
                  <w:i/>
                  <w:caps w:val="false"/>
                  <w:smallCaps w:val="false"/>
                  <w:sz w:val="20"/>
                </w:rPr>
                <w:t>Memorandum and Articles of Association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275" w:type="dxa"/>
            <w:tcBorders/>
            <w:shd w:fill="FFFFFF" w:val="clear"/>
            <w:vAlign w:val="center"/>
          </w:tcPr>
          <w:p>
            <w:pPr>
              <w:pStyle w:val="TableContents"/>
              <w:bidi w:val="0"/>
              <w:spacing w:before="0" w:after="283"/>
              <w:jc w:val="left"/>
              <w:rPr/>
            </w:pPr>
            <w:hyperlink w:anchor="am_034">
              <w:r>
                <w:rPr>
                  <w:rStyle w:val="InternetLink"/>
                  <w:rFonts w:ascii="Times New Roman;Times;Serif" w:hAnsi="Times New Roman;Times;Serif"/>
                  <w:b w:val="false"/>
                  <w:i/>
                  <w:caps w:val="false"/>
                  <w:smallCaps w:val="false"/>
                  <w:sz w:val="20"/>
                </w:rPr>
                <w:t>Material Contracts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275" w:type="dxa"/>
            <w:tcBorders/>
            <w:shd w:fill="CCEEFF" w:val="clear"/>
            <w:vAlign w:val="center"/>
          </w:tcPr>
          <w:p>
            <w:pPr>
              <w:pStyle w:val="TableContents"/>
              <w:bidi w:val="0"/>
              <w:spacing w:before="0" w:after="283"/>
              <w:jc w:val="left"/>
              <w:rPr/>
            </w:pPr>
            <w:hyperlink w:anchor="am_035">
              <w:r>
                <w:rPr>
                  <w:rStyle w:val="InternetLink"/>
                  <w:rFonts w:ascii="Times New Roman;Times;Serif" w:hAnsi="Times New Roman;Times;Serif"/>
                  <w:b w:val="false"/>
                  <w:i/>
                  <w:caps w:val="false"/>
                  <w:smallCaps w:val="false"/>
                  <w:sz w:val="20"/>
                </w:rPr>
                <w:t>Exchange Controls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w:t>
            </w:r>
          </w:p>
        </w:tc>
        <w:tc>
          <w:tcPr>
            <w:tcW w:w="6275" w:type="dxa"/>
            <w:tcBorders/>
            <w:shd w:fill="FFFFFF" w:val="clear"/>
            <w:vAlign w:val="center"/>
          </w:tcPr>
          <w:p>
            <w:pPr>
              <w:pStyle w:val="TableContents"/>
              <w:bidi w:val="0"/>
              <w:spacing w:before="0" w:after="283"/>
              <w:jc w:val="left"/>
              <w:rPr/>
            </w:pPr>
            <w:hyperlink w:anchor="am_036">
              <w:r>
                <w:rPr>
                  <w:rStyle w:val="InternetLink"/>
                  <w:rFonts w:ascii="Times New Roman;Times;Serif" w:hAnsi="Times New Roman;Times;Serif"/>
                  <w:b w:val="false"/>
                  <w:i/>
                  <w:caps w:val="false"/>
                  <w:smallCaps w:val="false"/>
                  <w:sz w:val="20"/>
                </w:rPr>
                <w:t>Taxation</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w:t>
            </w:r>
          </w:p>
        </w:tc>
        <w:tc>
          <w:tcPr>
            <w:tcW w:w="6275" w:type="dxa"/>
            <w:tcBorders/>
            <w:shd w:fill="CCEEFF" w:val="clear"/>
            <w:vAlign w:val="center"/>
          </w:tcPr>
          <w:p>
            <w:pPr>
              <w:pStyle w:val="TableContents"/>
              <w:bidi w:val="0"/>
              <w:spacing w:before="0" w:after="283"/>
              <w:jc w:val="left"/>
              <w:rPr/>
            </w:pPr>
            <w:hyperlink w:anchor="nja_001">
              <w:r>
                <w:rPr>
                  <w:rStyle w:val="InternetLink"/>
                  <w:rFonts w:ascii="Times New Roman;Times;Serif" w:hAnsi="Times New Roman;Times;Serif"/>
                  <w:b w:val="false"/>
                  <w:i/>
                  <w:caps w:val="false"/>
                  <w:smallCaps w:val="false"/>
                  <w:sz w:val="20"/>
                </w:rPr>
                <w:t>Dividends and Paying Agents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w:t>
            </w:r>
          </w:p>
        </w:tc>
        <w:tc>
          <w:tcPr>
            <w:tcW w:w="6275" w:type="dxa"/>
            <w:tcBorders/>
            <w:shd w:fill="FFFFFF" w:val="clear"/>
            <w:vAlign w:val="center"/>
          </w:tcPr>
          <w:p>
            <w:pPr>
              <w:pStyle w:val="TableContents"/>
              <w:bidi w:val="0"/>
              <w:spacing w:before="0" w:after="283"/>
              <w:jc w:val="left"/>
              <w:rPr/>
            </w:pPr>
            <w:hyperlink w:anchor="nja_002">
              <w:r>
                <w:rPr>
                  <w:rStyle w:val="InternetLink"/>
                  <w:rFonts w:ascii="Times New Roman;Times;Serif" w:hAnsi="Times New Roman;Times;Serif"/>
                  <w:b w:val="false"/>
                  <w:i/>
                  <w:caps w:val="false"/>
                  <w:smallCaps w:val="false"/>
                  <w:sz w:val="20"/>
                </w:rPr>
                <w:t>Statement by Experts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w:t>
            </w:r>
          </w:p>
        </w:tc>
        <w:tc>
          <w:tcPr>
            <w:tcW w:w="6275" w:type="dxa"/>
            <w:tcBorders/>
            <w:shd w:fill="CCEEFF" w:val="clear"/>
            <w:vAlign w:val="center"/>
          </w:tcPr>
          <w:p>
            <w:pPr>
              <w:pStyle w:val="TableContents"/>
              <w:bidi w:val="0"/>
              <w:spacing w:before="0" w:after="283"/>
              <w:jc w:val="left"/>
              <w:rPr/>
            </w:pPr>
            <w:hyperlink w:anchor="nja_003">
              <w:r>
                <w:rPr>
                  <w:rStyle w:val="InternetLink"/>
                  <w:rFonts w:ascii="Times New Roman;Times;Serif" w:hAnsi="Times New Roman;Times;Serif"/>
                  <w:b w:val="false"/>
                  <w:i/>
                  <w:caps w:val="false"/>
                  <w:smallCaps w:val="false"/>
                  <w:sz w:val="20"/>
                </w:rPr>
                <w:t>Documents on Display</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6275" w:type="dxa"/>
            <w:tcBorders/>
            <w:shd w:fill="FFFFFF" w:val="clear"/>
            <w:vAlign w:val="center"/>
          </w:tcPr>
          <w:p>
            <w:pPr>
              <w:pStyle w:val="TableContents"/>
              <w:bidi w:val="0"/>
              <w:spacing w:before="0" w:after="283"/>
              <w:jc w:val="left"/>
              <w:rPr/>
            </w:pPr>
            <w:hyperlink w:anchor="nja_004">
              <w:r>
                <w:rPr>
                  <w:rStyle w:val="InternetLink"/>
                  <w:rFonts w:ascii="Times New Roman;Times;Serif" w:hAnsi="Times New Roman;Times;Serif"/>
                  <w:b w:val="false"/>
                  <w:i/>
                  <w:caps w:val="false"/>
                  <w:smallCaps w:val="false"/>
                  <w:sz w:val="20"/>
                </w:rPr>
                <w:t>Subsidiary Information</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w:t>
            </w:r>
          </w:p>
        </w:tc>
        <w:tc>
          <w:tcPr>
            <w:tcW w:w="6275" w:type="dxa"/>
            <w:tcBorders/>
            <w:shd w:fill="CCEEFF" w:val="clear"/>
            <w:vAlign w:val="center"/>
          </w:tcPr>
          <w:p>
            <w:pPr>
              <w:pStyle w:val="TableContents"/>
              <w:bidi w:val="0"/>
              <w:spacing w:before="0" w:after="283"/>
              <w:jc w:val="left"/>
              <w:rPr/>
            </w:pPr>
            <w:hyperlink w:anchor="nja_005">
              <w:r>
                <w:rPr>
                  <w:rStyle w:val="InternetLink"/>
                  <w:rFonts w:ascii="Times New Roman;Times;Serif" w:hAnsi="Times New Roman;Times;Serif"/>
                  <w:b w:val="false"/>
                  <w:i/>
                  <w:caps w:val="false"/>
                  <w:smallCaps w:val="false"/>
                  <w:sz w:val="20"/>
                </w:rPr>
                <w:t>Annual Report to Security Holders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6275" w:type="dxa"/>
            <w:tcBorders/>
            <w:shd w:fill="CCEEFF" w:val="clear"/>
            <w:vAlign w:val="center"/>
          </w:tcPr>
          <w:p>
            <w:pPr>
              <w:pStyle w:val="TableContents"/>
              <w:bidi w:val="0"/>
              <w:spacing w:before="0" w:after="283"/>
              <w:jc w:val="left"/>
              <w:rPr/>
            </w:pPr>
            <w:hyperlink w:anchor="nja_006">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6275" w:type="dxa"/>
            <w:tcBorders/>
            <w:shd w:fill="CCEEFF" w:val="clear"/>
            <w:vAlign w:val="center"/>
          </w:tcPr>
          <w:p>
            <w:pPr>
              <w:pStyle w:val="TableContents"/>
              <w:bidi w:val="0"/>
              <w:spacing w:before="0" w:after="283"/>
              <w:jc w:val="left"/>
              <w:rPr/>
            </w:pPr>
            <w:hyperlink w:anchor="nja_007">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275" w:type="dxa"/>
            <w:tcBorders/>
            <w:shd w:fill="FFFFFF" w:val="clear"/>
            <w:vAlign w:val="center"/>
          </w:tcPr>
          <w:p>
            <w:pPr>
              <w:pStyle w:val="TableContents"/>
              <w:bidi w:val="0"/>
              <w:spacing w:before="0" w:after="283"/>
              <w:jc w:val="left"/>
              <w:rPr/>
            </w:pPr>
            <w:hyperlink w:anchor="nja_008">
              <w:r>
                <w:rPr>
                  <w:rStyle w:val="InternetLink"/>
                  <w:rFonts w:ascii="Times New Roman;Times;Serif" w:hAnsi="Times New Roman;Times;Serif"/>
                  <w:b w:val="false"/>
                  <w:i/>
                  <w:caps w:val="false"/>
                  <w:smallCaps w:val="false"/>
                  <w:sz w:val="20"/>
                </w:rPr>
                <w:t>Debt Securities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275" w:type="dxa"/>
            <w:tcBorders/>
            <w:shd w:fill="CCEEFF" w:val="clear"/>
            <w:vAlign w:val="center"/>
          </w:tcPr>
          <w:p>
            <w:pPr>
              <w:pStyle w:val="TableContents"/>
              <w:bidi w:val="0"/>
              <w:spacing w:before="0" w:after="283"/>
              <w:jc w:val="left"/>
              <w:rPr/>
            </w:pPr>
            <w:hyperlink w:anchor="nja_009">
              <w:r>
                <w:rPr>
                  <w:rStyle w:val="InternetLink"/>
                  <w:rFonts w:ascii="Times New Roman;Times;Serif" w:hAnsi="Times New Roman;Times;Serif"/>
                  <w:b w:val="false"/>
                  <w:i/>
                  <w:caps w:val="false"/>
                  <w:smallCaps w:val="false"/>
                  <w:sz w:val="20"/>
                </w:rPr>
                <w:t>Warrants and Rights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275" w:type="dxa"/>
            <w:tcBorders/>
            <w:shd w:fill="FFFFFF" w:val="clear"/>
            <w:vAlign w:val="center"/>
          </w:tcPr>
          <w:p>
            <w:pPr>
              <w:pStyle w:val="TableContents"/>
              <w:bidi w:val="0"/>
              <w:spacing w:before="0" w:after="283"/>
              <w:jc w:val="left"/>
              <w:rPr/>
            </w:pPr>
            <w:hyperlink w:anchor="nja_010">
              <w:r>
                <w:rPr>
                  <w:rStyle w:val="InternetLink"/>
                  <w:rFonts w:ascii="Times New Roman;Times;Serif" w:hAnsi="Times New Roman;Times;Serif"/>
                  <w:b w:val="false"/>
                  <w:i/>
                  <w:caps w:val="false"/>
                  <w:smallCaps w:val="false"/>
                  <w:sz w:val="20"/>
                </w:rPr>
                <w:t>Other Securities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275" w:type="dxa"/>
            <w:tcBorders/>
            <w:shd w:fill="CCEEFF" w:val="clear"/>
            <w:vAlign w:val="center"/>
          </w:tcPr>
          <w:p>
            <w:pPr>
              <w:pStyle w:val="TableContents"/>
              <w:bidi w:val="0"/>
              <w:spacing w:before="0" w:after="283"/>
              <w:jc w:val="left"/>
              <w:rPr/>
            </w:pPr>
            <w:hyperlink w:anchor="nja_011">
              <w:r>
                <w:rPr>
                  <w:rStyle w:val="InternetLink"/>
                  <w:rFonts w:ascii="Times New Roman;Times;Serif" w:hAnsi="Times New Roman;Times;Serif"/>
                  <w:b w:val="false"/>
                  <w:i/>
                  <w:caps w:val="false"/>
                  <w:smallCaps w:val="false"/>
                  <w:sz w:val="20"/>
                </w:rPr>
                <w:t>American Depositary Shares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CCEEFF" w:val="clear"/>
            <w:vAlign w:val="center"/>
          </w:tcPr>
          <w:p>
            <w:pPr>
              <w:pStyle w:val="TableContents"/>
              <w:bidi w:val="0"/>
              <w:spacing w:before="0" w:after="283"/>
              <w:jc w:val="center"/>
              <w:rPr/>
            </w:pPr>
            <w:hyperlink w:anchor="nja_012">
              <w:r>
                <w:rPr>
                  <w:rStyle w:val="InternetLink"/>
                  <w:rFonts w:ascii="Times New Roman;Times;Serif" w:hAnsi="Times New Roman;Times;Serif"/>
                  <w:b w:val="false"/>
                  <w:i w:val="false"/>
                  <w:caps w:val="false"/>
                  <w:smallCaps w:val="false"/>
                  <w:sz w:val="20"/>
                </w:rPr>
                <w:t>PART II</w:t>
              </w:r>
            </w:hyperlink>
          </w:p>
        </w:tc>
        <w:tc>
          <w:tcPr>
            <w:tcW w:w="3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6275" w:type="dxa"/>
            <w:tcBorders/>
            <w:shd w:fill="CCEEFF" w:val="clear"/>
            <w:vAlign w:val="center"/>
          </w:tcPr>
          <w:p>
            <w:pPr>
              <w:pStyle w:val="TableContents"/>
              <w:bidi w:val="0"/>
              <w:spacing w:before="0" w:after="283"/>
              <w:jc w:val="left"/>
              <w:rPr/>
            </w:pPr>
            <w:hyperlink w:anchor="nja_013">
              <w:r>
                <w:rPr>
                  <w:rStyle w:val="InternetLink"/>
                  <w:rFonts w:ascii="Times New Roman;Times;Serif" w:hAnsi="Times New Roman;Times;Serif"/>
                  <w:b w:val="false"/>
                  <w:i w:val="false"/>
                  <w:caps w:val="false"/>
                  <w:smallCaps w:val="false"/>
                  <w:sz w:val="20"/>
                </w:rPr>
                <w:t>Defaults, Dividend Arrearages and Delinquencies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6275" w:type="dxa"/>
            <w:tcBorders/>
            <w:shd w:fill="CCEEFF" w:val="clear"/>
            <w:vAlign w:val="center"/>
          </w:tcPr>
          <w:p>
            <w:pPr>
              <w:pStyle w:val="TableContents"/>
              <w:bidi w:val="0"/>
              <w:spacing w:before="0" w:after="283"/>
              <w:jc w:val="left"/>
              <w:rPr/>
            </w:pPr>
            <w:hyperlink w:anchor="nja_014">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6275" w:type="dxa"/>
            <w:tcBorders/>
            <w:shd w:fill="CCEEFF" w:val="clear"/>
            <w:vAlign w:val="center"/>
          </w:tcPr>
          <w:p>
            <w:pPr>
              <w:pStyle w:val="TableContents"/>
              <w:bidi w:val="0"/>
              <w:spacing w:before="0" w:after="283"/>
              <w:jc w:val="left"/>
              <w:rPr/>
            </w:pPr>
            <w:hyperlink w:anchor="nja_015">
              <w:r>
                <w:rPr>
                  <w:rStyle w:val="InternetLink"/>
                  <w:rFonts w:ascii="Times New Roman;Times;Serif" w:hAnsi="Times New Roman;Times;Serif"/>
                  <w:b w:val="false"/>
                  <w:i w:val="false"/>
                  <w:caps w:val="false"/>
                  <w:smallCaps w:val="false"/>
                  <w:sz w:val="20"/>
                </w:rPr>
                <w:t>Controls and Procedures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6275" w:type="dxa"/>
            <w:tcBorders/>
            <w:shd w:fill="CCEEFF" w:val="clear"/>
            <w:vAlign w:val="center"/>
          </w:tcPr>
          <w:p>
            <w:pPr>
              <w:pStyle w:val="TableContents"/>
              <w:bidi w:val="0"/>
              <w:spacing w:before="0" w:after="283"/>
              <w:jc w:val="left"/>
              <w:rPr/>
            </w:pPr>
            <w:hyperlink w:anchor="nja_016">
              <w:r>
                <w:rPr>
                  <w:rStyle w:val="InternetLink"/>
                  <w:rFonts w:ascii="Times New Roman;Times;Serif" w:hAnsi="Times New Roman;Times;Serif"/>
                  <w:b w:val="false"/>
                  <w:i w:val="false"/>
                  <w:caps w:val="false"/>
                  <w:smallCaps w:val="false"/>
                  <w:sz w:val="20"/>
                </w:rPr>
                <w:t>[Reserved]</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6275" w:type="dxa"/>
            <w:tcBorders/>
            <w:shd w:fill="CCEEFF" w:val="clear"/>
            <w:vAlign w:val="center"/>
          </w:tcPr>
          <w:p>
            <w:pPr>
              <w:pStyle w:val="TableContents"/>
              <w:bidi w:val="0"/>
              <w:spacing w:before="0" w:after="283"/>
              <w:jc w:val="left"/>
              <w:rPr/>
            </w:pPr>
            <w:hyperlink w:anchor="nja_017">
              <w:r>
                <w:rPr>
                  <w:rStyle w:val="InternetLink"/>
                  <w:caps w:val="false"/>
                  <w:smallCaps w:val="false"/>
                </w:rPr>
                <w:t xml:space="preserve">— </w:t>
              </w:r>
            </w:hyperlink>
            <w:hyperlink w:anchor="nja_017">
              <w:r>
                <w:rPr>
                  <w:rStyle w:val="InternetLink"/>
                  <w:rFonts w:ascii="Times New Roman;Times;Serif" w:hAnsi="Times New Roman;Times;Serif"/>
                  <w:b w:val="false"/>
                  <w:i w:val="false"/>
                  <w:caps w:val="false"/>
                  <w:smallCaps w:val="false"/>
                  <w:sz w:val="20"/>
                </w:rPr>
                <w:t>Audit Committee Financial Expert</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16B</w:t>
            </w:r>
          </w:p>
        </w:tc>
        <w:tc>
          <w:tcPr>
            <w:tcW w:w="6275" w:type="dxa"/>
            <w:tcBorders/>
            <w:shd w:fill="CCEEFF" w:val="clear"/>
            <w:vAlign w:val="center"/>
          </w:tcPr>
          <w:p>
            <w:pPr>
              <w:pStyle w:val="TableContents"/>
              <w:bidi w:val="0"/>
              <w:spacing w:before="0" w:after="283"/>
              <w:jc w:val="left"/>
              <w:rPr/>
            </w:pPr>
            <w:hyperlink w:anchor="nja_018">
              <w:r>
                <w:rPr>
                  <w:rStyle w:val="InternetLink"/>
                  <w:caps w:val="false"/>
                  <w:smallCaps w:val="false"/>
                </w:rPr>
                <w:t xml:space="preserve">— </w:t>
              </w:r>
            </w:hyperlink>
            <w:hyperlink w:anchor="nja_018">
              <w:r>
                <w:rPr>
                  <w:rStyle w:val="InternetLink"/>
                  <w:rFonts w:ascii="Times New Roman;Times;Serif" w:hAnsi="Times New Roman;Times;Serif"/>
                  <w:b w:val="false"/>
                  <w:i w:val="false"/>
                  <w:caps w:val="false"/>
                  <w:smallCaps w:val="false"/>
                  <w:sz w:val="20"/>
                </w:rPr>
                <w:t>Code of Ethics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16C</w:t>
            </w:r>
          </w:p>
        </w:tc>
        <w:tc>
          <w:tcPr>
            <w:tcW w:w="6275" w:type="dxa"/>
            <w:tcBorders/>
            <w:shd w:fill="CCEEFF" w:val="clear"/>
            <w:vAlign w:val="center"/>
          </w:tcPr>
          <w:p>
            <w:pPr>
              <w:pStyle w:val="TableContents"/>
              <w:bidi w:val="0"/>
              <w:spacing w:before="0" w:after="283"/>
              <w:jc w:val="left"/>
              <w:rPr/>
            </w:pPr>
            <w:hyperlink w:anchor="nja_019">
              <w:r>
                <w:rPr>
                  <w:rStyle w:val="InternetLink"/>
                  <w:caps w:val="false"/>
                  <w:smallCaps w:val="false"/>
                </w:rPr>
                <w:t xml:space="preserve">— </w:t>
              </w:r>
            </w:hyperlink>
            <w:hyperlink w:anchor="nja_019">
              <w:r>
                <w:rPr>
                  <w:rStyle w:val="InternetLink"/>
                  <w:rFonts w:ascii="Times New Roman;Times;Serif" w:hAnsi="Times New Roman;Times;Serif"/>
                  <w:b w:val="false"/>
                  <w:i w:val="false"/>
                  <w:caps w:val="false"/>
                  <w:smallCaps w:val="false"/>
                  <w:sz w:val="20"/>
                </w:rPr>
                <w:t>Principal Accountant Fees and Services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16D</w:t>
            </w:r>
          </w:p>
        </w:tc>
        <w:tc>
          <w:tcPr>
            <w:tcW w:w="6275" w:type="dxa"/>
            <w:tcBorders/>
            <w:shd w:fill="CCEEFF" w:val="clear"/>
            <w:vAlign w:val="center"/>
          </w:tcPr>
          <w:p>
            <w:pPr>
              <w:pStyle w:val="TableContents"/>
              <w:bidi w:val="0"/>
              <w:spacing w:before="0" w:after="283"/>
              <w:jc w:val="left"/>
              <w:rPr/>
            </w:pPr>
            <w:hyperlink w:anchor="nja_020">
              <w:r>
                <w:rPr>
                  <w:rStyle w:val="InternetLink"/>
                  <w:caps w:val="false"/>
                  <w:smallCaps w:val="false"/>
                </w:rPr>
                <w:t xml:space="preserve">— </w:t>
              </w:r>
            </w:hyperlink>
            <w:hyperlink w:anchor="nja_020">
              <w:r>
                <w:rPr>
                  <w:rStyle w:val="InternetLink"/>
                  <w:rFonts w:ascii="Times New Roman;Times;Serif" w:hAnsi="Times New Roman;Times;Serif"/>
                  <w:b w:val="false"/>
                  <w:i w:val="false"/>
                  <w:caps w:val="false"/>
                  <w:smallCaps w:val="false"/>
                  <w:sz w:val="20"/>
                </w:rPr>
                <w:t>Exemption from the Listing Standards for Audit Committees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16E</w:t>
            </w:r>
          </w:p>
        </w:tc>
        <w:tc>
          <w:tcPr>
            <w:tcW w:w="6275" w:type="dxa"/>
            <w:tcBorders/>
            <w:shd w:fill="CCEEFF" w:val="clear"/>
            <w:vAlign w:val="center"/>
          </w:tcPr>
          <w:p>
            <w:pPr>
              <w:pStyle w:val="TableContents"/>
              <w:bidi w:val="0"/>
              <w:spacing w:before="0" w:after="283"/>
              <w:jc w:val="left"/>
              <w:rPr/>
            </w:pPr>
            <w:hyperlink w:anchor="nja_021">
              <w:r>
                <w:rPr>
                  <w:rStyle w:val="InternetLink"/>
                  <w:caps w:val="false"/>
                  <w:smallCaps w:val="false"/>
                </w:rPr>
                <w:t xml:space="preserve">— </w:t>
              </w:r>
            </w:hyperlink>
            <w:hyperlink w:anchor="nja_021">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16F</w:t>
            </w:r>
          </w:p>
        </w:tc>
        <w:tc>
          <w:tcPr>
            <w:tcW w:w="6275" w:type="dxa"/>
            <w:tcBorders/>
            <w:shd w:fill="CCEEFF" w:val="clear"/>
            <w:vAlign w:val="center"/>
          </w:tcPr>
          <w:p>
            <w:pPr>
              <w:pStyle w:val="TableContents"/>
              <w:bidi w:val="0"/>
              <w:spacing w:before="0" w:after="283"/>
              <w:jc w:val="left"/>
              <w:rPr/>
            </w:pPr>
            <w:hyperlink w:anchor="nja_022">
              <w:r>
                <w:rPr>
                  <w:rStyle w:val="InternetLink"/>
                  <w:caps w:val="false"/>
                  <w:smallCaps w:val="false"/>
                </w:rPr>
                <w:t xml:space="preserve">— </w:t>
              </w:r>
            </w:hyperlink>
            <w:hyperlink w:anchor="nja_022">
              <w:r>
                <w:rPr>
                  <w:rStyle w:val="InternetLink"/>
                  <w:rFonts w:ascii="Times New Roman;Times;Serif" w:hAnsi="Times New Roman;Times;Serif"/>
                  <w:b w:val="false"/>
                  <w:i w:val="false"/>
                  <w:caps w:val="false"/>
                  <w:smallCaps w:val="false"/>
                  <w:sz w:val="20"/>
                </w:rPr>
                <w:t>Change in Registrant’s Certifying Accountant</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16G</w:t>
            </w:r>
          </w:p>
        </w:tc>
        <w:tc>
          <w:tcPr>
            <w:tcW w:w="6275" w:type="dxa"/>
            <w:tcBorders/>
            <w:shd w:fill="CCEEFF" w:val="clear"/>
            <w:vAlign w:val="center"/>
          </w:tcPr>
          <w:p>
            <w:pPr>
              <w:pStyle w:val="TableContents"/>
              <w:bidi w:val="0"/>
              <w:spacing w:before="0" w:after="283"/>
              <w:jc w:val="left"/>
              <w:rPr/>
            </w:pPr>
            <w:hyperlink w:anchor="nja_023">
              <w:r>
                <w:rPr>
                  <w:rStyle w:val="InternetLink"/>
                  <w:caps w:val="false"/>
                  <w:smallCaps w:val="false"/>
                </w:rPr>
                <w:t xml:space="preserve">— </w:t>
              </w:r>
            </w:hyperlink>
            <w:hyperlink w:anchor="nja_023">
              <w:r>
                <w:rPr>
                  <w:rStyle w:val="InternetLink"/>
                  <w:rFonts w:ascii="Times New Roman;Times;Serif" w:hAnsi="Times New Roman;Times;Serif"/>
                  <w:b w:val="false"/>
                  <w:i w:val="false"/>
                  <w:caps w:val="false"/>
                  <w:smallCaps w:val="false"/>
                  <w:sz w:val="20"/>
                </w:rPr>
                <w:t>Corporate Governance</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16H</w:t>
            </w:r>
          </w:p>
        </w:tc>
        <w:tc>
          <w:tcPr>
            <w:tcW w:w="6275" w:type="dxa"/>
            <w:tcBorders/>
            <w:shd w:fill="CCEEFF" w:val="clear"/>
            <w:vAlign w:val="center"/>
          </w:tcPr>
          <w:p>
            <w:pPr>
              <w:pStyle w:val="TableContents"/>
              <w:bidi w:val="0"/>
              <w:spacing w:before="0" w:after="283"/>
              <w:jc w:val="left"/>
              <w:rPr/>
            </w:pPr>
            <w:hyperlink w:anchor="nja_024">
              <w:r>
                <w:rPr>
                  <w:rStyle w:val="InternetLink"/>
                  <w:caps w:val="false"/>
                  <w:smallCaps w:val="false"/>
                </w:rPr>
                <w:t xml:space="preserve">— </w:t>
              </w:r>
            </w:hyperlink>
            <w:hyperlink w:anchor="nja_024">
              <w:r>
                <w:rPr>
                  <w:rStyle w:val="InternetLink"/>
                  <w:rFonts w:ascii="Times New Roman;Times;Serif" w:hAnsi="Times New Roman;Times;Serif"/>
                  <w:b w:val="false"/>
                  <w:i w:val="false"/>
                  <w:caps w:val="false"/>
                  <w:smallCaps w:val="false"/>
                  <w:sz w:val="20"/>
                </w:rPr>
                <w:t>Mine Safety Disclosure</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16I</w:t>
            </w:r>
          </w:p>
        </w:tc>
        <w:tc>
          <w:tcPr>
            <w:tcW w:w="6275" w:type="dxa"/>
            <w:tcBorders/>
            <w:shd w:fill="CCEEFF" w:val="clear"/>
            <w:vAlign w:val="center"/>
          </w:tcPr>
          <w:p>
            <w:pPr>
              <w:pStyle w:val="TableContents"/>
              <w:bidi w:val="0"/>
              <w:spacing w:before="0" w:after="283"/>
              <w:jc w:val="left"/>
              <w:rPr/>
            </w:pPr>
            <w:hyperlink w:anchor="nja_025">
              <w:r>
                <w:rPr>
                  <w:rStyle w:val="InternetLink"/>
                  <w:caps w:val="false"/>
                  <w:smallCaps w:val="false"/>
                </w:rPr>
                <w:t xml:space="preserve">— </w:t>
              </w:r>
            </w:hyperlink>
            <w:hyperlink w:anchor="nja_025">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16K</w:t>
            </w:r>
          </w:p>
        </w:tc>
        <w:tc>
          <w:tcPr>
            <w:tcW w:w="6275" w:type="dxa"/>
            <w:tcBorders/>
            <w:shd w:fill="CCEEFF" w:val="clear"/>
            <w:vAlign w:val="center"/>
          </w:tcPr>
          <w:p>
            <w:pPr>
              <w:pStyle w:val="TableContents"/>
              <w:bidi w:val="0"/>
              <w:spacing w:before="0" w:after="283"/>
              <w:jc w:val="left"/>
              <w:rPr/>
            </w:pPr>
            <w:hyperlink w:anchor="nja_026">
              <w:r>
                <w:rPr>
                  <w:rStyle w:val="InternetLink"/>
                  <w:caps w:val="false"/>
                  <w:smallCaps w:val="false"/>
                </w:rPr>
                <w:t xml:space="preserve">— </w:t>
              </w:r>
            </w:hyperlink>
            <w:hyperlink w:anchor="nja_026">
              <w:r>
                <w:rPr>
                  <w:rStyle w:val="InternetLink"/>
                  <w:rFonts w:ascii="Times New Roman;Times;Serif" w:hAnsi="Times New Roman;Times;Serif"/>
                  <w:b w:val="false"/>
                  <w:i w:val="false"/>
                  <w:caps w:val="false"/>
                  <w:smallCaps w:val="false"/>
                  <w:sz w:val="20"/>
                </w:rPr>
                <w:t>Cybersecurity</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CCEEFF" w:val="clear"/>
            <w:vAlign w:val="center"/>
          </w:tcPr>
          <w:p>
            <w:pPr>
              <w:pStyle w:val="TableContents"/>
              <w:bidi w:val="0"/>
              <w:spacing w:before="0" w:after="283"/>
              <w:jc w:val="center"/>
              <w:rPr/>
            </w:pPr>
            <w:hyperlink w:anchor="nja_027">
              <w:r>
                <w:rPr>
                  <w:rStyle w:val="InternetLink"/>
                  <w:rFonts w:ascii="Times New Roman;Times;Serif" w:hAnsi="Times New Roman;Times;Serif"/>
                  <w:b w:val="false"/>
                  <w:i w:val="false"/>
                  <w:caps w:val="false"/>
                  <w:smallCaps w:val="false"/>
                  <w:sz w:val="20"/>
                </w:rPr>
                <w:t>PART III</w:t>
              </w:r>
            </w:hyperlink>
          </w:p>
        </w:tc>
        <w:tc>
          <w:tcPr>
            <w:tcW w:w="3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17</w:t>
            </w:r>
          </w:p>
        </w:tc>
        <w:tc>
          <w:tcPr>
            <w:tcW w:w="6275" w:type="dxa"/>
            <w:tcBorders/>
            <w:shd w:fill="CCEEFF" w:val="clear"/>
            <w:vAlign w:val="center"/>
          </w:tcPr>
          <w:p>
            <w:pPr>
              <w:pStyle w:val="TableContents"/>
              <w:bidi w:val="0"/>
              <w:spacing w:before="0" w:after="283"/>
              <w:jc w:val="left"/>
              <w:rPr/>
            </w:pPr>
            <w:hyperlink w:anchor="nja_028">
              <w:r>
                <w:rPr>
                  <w:rStyle w:val="InternetLink"/>
                  <w:rFonts w:ascii="Times New Roman;Times;Serif" w:hAnsi="Times New Roman;Times;Serif"/>
                  <w:b w:val="false"/>
                  <w:i w:val="false"/>
                  <w:caps w:val="false"/>
                  <w:smallCaps w:val="false"/>
                  <w:sz w:val="20"/>
                </w:rPr>
                <w:t>Consolidated Financial Statements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18.</w:t>
            </w:r>
          </w:p>
        </w:tc>
        <w:tc>
          <w:tcPr>
            <w:tcW w:w="6275" w:type="dxa"/>
            <w:tcBorders/>
            <w:shd w:fill="CCEEFF" w:val="clear"/>
            <w:vAlign w:val="center"/>
          </w:tcPr>
          <w:p>
            <w:pPr>
              <w:pStyle w:val="TableContents"/>
              <w:bidi w:val="0"/>
              <w:spacing w:before="0" w:after="283"/>
              <w:jc w:val="left"/>
              <w:rPr/>
            </w:pPr>
            <w:hyperlink w:anchor="nja_029">
              <w:r>
                <w:rPr>
                  <w:rStyle w:val="InternetLink"/>
                  <w:rFonts w:ascii="Times New Roman;Times;Serif" w:hAnsi="Times New Roman;Times;Serif"/>
                  <w:b w:val="false"/>
                  <w:i w:val="false"/>
                  <w:caps w:val="false"/>
                  <w:smallCaps w:val="false"/>
                  <w:sz w:val="20"/>
                </w:rPr>
                <w:t>Consolidated Financial Statements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19</w:t>
            </w:r>
          </w:p>
        </w:tc>
        <w:tc>
          <w:tcPr>
            <w:tcW w:w="6275" w:type="dxa"/>
            <w:tcBorders/>
            <w:shd w:fill="CCEEFF" w:val="clear"/>
            <w:vAlign w:val="center"/>
          </w:tcPr>
          <w:p>
            <w:pPr>
              <w:pStyle w:val="TableContents"/>
              <w:bidi w:val="0"/>
              <w:spacing w:before="0" w:after="283"/>
              <w:jc w:val="left"/>
              <w:rPr/>
            </w:pPr>
            <w:hyperlink w:anchor="nja_030">
              <w:r>
                <w:rPr>
                  <w:rStyle w:val="InternetLink"/>
                  <w:rFonts w:ascii="Times New Roman;Times;Serif" w:hAnsi="Times New Roman;Times;Serif"/>
                  <w:b w:val="false"/>
                  <w:i w:val="false"/>
                  <w:caps w:val="false"/>
                  <w:smallCaps w:val="false"/>
                  <w:sz w:val="20"/>
                </w:rPr>
                <w:t>Exhibits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pPr>
            <w:hyperlink w:anchor="nja_031">
              <w:r>
                <w:rPr>
                  <w:rStyle w:val="InternetLink"/>
                  <w:rFonts w:ascii="Times New Roman;Times;Serif" w:hAnsi="Times New Roman;Times;Serif"/>
                  <w:b w:val="false"/>
                  <w:i w:val="false"/>
                  <w:caps w:val="false"/>
                  <w:smallCaps w:val="false"/>
                  <w:sz w:val="20"/>
                </w:rPr>
                <w:t>Signatures</w:t>
              </w:r>
            </w:hyperlink>
          </w:p>
        </w:tc>
        <w:tc>
          <w:tcPr>
            <w:tcW w:w="6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Annual Report on Form 20-F (this “Annual Report”), unless otherwise indicated or the context otherwise requires, references to</w:t>
      </w:r>
    </w:p>
    <w:p>
      <w:pPr>
        <w:pStyle w:val="TextBody"/>
        <w:bidi w:val="0"/>
        <w:spacing w:before="0" w:after="0"/>
        <w:ind w:left="0" w:right="0" w:hanging="0"/>
        <w:jc w:val="both"/>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17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“Genenta,” “us,” “our,” “the Company,” or “our company” are to Genenta Science S.p.A., including its subsidiaries;</w:t>
            </w:r>
          </w:p>
        </w:tc>
      </w:tr>
    </w:tbl>
    <w:p>
      <w:pPr>
        <w:pStyle w:val="TextBody"/>
        <w:bidi w:val="0"/>
        <w:spacing w:before="0" w:after="0"/>
        <w:ind w:left="0" w:right="0" w:hanging="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are to our ordinary shares, no par value;</w:t>
            </w:r>
          </w:p>
        </w:tc>
      </w:tr>
    </w:tbl>
    <w:p>
      <w:pPr>
        <w:pStyle w:val="TextBody"/>
        <w:bidi w:val="0"/>
        <w:spacing w:before="0" w:after="0"/>
        <w:ind w:left="0" w:right="0" w:hanging="0"/>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ADSs” or “American Depositary Shares” are to our American depositary shares, each representing one ordinary share;</w:t>
            </w:r>
          </w:p>
        </w:tc>
      </w:tr>
    </w:tbl>
    <w:p>
      <w:pPr>
        <w:pStyle w:val="TextBody"/>
        <w:bidi w:val="0"/>
        <w:spacing w:before="0" w:after="0"/>
        <w:ind w:left="0" w:right="0" w:hanging="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are to the Nasdaq Capital Market;</w:t>
            </w:r>
          </w:p>
        </w:tc>
      </w:tr>
    </w:tbl>
    <w:p>
      <w:pPr>
        <w:pStyle w:val="TextBody"/>
        <w:bidi w:val="0"/>
        <w:spacing w:before="0" w:after="0"/>
        <w:ind w:left="0" w:right="0" w:hanging="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Italy” are to the Republic of Italy, “E.U.” are to the European Union, and “U.S.” are to the United States of America;</w:t>
            </w:r>
          </w:p>
        </w:tc>
      </w:tr>
    </w:tbl>
    <w:p>
      <w:pPr>
        <w:pStyle w:val="TextBody"/>
        <w:bidi w:val="0"/>
        <w:spacing w:before="0" w:after="0"/>
        <w:ind w:left="0" w:right="0" w:hanging="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“USD,” “dollars,” “USD$” or “U.S. dollars” are to the legal currency of the U.S.; and</w:t>
            </w:r>
          </w:p>
        </w:tc>
      </w:tr>
    </w:tbl>
    <w:p>
      <w:pPr>
        <w:pStyle w:val="TextBody"/>
        <w:bidi w:val="0"/>
        <w:spacing w:before="0" w:after="0"/>
        <w:ind w:left="0" w:right="0" w:hanging="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or “EURO” are to the legal currency of the E.U..</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the convenience of the reader, this Annual Report contains translations of certain EURO amounts into U.S. dollars at specified rates. Except as otherwise stated in this Annual Report, all translations from EURO to U.S. dollars are based on the noon buying rate of €1.00 per $1.10392 in the City of New York for cable transfers of EUROs, as certified for customs purposes by the Federal Reserve Bank of New York on December 29, 2023. No representation is made that such EURO amounts referred to in this Annual Report could have been or could be converted into U.S. dollars at such rates or any other rates. Any discrepancies in any table between totals and sums of the amounts listed are due to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and notes thereto as of and for fiscal 2023, 2022 and 2021 included elsewhere in this Annual Report have been prepared in accordance with U.S. generally accepted accounting principles (“US GAAP”). Our fiscal semi-annual year end is June 30 and our fiscal year end is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we converted from a limited liability company (società a responsabilità limitata, or “S.r.l.”) to a joint stock company (società per azioni, or an “S.p.A.”) (the “Corporate Conversion”). This change in incorporation did not affect the financial information presented in this Annual Report, except for the transformation of our quotas into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many statements that are “forward-looking”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Annual Report, any or all of those assumptions could prove to be inaccurate. As a result, the forward-looking statements based on those assumptions could also be incorrect. The forward-looking statements in this Annual Report include, without limitation, statements relating to:</w:t>
      </w:r>
    </w:p>
    <w:p>
      <w:pPr>
        <w:pStyle w:val="TextBody"/>
        <w:bidi w:val="0"/>
        <w:spacing w:before="0" w:after="0"/>
        <w:ind w:left="0" w:right="0" w:hanging="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bl>
    <w:p>
      <w:pPr>
        <w:pStyle w:val="TextBody"/>
        <w:bidi w:val="0"/>
        <w:spacing w:before="0" w:after="0"/>
        <w:ind w:left="0"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w:t>
            </w:r>
          </w:p>
        </w:tc>
      </w:tr>
    </w:tbl>
    <w:p>
      <w:pPr>
        <w:pStyle w:val="TextBody"/>
        <w:bidi w:val="0"/>
        <w:spacing w:before="0" w:after="0"/>
        <w:ind w:left="0" w:right="0" w:hanging="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17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revenues, profits, earnings and other estimated financial information;</w:t>
            </w:r>
          </w:p>
        </w:tc>
      </w:tr>
    </w:tbl>
    <w:p>
      <w:pPr>
        <w:pStyle w:val="TextBody"/>
        <w:bidi w:val="0"/>
        <w:spacing w:before="0" w:after="0"/>
        <w:ind w:left="0" w:right="0" w:hanging="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strong relationships with our customers and suppliers;</w:t>
            </w:r>
          </w:p>
        </w:tc>
      </w:tr>
    </w:tbl>
    <w:p>
      <w:pPr>
        <w:pStyle w:val="TextBody"/>
        <w:bidi w:val="0"/>
        <w:spacing w:before="0" w:after="0"/>
        <w:ind w:left="0" w:right="0" w:hanging="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planned use of proceeds; and</w:t>
            </w:r>
          </w:p>
        </w:tc>
      </w:tr>
    </w:tbl>
    <w:p>
      <w:pPr>
        <w:pStyle w:val="TextBody"/>
        <w:bidi w:val="0"/>
        <w:spacing w:before="0" w:after="0"/>
        <w:ind w:left="0" w:right="0" w:hanging="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policies regarding our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included in this Annual Report are subject to known and unknown risks, uncertainties and assumptions about our businesses and business environments. These statements reflect our current views with respect to future events and are not a guarantee of future performance. Actual results of our operations may differ materially from information contained in the forward-looking statements as a result of risk factors, some of which are described under the headings “Risk Factors”, “Operating and Financial Review and Prospects,” “Information on our Company” and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uncertainties are not exhaustive. Other sections of this Annual Report include additional factors which could adversely impact our business and financial performance. The forward-looking statements contained in this Annual Report speak only as of the date of this Annual Report or, if obtained from third-party studies or reports, the date of the corresponding study or report, and are expressly qualified in their entirety by the cautionary statements in this Annual Report. Since we operate in an emerging and evolving environment and new risk factors and uncertainties emerge from time to time, you should not rely upon forward-looking statements as predictions of future events. Except as otherwise required by the securities laws of the U.S., the E.U. and Italy, we undertake no obligation to update or revise any forward-looking statements to reflect events or circumstances after the date of this Annual Report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sj_001"/>
      <w:bookmarkEnd w:id="41"/>
      <w:r>
        <w:rPr>
          <w:rFonts w:ascii="Times New Roman;Times;Serif" w:hAnsi="Times New Roman;Times;Serif"/>
          <w:b/>
          <w:i w:val="false"/>
          <w:caps w:val="false"/>
          <w:smallCaps w:val="false"/>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sj_002"/>
      <w:bookmarkEnd w:id="42"/>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sj_003"/>
      <w:bookmarkEnd w:id="43"/>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Offer Statistics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Method and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sj_004"/>
      <w:bookmarkEnd w:id="44"/>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5" w:name="sj_005"/>
      <w:bookmarkEnd w:id="45"/>
      <w:r>
        <w:rPr>
          <w:rFonts w:ascii="Times New Roman;Times;Serif" w:hAnsi="Times New Roman;Times;Serif"/>
          <w:b/>
          <w:i w:val="false"/>
          <w:caps w:val="false"/>
          <w:smallCaps w:val="false"/>
          <w:sz w:val="20"/>
        </w:rPr>
        <w:t>A.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6" w:name="sj_006"/>
      <w:bookmarkEnd w:id="46"/>
      <w:r>
        <w:rPr>
          <w:rFonts w:ascii="Times New Roman;Times;Serif" w:hAnsi="Times New Roman;Times;Serif"/>
          <w:b/>
          <w:i w:val="false"/>
          <w:caps w:val="false"/>
          <w:smallCaps w:val="false"/>
          <w:sz w:val="20"/>
        </w:rPr>
        <w:t>B. Capitalization and Indebtedness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 w:name="sj_007"/>
      <w:bookmarkEnd w:id="47"/>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Reasons for the Offer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 w:name="sj_008"/>
      <w:bookmarkEnd w:id="48"/>
      <w:r>
        <w:rPr>
          <w:rFonts w:ascii="Times New Roman;Times;Serif" w:hAnsi="Times New Roman;Times;Serif"/>
          <w:b/>
          <w:i w:val="false"/>
          <w:caps w:val="false"/>
          <w:smallCaps w:val="false"/>
          <w:sz w:val="20"/>
        </w:rPr>
        <w:t>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all of the information in this report, including various changing regulatory, competitive, economic, political and social risks and conditions described below, before making an investment in our ordinary shares. One or more of a combination of these risks could materially impact our business, results of operations and financial condition. In any such case, the market price of our ADSs or ordinary shares could decline, and you may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business include issues arising from the following matters and related adverse developments: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San Raffaele Hospital (“OSR”) and any failure to comply with the terms of such license agreement could have a material adverse effect on our intellectual property position and our ability to seek approval for and ultimately commercialize such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very few employees and rely almost entirely on the efforts of third parties over which we have limited control and in certain cases are reliant on a sole supplier for our materials. Our contract research organizations (“CROs”) may fail to observe the standards to which our studies must be conducted, and our product candidates may not be approved as a result. Likewise, our contract manufacturing organizations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directors and shareholders who own more than 5% of our outstanding ordinary shares currently own approximately 40% of our ordinary shares and will therefore be able to exert significant control over matters submitted to our shareholders for approval.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need to comply with extensive additional U.S. and Italian governmental regulations and Nasdaq rules, which will be expensive, and require significant management attention.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organized under the laws of Italy and whose shares are represented by ADSs, the rights of investors in the Company differ in several material respects from the rights of holders of shares of common stock of a U.S. domestic company and may not provide investors the same protections.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our cash and cash equivalents and marketable securities were approximately €18.8 million. If we continue to use cash at our historical rates of use, we will need significant additional financing, which we may seek through a combination of private and public equity offerings, debt financings and collaboration, in-licensing arrangements, joint ventures, strategic alliances or partnerships. For example, on May 12, 2023, we filed with the Securities and Exchange Commission (the “SEC”) a shelf registration statement, which was declared effective by the SEC on May 24, 2023 and permits us to sell from time to time additional ordinary shares, ordinary shares represented by ADSs or rights exercisable for ordinary shares or ADSs in one or more offerings in amounts, at prices and on the terms that we will determine at the time of offering for aggregate gross sales proceeds of up to $100.0 million.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collaborations, licensing arrangements, joint ventures, strategic alliances, or partnerships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funding requirements will depend on many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drug discovery, laboratory testing, pre- and non-clinical development and clinical trials for our product candidates, including Temferon;</w:t>
            </w:r>
          </w:p>
        </w:tc>
      </w:tr>
    </w:tbl>
    <w:p>
      <w:pPr>
        <w:pStyle w:val="TextBody"/>
        <w:bidi w:val="0"/>
        <w:spacing w:before="0" w:after="0"/>
        <w:ind w:left="0" w:right="0" w:hanging="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17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outcome of regulatory review of our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future activities, including product sales, marketing, manufacturing and distribution, for any of our product candidates for which we receive marketing approval;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preparing, filing and prosecuting patent and trademark applications, maintaining and enforcing our intellectual property rights and defending our intellectual property-related claims;</w:t>
            </w:r>
          </w:p>
        </w:tc>
      </w:tr>
    </w:tbl>
    <w:p>
      <w:pPr>
        <w:pStyle w:val="TextBody"/>
        <w:bidi w:val="0"/>
        <w:spacing w:before="0" w:after="0"/>
        <w:ind w:left="0" w:right="0" w:hanging="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 liability or other lawsuits related to our products;</w:t>
            </w:r>
          </w:p>
        </w:tc>
      </w:tr>
    </w:tbl>
    <w:p>
      <w:pPr>
        <w:pStyle w:val="TextBody"/>
        <w:bidi w:val="0"/>
        <w:spacing w:before="0" w:after="0"/>
        <w:ind w:left="0" w:right="0" w:hanging="0"/>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needed to attract and retain skilled personnel; and</w:t>
            </w:r>
          </w:p>
        </w:tc>
      </w:tr>
    </w:tbl>
    <w:p>
      <w:pPr>
        <w:pStyle w:val="TextBody"/>
        <w:bidi w:val="0"/>
        <w:spacing w:before="0" w:after="0"/>
        <w:ind w:left="0" w:right="0" w:hanging="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being a public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drug development involves a lengthy and expensive process with uncertain timelines and uncertain outcomes, and results of earlier trials may not be predictive of future trial results. If clinical studies of our product candidates are prolonged or delayed, we may be unable to obtain the required regulatory approvals, and therefore be unable to commercialize our product candidates on a timely basis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of conducting large-scale or pivotal clinical studies, and no history commercializing pharmaceutical products, which may make it difficult to evaluate the prospects for our future viability. Our operations to date have been limited to financing and staffing our company, developing our technology, and developing Temferon for glioblastoma multiforme. We have not yet demonstrated an ability to successfully complete a large-scale or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clinical studies for our product candidates are prolonged, delayed or stopped, we may be unable to obtain regulatory approval and commercialize our product candidates on a timely basis, which would require us to incur additional costs and delay or restrict our receipt of any product revenue. There have been significant developments in the highly dynamic field of immuno-oncology such as the earlier availability of product candidates or earlier approval of drugs for the same indications as our product candidates, which may lead us to adapt or alter our clinical programs. At this stage, we cannot assure you of the safety or tolerability of Temferon as a monotherapy, or of its ability to demonstrate efficacy in humans. The commencement of planned clinical studies could be substantially delayed or prevented by several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with the Italian Medicines Agency (Agenzia italiana del farmaco, or “AIFA”), FDA, EMA, or other regulatory agencies regarding the scope or design of our clinical studies;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number of, and competition for, suitable sites to conduct our clinical studies, many of which may already be engaged in other clinical study programs, including some that may be for the same indication as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drugs for the same indications as our product candidates;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or failure to obtain regulatory approval or agreement to commence a clinical study in any of the countries where enrollment is planned;</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sufficient funds required for a clinical study;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holds on, or other regulatory objections to, a new or ongoing clinical study;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failure in the testing, validation, manufacture and delivery of sufficient supplies of product candidate for our clinical studies;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related to any lingering impact from the COVID-19 pandemic;</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failure to reach agreement on acceptable clinical study agreement terms with prospective sites or CROs, the terms of which can be subject to extensive negotiation and may vary significantly among different sites or CROs; and</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failure to obtain institutional review board (“IRB”) or ethics committee approval to conduct a clinical study at a prospective site.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our clinical studies could in the future be substantially delayed or prevented by several factors, including:</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slower than expected rates of patient recruitment and enrollment, due to factors including, but not limited to, the availability of other drugs to treat potential patients, the unwillingness of patients to participate in low-dose groups of dose-ranging studies and lack of recruitment by clinical study sites;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relating to adding new clinical study sites;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patients to complete the clinical study or return for post-treatment follow-up;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our collaborators to provide us with products necessary for us to conduct our combination studies;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issues, including severe or unexpected drug-related adverse effects experienced by patients, including possible deaths;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AIFA, FDA, EMA, or other regulatory authorities requiring us to suspend or terminate a clinical study, or requiring us to submit additional data or imposing other requirements before permitting us to continue a clinical study;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efficacy during clinical studies;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errors in trial design or conduct;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our clinical studies by one or more clinical study sites;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or unwillingness of patients or clinical investigators to follow our clinical study protocols, including clinical investigators’ failure to comply with our clinical study protocols without our notice;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monitor patients adequately during or after treatment by us and/or our CROs;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repeat or terminate clinical studies as a result of inconclusive or negative results or unforeseen complications in testing.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 and guidance may also occur and we may need to significantly amend clinical study protocols or submit new clinical study protocols to reflect these changes with the appropriate regulatory authorities. In addition, changes in the competitive environment have occurred and may continue to occur. Amendments may require us to renegotiate terms with CROs or resubmit clinical study protocols to IRBs or ethics committees for re-examination, which may impact the costs, timing or successful completion of a clinical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studies may be suspended or terminated at any time by the AIFA, FDA, EMA, other regulatory authorities, the IRBs or ethics committees overseeing the clinical study at issue, any of our clinical study sites, or us, due to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conduct the clinical study in accordance with regulatory requirements or our clinical protocols;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issues or any determination that a clinical study presents unacceptable health risks;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study due to unforeseen costs or other business decisions;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breach or pursuant to the terms of any agreement with, or for any other reason by, current or future collaborators that have responsibility for the clinical development of any of our product candidates;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a new effective treatment for the respective disease or condition that would be considered to be standard of care by regulatory bodies.</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83"/>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development and clinical costs will increase if we experience delays in clinical studies or marketing approvals or if we are required to conduct additional clinical studies or other testing of our product candidates. We may be required to obtain additional funding to conduct and complete such clinical studies. We cannot assure you that our clinical studies will begin as planned or be completed on schedule, if at all, or that we will not need to restructure our trials after they have begun. Significant clinical study delays also could shorten any periods during which we may have the exclusive right to commercialize our product candidates or allow our competitors to bring products to market before we do, which may harm our business and results of operations. Any failure or significant delay in completing clinical studies for our product candidates would adversely affect our ability to obtain regulatory approval and our commercial prospects and ability to generate product revenue will be diminished.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clinical-stage biopharmaceutical company with limited operating history, which may make it difficult for you to evaluate the success of our business to date and to assess our future viability.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losses in every year since our inception. We expect to continue to incur losses over the next several years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products approved for commercial sale, have not generated any revenue from commercial sales of our product candidates, and have incurred losses each year since our inception. Our losses for the years ended December 31, 2023, 2022, and 2021, were approximately €11.6 million, €8.5 million, and €5.5 million, respectively. As of December 31, 2023, we had an accumulated deficit of approximately €47.1 million.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it will be several years, if ever, before we have any product approved for commercial sale. We have funded our operations to date primarily through proceeds from our initial public offering of ADSs and ordinary shares in December 2021 (the “IPO”) and, prior to our IPO, the private placement of ordinary shares to our founding shareholders. We expect to continue to incur significant expenses and increasing operating losses for the foreseeable future. We anticipate that our expenses will increase substantially if, and as, we: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obtain regulatory approval for registration studies for our current product candidate, Temferon, and any additional product candidates that we may pursue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and marketing approvals for our product candidates that successfully complete clinical studies, including obtaining orphan drug designation;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sales, marketing, and distribution infrastructure to commercialize any product candidates for which we may obtain marketing approval;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industrialize our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 into a robust, scalable and, if approved, commercially viable process;</w:t>
            </w:r>
          </w:p>
        </w:tc>
      </w:tr>
    </w:tbl>
    <w:p>
      <w:pPr>
        <w:pStyle w:val="TextBody"/>
        <w:bidi w:val="0"/>
        <w:spacing w:before="0" w:after="0"/>
        <w:ind w:left="0" w:right="0" w:hanging="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protect, and expand our intellectual property portfolio;</w:t>
            </w:r>
          </w:p>
        </w:tc>
      </w:tr>
    </w:tbl>
    <w:p>
      <w:pPr>
        <w:pStyle w:val="TextBody"/>
        <w:bidi w:val="0"/>
        <w:spacing w:before="0" w:after="0"/>
        <w:ind w:left="0" w:right="0" w:hanging="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and retain qualified technical personnel, such as clinical, quality control, commercial and scientific personnel;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infrastructure and facilities to support our operations, including adding equipment and physical infrastructure to support our research and development; and</w:t>
            </w:r>
          </w:p>
        </w:tc>
      </w:tr>
    </w:tbl>
    <w:p>
      <w:pPr>
        <w:pStyle w:val="TextBody"/>
        <w:bidi w:val="0"/>
        <w:spacing w:before="0" w:after="0"/>
        <w:ind w:left="0" w:right="0" w:hanging="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17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associated with operating as a public company.</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generated revenue from product sales and may never be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completing research and pre- and non-clinical development of our products candidates;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and obtaining regulatory and marketing approvals for product candidates for which we complete clinical studies,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tc>
      </w:tr>
    </w:tbl>
    <w:p>
      <w:pPr>
        <w:pStyle w:val="TextBody"/>
        <w:bidi w:val="0"/>
        <w:spacing w:before="0" w:after="0"/>
        <w:ind w:left="0" w:right="0" w:hanging="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negotiating favorable terms in any collaboration, licensing or other arrangements into which we may enter; and</w:t>
            </w:r>
          </w:p>
        </w:tc>
      </w:tr>
    </w:tbl>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market acceptance of our product candidates, if approved for marketing, as viable treatment options.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Product Development, Regulatory Approval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lentivirus ex-vivo gene transfer therapy product candidates are based on a novel technology, which makes it difficult to predict the time and cost of product candidate development and likelihood of subsequently obtaining regulatory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concentrated our research and development efforts on our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cell therapies represent a relatively new field of cellular immunotherapy and cancer treatment generally, developing and commercializing our product candidates subjects us to a number of risks and challenges,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obtaining regulatory approval for our product candidates, as the AIFA, FDA, EMA, and other regulatory authorities have limited experience with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therapies for cancer;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developing and deploying consistent and reliable processes for engineering a patient’s hemapoietic stem progenitor cells (“HSPCs”)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and infusing the engineered HSPCs back into the patient;</w:t>
            </w:r>
          </w:p>
        </w:tc>
      </w:tr>
    </w:tbl>
    <w:p>
      <w:pPr>
        <w:pStyle w:val="TextBody"/>
        <w:bidi w:val="0"/>
        <w:spacing w:before="0" w:after="0"/>
        <w:ind w:left="0" w:right="0" w:hanging="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17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sourcing clinical and, if approved, commercial supplies of the materials used to manufacture our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programming modules with the desired properties, while avoiding adverse reactions;</w:t>
            </w:r>
          </w:p>
        </w:tc>
      </w:tr>
    </w:tbl>
    <w:p>
      <w:pPr>
        <w:pStyle w:val="TextBody"/>
        <w:bidi w:val="0"/>
        <w:spacing w:before="0" w:after="0"/>
        <w:ind w:left="0" w:right="0" w:hanging="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viral vectors capable of delivering multiple programming modules;</w:t>
            </w:r>
          </w:p>
        </w:tc>
      </w:tr>
    </w:tbl>
    <w:p>
      <w:pPr>
        <w:pStyle w:val="TextBody"/>
        <w:bidi w:val="0"/>
        <w:spacing w:before="0" w:after="0"/>
        <w:ind w:left="0" w:right="0" w:hanging="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developing a reliable and consistent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gene modification and manufacturing process;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securing manufacturing capacity suitable for the manufacture of our product candidates in line with expanding enrollment in our clinical studies and our projected commercial requirements;</w:t>
            </w:r>
          </w:p>
        </w:tc>
      </w:tr>
    </w:tbl>
    <w:p>
      <w:pPr>
        <w:pStyle w:val="TextBody"/>
        <w:bidi w:val="0"/>
        <w:spacing w:before="0" w:after="0"/>
        <w:ind w:left="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minimizing and avoiding infection and contamination during production of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protocols for the safe administration of our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educating medical personnel regarding our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technologies and the potential side effect profile of each of our product candidates, such as potential adverse effects related to pyrexia and infections;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establishing integrated solutions in collaboration with specialty treatment centers in order to reduce the burdens and complex logistics commonly associated with the administration of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cell therapies;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obtain any required regulatory approvals, establishing sales and marketing capabilities or partnerships to successfully launch and commercialize our product candidates and gaining market acceptance of a novel therapy; and</w:t>
            </w:r>
          </w:p>
        </w:tc>
      </w:tr>
    </w:tbl>
    <w:p>
      <w:pPr>
        <w:pStyle w:val="TextBody"/>
        <w:bidi w:val="0"/>
        <w:spacing w:before="0" w:after="0"/>
        <w:ind w:left="0" w:right="0" w:hanging="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coverage and adequate reimbursement from third-party payors.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be able to successfully develop our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product candidates or our technology in a manner that will yield products that are safe, effective, scalable, or profitable. Additionally, because our technology involves the genetic modification of patient cells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we are subject to additional regulatory challenges and risks,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regulatory requirements governing gene and cell therapy products are evolving in response to new clinical data. To date, several cell therapy products that involve the genetic modification of patient cells have been approved in the United States and/or the European Union, including two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products;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genetically modified products could lead to lymphoma, leukemia or other cancers, or other aberrantly functioning cells in the event of improper insertion of a gene sequence into a patient’s chromosome, or due to other unknown causes;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viral vectors are not able to replicate, there is a risk with the use of lentiviral vectors that they could lead to new or reactivated pathogenic strains of virus or other infectious diseases;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gene therapy product candidates and the process for administering our product candidates may cause undesirable side effects or have other properties that could delay, prevent their regulatory approval, limit their commercial potential, or result in significant negative consequences following any potential marketing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side effects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Bio’s elivaldogene autotemcel (“Lenti-D”), involving two SUSARs for cases of acute myeloid leukemia (“AML”), and one case involving myelodysplastic syndrome.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the EMA safety committee (Pharmacovigilance Risk Assessment Committee – PRAC) announced that there is no evidence the LVV used in both Lenti-D and the E.U.-approved gene therapy Zynteglo spurred the AML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HSPC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three glioblastoma multiforme (“GBM”) patients died within 122 days due to complications following the conditioning regimens and steroid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deaths and severe adverse events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of our product candidates receives marketing approval, the FDA could require us to adopt a Risk Evaluation and Mitigation Strategy (“REMS”) and EMA or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pStyle w:val="TextBody"/>
        <w:bidi w:val="0"/>
        <w:spacing w:before="0" w:after="0"/>
        <w:ind w:left="0" w:right="0" w:hanging="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suspend or withdraw approvals of such a product candidate;</w:t>
            </w:r>
          </w:p>
        </w:tc>
      </w:tr>
    </w:tbl>
    <w:p>
      <w:pPr>
        <w:pStyle w:val="TextBody"/>
        <w:bidi w:val="0"/>
        <w:spacing w:before="0" w:after="0"/>
        <w:ind w:left="0" w:right="0" w:hanging="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or limitations of use in product labeling;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a product candidate is distributed, dispensed, or administered or conduct additional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 and</w:t>
            </w:r>
          </w:p>
        </w:tc>
      </w:tr>
    </w:tbl>
    <w:p>
      <w:pPr>
        <w:pStyle w:val="TextBody"/>
        <w:bidi w:val="0"/>
        <w:spacing w:before="0" w:after="0"/>
        <w:ind w:left="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17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prevent us from achieving or maintaining market acceptance of our product candidates and could significantly harm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evaluating Temferon in a Phase 1/2a clinical trial in newly diagnosed unmethylated MGMT gene promoter glioblastoma tumor patients (the “TEM-GBM Study”). To date, the TEM-GBM Study is ongoing and not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at a very early stage of development for all our gene therapy product candidates. At this stage, only our lead product candidate Temferon has been authorized by AIFA to be evaluated in a Phase 1/2a clinical trial in Italy. A study testing Temferon in multiple myeloma study was also approved by AIFA, but we closed the study due to lack of enrollment feasibility, rather than clinical events, as no multiple myeloma patients have been treated with Temferon.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commence a clinical trial in the U.S., we will be required to seek FDA acceptance of an investigational new drug application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 Currently, we do not have plans to conduct a clinical trial outside of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with AIFA. If so, the FDA or EMA may require us to obtain and submit additional preclinical, manufacturing, or clinical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complete our Phase 1/2a clinical trial for Temferon, as well as additional clinical trials to obtain regulatory approvals to market Temferon. Carrying out later-stage clinical trials is a complicated process. We are a small organization with limited experience in preparing, submitting, and prosecuting regulatory filings, and we have not previously submitted a BLA to the FDA or the equivalent application to EMA for any product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not yet conducted clinical trials of any our product candidates in the U.S. or Europe (outside of Italy),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(or its equivalent for EMA)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encounter substantial delays in commencement and completion of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several reasons, including:</w:t>
      </w:r>
    </w:p>
    <w:p>
      <w:pPr>
        <w:pStyle w:val="TextBody"/>
        <w:bidi w:val="0"/>
        <w:spacing w:before="0" w:after="0"/>
        <w:ind w:left="0" w:right="0" w:hanging="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a consensus with regulatory agencies on study design;</w:t>
            </w:r>
          </w:p>
        </w:tc>
      </w:tr>
    </w:tbl>
    <w:p>
      <w:pPr>
        <w:pStyle w:val="TextBody"/>
        <w:bidi w:val="0"/>
        <w:spacing w:before="0" w:after="0"/>
        <w:ind w:left="0" w:right="0" w:hanging="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 and guidance that require amending or submitting new clinical protocols;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obtaining regulatory approval to commence a clinical trial or complying with conditions imposed by a regulatory authority regarding the scope or term of a clinical trial;</w:t>
            </w:r>
          </w:p>
        </w:tc>
      </w:tr>
    </w:tbl>
    <w:p>
      <w:pPr>
        <w:pStyle w:val="TextBody"/>
        <w:bidi w:val="0"/>
        <w:spacing w:before="0" w:after="0"/>
        <w:ind w:left="0" w:right="0" w:hanging="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obtaining IRB approval to conduct a clinical trial at a prospective site in the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perform in accordance with the FDA’s good clinical practices (“GCP”) or applicable regulatory guidelines in other countries;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or failing to reach agreement on acceptable terms with prospective CROs and trial sites, the terms of which can be subject to extensive negotiation and may vary significantly among different CROs and trial sites;</w:t>
            </w:r>
          </w:p>
        </w:tc>
      </w:tr>
    </w:tbl>
    <w:p>
      <w:pPr>
        <w:pStyle w:val="TextBody"/>
        <w:bidi w:val="0"/>
        <w:spacing w:before="0" w:after="0"/>
        <w:ind w:left="0" w:right="0" w:hanging="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17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CROs, other third parties or us to adhere to clinical trial protocol and record keeping requirements;</w:t>
            </w:r>
          </w:p>
        </w:tc>
      </w:tr>
    </w:tbl>
    <w:p>
      <w:pPr>
        <w:pStyle w:val="TextBody"/>
        <w:bidi w:val="0"/>
        <w:spacing w:before="0" w:after="0"/>
        <w:ind w:left="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17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trial sites or patients dropping out of a study;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serious adverse events associated with the product candidate that are viewed to outweigh its potential benefits;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or inadequate supply or quality of a product candidate or other materials necessary to conduct our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testing, validation, manufacturing and delivery of our product candidates to the clinical sites; and</w:t>
            </w:r>
          </w:p>
        </w:tc>
      </w:tr>
    </w:tbl>
    <w:p>
      <w:pPr>
        <w:pStyle w:val="TextBody"/>
        <w:bidi w:val="0"/>
        <w:spacing w:before="0" w:after="0"/>
        <w:ind w:left="0" w:right="0" w:hanging="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or EMA or other regulatory authorities elect to enact policy changes.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may also be delayed or terminated because of ambiguous or negative interim results. In addition, a clinical trial may be suspended or terminated by us, AIFA, the FDA, EMA, the IRBs at the sites where the IRBs are overseeing a trial, a data safety monitoring board overseeing the clinical trial at issue or by other regulatory authorities due to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conduct the clinical trial in accordance with regulatory requirements or our clinical protocols;</w:t>
            </w:r>
          </w:p>
        </w:tc>
      </w:tr>
    </w:tbl>
    <w:p>
      <w:pPr>
        <w:pStyle w:val="TextBody"/>
        <w:bidi w:val="0"/>
        <w:spacing w:before="0" w:after="0"/>
        <w:ind w:left="0" w:right="0" w:hanging="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of the clinical trial operations or trial sites by AIFA, the FDA, EMA or other regulatory authorities;</w:t>
            </w:r>
          </w:p>
        </w:tc>
      </w:tr>
    </w:tbl>
    <w:p>
      <w:pPr>
        <w:pStyle w:val="TextBody"/>
        <w:bidi w:val="0"/>
        <w:spacing w:before="0" w:after="0"/>
        <w:ind w:left="0" w:right="0" w:hanging="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safety issues or lack of effectiveness; and</w:t>
            </w:r>
          </w:p>
        </w:tc>
      </w:tr>
    </w:tbl>
    <w:p>
      <w:pPr>
        <w:pStyle w:val="TextBody"/>
        <w:bidi w:val="0"/>
        <w:spacing w:before="0" w:after="0"/>
        <w:ind w:left="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trial.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 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becomes available. In general, we conduct interim analyses at pre-specified times, which do not include data after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becomes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Several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find it difficult to enroll patients in our clinical trials, which could delay or prevent us from proceeding with clinical trials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and the ability to obtain and maintain subject consent, as well as the risk that enrolled subjects will drop out before completion of the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patients are unwilling to participate in our studies for any reason, the timeline for recruiting patients, conducting studies, and obtaining regulatory approval of potential product candidates will be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results of clinical trials conducted at clinical sites outside the U.S. may not be accepted by the FDA and the results of clinical trials conducted at clinical sites in the U.S. may not be accepted by international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our only ongoing recruiting clinical trial has been conducted in Italy but we are eventually planning to globally develop Temferon, including in the U.S. Although the FDA may accept data from clinical trials conducted outside the U.S.,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in Italy or outside of the location in which each regulatory authority is based as adequate support of a marketing application in each jurisdiction. If the FDA does not accept the data from sites in our Italian conducted clinical trials, or if international regulatory authorities do not accept the data from our future U.S. clinical trials, it would likely result in the need for additional trials, which would be costly and time-consuming and could delay or permanently halt the development of one or more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initiate, enroll and complete a clinical trial in any foreign country including the U.S., is subject to numerous risks unique to conducting business in foreign countries, including:</w:t>
      </w:r>
    </w:p>
    <w:p>
      <w:pPr>
        <w:pStyle w:val="TextBody"/>
        <w:bidi w:val="0"/>
        <w:spacing w:before="0" w:after="0"/>
        <w:ind w:left="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establishing or managing relationships with CROs and physicians;</w:t>
            </w:r>
          </w:p>
        </w:tc>
      </w:tr>
    </w:tbl>
    <w:p>
      <w:pPr>
        <w:pStyle w:val="TextBody"/>
        <w:bidi w:val="0"/>
        <w:spacing w:before="0" w:after="0"/>
        <w:ind w:left="0" w:right="0" w:hanging="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standards for the conduct of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in some countries of established groups with sufficient regulatory expertise for review of gene therapy protocols;</w:t>
            </w:r>
          </w:p>
        </w:tc>
      </w:tr>
    </w:tbl>
    <w:p>
      <w:pPr>
        <w:pStyle w:val="TextBody"/>
        <w:bidi w:val="0"/>
        <w:spacing w:before="0" w:after="0"/>
        <w:ind w:left="0"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locate qualified local consultants, physicians and partners;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burden of complying with a variety of laws, medical standards and regulatory requirements, including the regulation of pharmaceutical and biotechnology products and treatment.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methods of product candidate manufacturing or formulation may result in additional costs or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product candidates proceed through preclinical studies to late-stage clinical trials towards potential approval and commercialization, it is common that various aspects of the development program, such as manufacturing methods and formulation, are altered along the way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complete the necessary preclinical and clinical studies, we cannot predict when or if we will obtain regulatory approval to commercialize a product candidate and the approval may be for a narrower indication than we seek.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seek designations for our product candidates with the FDA, EMA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EMA,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a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FDA ultimate approval. The FDA may withdraw Fast Track Designation if it believes that the designation is no longer supported by data from our clinical development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seek a regenerative medicine advanced therapy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seek a conditional marketing authorization in Europe for some or all of our current product candidates, but we may not be able to obtain or maintain such a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marketing authorization process, EMA may grant marketing authorizations for certain categories of medicinal products based on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conditional marketing authorization may be granted when the CHMP finds that, although comprehensive clinical data referring to the safety and efficacy of the medicinal product have not been supplied, all the following requirements are met:</w:t>
      </w:r>
    </w:p>
    <w:p>
      <w:pPr>
        <w:pStyle w:val="TextBody"/>
        <w:bidi w:val="0"/>
        <w:spacing w:before="0" w:after="0"/>
        <w:ind w:left="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risk-benefit balance of the medicinal product is positive;</w:t>
            </w:r>
          </w:p>
        </w:tc>
      </w:tr>
    </w:tbl>
    <w:p>
      <w:pPr>
        <w:pStyle w:val="TextBody"/>
        <w:bidi w:val="0"/>
        <w:spacing w:before="0" w:after="0"/>
        <w:ind w:left="0" w:right="0" w:hanging="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 will provide the comprehensive clinical data post-authorization;</w:t>
            </w:r>
          </w:p>
        </w:tc>
      </w:tr>
    </w:tbl>
    <w:p>
      <w:pPr>
        <w:pStyle w:val="TextBody"/>
        <w:bidi w:val="0"/>
        <w:spacing w:before="0" w:after="0"/>
        <w:ind w:left="0" w:right="0" w:hanging="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unmet medical needs will be fulfilled;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 to public health of the immediate availability on the market of the medicinal product concerned outweighs the risk inherent in the fact that additional data is still required.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received orphan drug designation for Temferon for the treatment of GBM and we may seek orphan drug designation for additional indications and for other product candidates. We may be unable to obtain orphan drug designation for our product candidates and, even if we obtain such designation, we may not be able to realize the benefits of such designation, including potential marketing exclusivity of our product candidates, if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in some jurisdictions, including the U.S.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U.S. or a patient population of 200,000 or more individuals in the U.S., but for which there is no reasonable expectation that the cost of developing the drug will be recovered from sales in the U.S.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Temferon has been granted orphan drug designation in the U.S. and E.U. for the treatment of GBM. If we request orphan drug designation from the FDA for Temferon for additional indications, if we request the international equivalent from the applicable regulatory authorities for Temferon or if we request orphan drug designation or the international equivalent for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a product candidate with an orphan drug designation subsequently receives the first marketing approval for the indication for which it has such designation, the drug may be entitled to a period of marketing exclusivity, which precludes the FDA or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applicant can establish in its application that its medicinal product, although similar to the orphan medicinal product already authorized, is safer, more effective or otherwise clinically superior;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the marketing authorization for the original orphan medicinal product consents to a second orphan medicinal product application;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the marketing authorization for the original orphan medicinal product cannot supply enough orphan medicinal product.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and maintain regulatory approval for a product candidate, our products will remain subject to ongoing regulatory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EMA, or comparable foreign regulatory authorities, Department of Justice, Department of Health and Human Services’ Office of Inspector General, state attorneys general, members of Congress, and the public. When the FDA, EMA, or comparable foreign regulatory authorities issue regulatory approval for a product candidate, the regulatory approval is limited to those specific uses and indications for which a product is approved. If we are not able to obtain FDA, EMA,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EMA, or a comparable foreign regulatory authority’s strict requirements regarding the content of promotion and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EMA, or comparable foreign regulatory authorities.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U.S. federal government has levied large civil and criminal fines against companies for alleged improper promotion and has enjoined several companies from engaging in off-label promotion. The FDA has also requested that companies enter consent decrees or permanent injunctions under which specified promotional conduct is changed or curtailed.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for medicinal products are consistent with the product’s Summary of Product Characteristics (“SmPC”) as approved by the competent authorities. The SmPC is a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 manufacturers and their facilities are subject to payment of user fees and continual review and periodic inspections by the FDA, EMA, and other regulatory authorities for compliance with current good manufacturing practices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applicable regulatory requirements, a regulatory authority may:</w:t>
      </w:r>
    </w:p>
    <w:p>
      <w:pPr>
        <w:pStyle w:val="TextBody"/>
        <w:bidi w:val="0"/>
        <w:spacing w:before="0" w:after="0"/>
        <w:ind w:left="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an untitled letter or warning letter that we are in violation of the law;</w:t>
            </w:r>
          </w:p>
        </w:tc>
      </w:tr>
    </w:tbl>
    <w:p>
      <w:pPr>
        <w:pStyle w:val="TextBody"/>
        <w:bidi w:val="0"/>
        <w:spacing w:before="0" w:after="0"/>
        <w:ind w:left="0" w:right="0" w:hanging="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an injunction or impose administrative, civil or criminal penalties or monetary fines;</w:t>
            </w:r>
          </w:p>
        </w:tc>
      </w:tr>
    </w:tbl>
    <w:p>
      <w:pPr>
        <w:pStyle w:val="TextBody"/>
        <w:bidi w:val="0"/>
        <w:spacing w:before="0" w:after="0"/>
        <w:ind w:left="0" w:right="0" w:hanging="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withdraw regulatory approval;</w:t>
            </w:r>
          </w:p>
        </w:tc>
      </w:tr>
    </w:tbl>
    <w:p>
      <w:pPr>
        <w:pStyle w:val="TextBody"/>
        <w:bidi w:val="0"/>
        <w:spacing w:before="0" w:after="0"/>
        <w:ind w:left="0" w:right="0" w:hanging="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any ongoing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approve BLA or comparable foreign marketing application (or any supplements thereto) submitted by us or our strategic partners;</w:t>
            </w:r>
          </w:p>
        </w:tc>
      </w:tr>
    </w:tbl>
    <w:p>
      <w:pPr>
        <w:pStyle w:val="TextBody"/>
        <w:bidi w:val="0"/>
        <w:spacing w:before="0" w:after="0"/>
        <w:ind w:left="0" w:right="0" w:hanging="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the marketing or manufacturing of the product;</w:t>
            </w:r>
          </w:p>
        </w:tc>
      </w:tr>
    </w:tbl>
    <w:p>
      <w:pPr>
        <w:pStyle w:val="TextBody"/>
        <w:bidi w:val="0"/>
        <w:spacing w:before="0" w:after="0"/>
        <w:ind w:left="0" w:right="0" w:hanging="0"/>
        <w:jc w:val="both"/>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seize or detain the products or require the withdrawal of the product from the market;</w:t>
            </w:r>
          </w:p>
        </w:tc>
      </w:tr>
    </w:tbl>
    <w:p>
      <w:pPr>
        <w:pStyle w:val="TextBody"/>
        <w:bidi w:val="0"/>
        <w:spacing w:before="0" w:after="0"/>
        <w:ind w:left="0" w:right="0" w:hanging="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permit the import or export of the products; or</w:t>
            </w:r>
          </w:p>
        </w:tc>
      </w:tr>
    </w:tbl>
    <w:p>
      <w:pPr>
        <w:pStyle w:val="TextBody"/>
        <w:bidi w:val="0"/>
        <w:spacing w:before="0" w:after="0"/>
        <w:ind w:left="0" w:right="0" w:hanging="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allow us to enter supply contracts, including government contracts.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our processes, quality systems,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E.U. legislation related to pharmacovigilance, or the assessment and monitoring of the safety of medicinal products, provides that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collaborations or alternative transactions and arrangements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 party to perform marketing and sales functions, we may be unable to compete successfully against these more established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any of our product candidates receives marketing approval, it may fail to achieve the degree of market acceptance by physicians, patients, third party payors and others in the medical community necessary for commercial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Temferon will depend upon the acceptance of each product by the medical community, including physicians, patients, and third party payors. The degree of market acceptance of any approved product will depend on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of the product;</w:t>
            </w:r>
          </w:p>
        </w:tc>
      </w:tr>
    </w:tbl>
    <w:p>
      <w:pPr>
        <w:pStyle w:val="TextBody"/>
        <w:bidi w:val="0"/>
        <w:spacing w:before="0" w:after="0"/>
        <w:ind w:left="0" w:right="0" w:hanging="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advantages of the product compared to available therapies;</w:t>
            </w:r>
          </w:p>
        </w:tc>
      </w:tr>
    </w:tbl>
    <w:p>
      <w:pPr>
        <w:pStyle w:val="TextBody"/>
        <w:bidi w:val="0"/>
        <w:spacing w:before="0" w:after="0"/>
        <w:ind w:left="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convenience and ease of administration compared to alternative treatments;</w:t>
            </w:r>
          </w:p>
        </w:tc>
      </w:tr>
    </w:tbl>
    <w:p>
      <w:pPr>
        <w:pStyle w:val="TextBody"/>
        <w:bidi w:val="0"/>
        <w:spacing w:before="0" w:after="0"/>
        <w:ind w:left="0" w:right="0" w:hanging="0"/>
        <w:jc w:val="both"/>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including use restrictions contained in the product’s approved labeling;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 use restrictions imposed by the FDA, the EMA or other regulatory authority or agreed to by us as part of a mandatory or voluntary risk management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alternative treatments, including competitive products expected to be commercially launched in the near future;</w:t>
            </w:r>
          </w:p>
        </w:tc>
      </w:tr>
    </w:tbl>
    <w:p>
      <w:pPr>
        <w:pStyle w:val="TextBody"/>
        <w:bidi w:val="0"/>
        <w:spacing w:before="0" w:after="0"/>
        <w:ind w:left="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cost effectiveness in relation to alternative treatments;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product is included under physician treatment guidelines as a first-, second-, or third line therapy;</w:t>
            </w:r>
          </w:p>
        </w:tc>
      </w:tr>
    </w:tbl>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sales, marketing and distribution support;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third-party coverage and adequate reimbursement and the willingness of patients to pay out-of-pocket in the absence of coverage by third-party payors;</w:t>
            </w:r>
          </w:p>
        </w:tc>
      </w:tr>
    </w:tbl>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sales, marketing and distribution support;</w:t>
            </w:r>
          </w:p>
        </w:tc>
      </w:tr>
    </w:tbl>
    <w:p>
      <w:pPr>
        <w:pStyle w:val="TextBody"/>
        <w:bidi w:val="0"/>
        <w:spacing w:before="0" w:after="0"/>
        <w:ind w:left="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for drugs out of pocket in the absence of third party coverage; and</w:t>
            </w:r>
          </w:p>
        </w:tc>
      </w:tr>
    </w:tbl>
    <w:p>
      <w:pPr>
        <w:pStyle w:val="TextBody"/>
        <w:bidi w:val="0"/>
        <w:spacing w:before="0" w:after="0"/>
        <w:ind w:left="0" w:right="0" w:hanging="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new therapies and of physicians to prescribe these therapies.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choose to collaborate with third parties that have direct sales forces and established distribution systems, either to augment our own sales force and distribution systems or in lieu of our own sales force and distribution systems. If we enter collaborations or alternative transactions or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can commercialize any product candidates, the products may become subject to unfavorable pricing regulations or third-party coverage and reimbursement policies, any of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adequate reimbursement for our products may be difficult. We cannot be certain if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around the world, is cost containment. Government authorities and third party payors have attempted to control costs by limiting coverage and the amount of reimbursement for medications. Increasingly, third 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significant delays in obtaining reimbursement for newly approved drugs, and coverage may be more limited than the purposes for which the drug is approved by the FDA, EMA, or other regulatory authorities outside the U.S.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U.S. or in other countries, will be considered medically necessary or cost-effective for a specific indication, or that coverage or an adequate level of reimbursement will be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around the world, and any approval we are granted for our product candidates in Italy would not assure approval of product candidates in other jurisdictions, including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market any products outside of Italy, we must establish and comply with numerous and varying regulatory requirements of other countries, including but not limited to the U.S., regarding clinical trial design, safety, and efficacy. The research, testing, manufacturing, labeling, approval, sale, marketing, and distribution of drugs are subject to extensive regulation by regulatory authorities.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AIFA grants marketing approval of a product candidate, comparable regulatory authorities in foreign jurisdictions, including the FDA, must also approve the manufacturing, marketing, and promotion of the product candidate in those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procedures vary among jurisdictions and can involve requirements and administrative review periods different from those in Italy, including additional non-clinical studies or clinical trials as investigations conducted in one jurisdiction may not be accepted by regulatory authorities in other jurisdictions. In many jurisdictions,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a product candidate in Italy by AIFA does not ensure approval of such product candidate by the FDA, EMA, or other regulatory authorities in other countries or jurisdictions, and approval by EMA or another regulatory authority does not ensure approval by regulatory authorities in other foreign countries or by the FDA. Sales of our product candidates outside of the U.S.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U.S., including additional preclinical studies or clinical trials. In many countries outside the U.S., a product candidate must be approved for reimbursement before it can be approved for sale in that country. In some cases, the price that we intend to charge for our products, if approved, is also subject to approval. We intend to submit an MAA to EMA for approval of our product candidates in the E.U.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U.S. and E.U.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do not have any products approved for sale in any jurisdiction, including international markets, and we do not have experience in obtaining regulatory approval. If we, or any third parties with whom we work, fail to comply with regulatory requirements in the U.S.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because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rapidly changing industry and face significant competition, which may result in others discovering, developing, or commercializing products before or more successfully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several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face competition sooner than anticipated from biosimilar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achieving regulatory approval to commercialize a product candidate faster than our competitors, our product candidates may face competition from biosimilar products. In the U.S., our product candidates are regulated by the FDA as biologic products, and we intend to seek approval for these product candidates pursuant to the BLA pathway. The Biologics Price Competition and Innovation Act of 2009 (the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like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Europe, the European Commission has granted marketing authorizations for several biosimilar products pursuant to a set of general and product class-specific guidelines for biosimilar approvals issued over the past few years. In the European Economic Area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competitors can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product liability lawsuits are brought against us, we may incur substantial liabilities, even if we have appropriate insurance policies, and we may be required to limit commercialization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pStyle w:val="TextBody"/>
        <w:bidi w:val="0"/>
        <w:spacing w:before="0" w:after="0"/>
        <w:ind w:left="0" w:right="0" w:hanging="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clinical trial sites or entire trial programs;</w:t>
            </w:r>
          </w:p>
        </w:tc>
      </w:tr>
    </w:tbl>
    <w:p>
      <w:pPr>
        <w:pStyle w:val="TextBody"/>
        <w:bidi w:val="0"/>
        <w:spacing w:before="0" w:after="0"/>
        <w:ind w:left="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negative media attention;</w:t>
            </w:r>
          </w:p>
        </w:tc>
      </w:tr>
    </w:tbl>
    <w:p>
      <w:pPr>
        <w:pStyle w:val="TextBody"/>
        <w:bidi w:val="0"/>
        <w:spacing w:before="0" w:after="0"/>
        <w:ind w:left="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or increased warnings on product labels;</w:t>
            </w:r>
          </w:p>
        </w:tc>
      </w:tr>
    </w:tbl>
    <w:p>
      <w:pPr>
        <w:pStyle w:val="TextBody"/>
        <w:bidi w:val="0"/>
        <w:spacing w:before="0" w:after="0"/>
        <w:ind w:left="0" w:right="0" w:hanging="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p>
      <w:pPr>
        <w:pStyle w:val="TextBody"/>
        <w:bidi w:val="0"/>
        <w:spacing w:before="0" w:after="0"/>
        <w:ind w:left="0" w:right="0" w:hanging="0"/>
        <w:jc w:val="both"/>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17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to defend the related litigation;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and our resources;</w:t>
            </w:r>
          </w:p>
        </w:tc>
      </w:tr>
    </w:tbl>
    <w:p>
      <w:pPr>
        <w:pStyle w:val="TextBody"/>
        <w:bidi w:val="0"/>
        <w:spacing w:before="0" w:after="0"/>
        <w:ind w:left="0" w:right="0" w:hanging="0"/>
        <w:jc w:val="both"/>
        <w:rPr>
          <w:caps w:val="false"/>
          <w:smallCaps w:val="false"/>
        </w:rPr>
      </w:pPr>
      <w:r>
        <w:rPr>
          <w:caps w:val="false"/>
          <w:smallCaps w:val="false"/>
        </w:rPr>
        <w:t> </w:t>
      </w:r>
    </w:p>
    <w:tbl>
      <w:tblPr>
        <w:tblW w:w="9288" w:type="dxa"/>
        <w:jc w:val="left"/>
        <w:tblInd w:w="0" w:type="dxa"/>
        <w:tblLayout w:type="fixed"/>
        <w:tblCellMar>
          <w:top w:w="0" w:type="dxa"/>
          <w:left w:w="0" w:type="dxa"/>
          <w:bottom w:w="0" w:type="dxa"/>
          <w:right w:w="0" w:type="dxa"/>
        </w:tblCellMar>
      </w:tblPr>
      <w:tblGrid>
        <w:gridCol w:w="38"/>
        <w:gridCol w:w="17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or costly settlements with, clinical trial participants, patients or other claimants;</w:t>
            </w:r>
          </w:p>
        </w:tc>
      </w:tr>
    </w:tbl>
    <w:p>
      <w:pPr>
        <w:pStyle w:val="TextBody"/>
        <w:bidi w:val="0"/>
        <w:spacing w:before="0" w:after="0"/>
        <w:ind w:left="0" w:right="0" w:hanging="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insurance premiums;</w:t>
            </w:r>
          </w:p>
        </w:tc>
      </w:tr>
    </w:tbl>
    <w:p>
      <w:pPr>
        <w:pStyle w:val="TextBody"/>
        <w:bidi w:val="0"/>
        <w:spacing w:before="0" w:after="0"/>
        <w:ind w:left="0" w:right="0" w:hanging="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initiation of investigations by regulators or other authorities; and</w:t>
            </w:r>
          </w:p>
        </w:tc>
      </w:tr>
    </w:tbl>
    <w:p>
      <w:pPr>
        <w:pStyle w:val="TextBody"/>
        <w:bidi w:val="0"/>
        <w:spacing w:before="0" w:after="0"/>
        <w:ind w:left="0" w:right="0" w:hanging="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successfully commercialize our product candidates, if approved.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 therapies are novel, complex and difficult to manufacture. We could experience production problems that result in delays in our development or commercialization programs or otherwise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Biological products are inherently difficult to manufacture, and gene therapy products are complex biological products, the development and manufacture of which necessitates substantial expertise and capital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 Temferon, is being studied for GBM patients with unmethylated methylguanine methyltransferase (“MGMT”) status, as determined by a laboratory test. If approved for use only in uMGMT-GBM patients, use of such a laboratory test would be required for each patient before treatment with Temferon. There are several currently 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certain of our drug products for clinical trials. We expect this CMO will be capable of providing enough of our viral vectors and gene therapy products to meet the anticipated scales for our clinical trials, in due course, and commercial demands, if approved. However, to meet our projected needs for further commercial manufacturing and large-scale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Delays in obtaining regulatory approval of our or our CMOs’ manufacturing process and facility or disruptions in our manufacturing process may delay or disrupt our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can begin to commercially manufacture our viral vector or product candidates in our own facility, or the facility of a CMO, we must obtain regulatory approval from AIFA and eventually the FDA, EMA, or other regulatory authorities for our manufacturing processes and for the facility in which manufacturing is performed. A manufacturing authorization must also be obtained from the appropriate regulatory authorities. In addition, we must pass a pre-approval inspection of our or our CMOs manufacturing facility by AIFA, the FDA, EMA, or other relevant regulatory authorities before any of our gene therapy product candidates can obtain marketing approval.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will be subject to possible regulatory action and may not be permitted to sell any products that we may develop.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ongoing regulatory requirements could cause us to suspend production or put in place costly or time-consuming remedial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authorities may, at any time following approval of a product for sale, audit the manufacturing facilities for such a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CMOs or we fail to comply with applicable GMP regulations, AIFA, the FDA, EMA or other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certain drug products.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nature of biological manufacturing, there is a risk of contamination in our manufacturing processes. Any contamination could materially adversely affect our ability to produce product candidates on schedule and could, therefore, harm the results of operations and cause reputational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customs or other events, and is not delivered to the clinical site within the time period that the very low temperature is maintained, the drug product may be unsuitable for administration to the patient or harmful.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gene therapies are for autologous use only. Therefore, if a drug product is administered to the wrong patient, the patient could suffer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focus on developing our current product candidates may not yield any commercially viable products, and our failure to successfully identify and develop additional product candidates could impair our ability to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intend to identify, develop, and market additional product candidates beyond our existing product candidate, namely Temferon. We may spend several years completing our development of any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collaborations, licensing arrangements, joint ventures, strategic alliances, partnerships,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current or future product candidates may not demonstrate in patients any or all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unsuccessful in our development efforts, we may not be able to advance the development of our product candidates, commercialize products, raise capital, expand our business, or continue our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utilize, and expect to continue to utilize, third parties to conduct some or all aspects of our vector production and product manufacturing for the foreseeable future, and these third parties may not perform satisfactorily.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our CMO to produce our viral vectors and certain of our drug products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AIFA, the FDA, EMA, or other regulatory agencies may refuse to accept our clinical or preclinical data. In such instances, we may need to enter an appropriate replacement third 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 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to produce our product candidates. Furthermore, demand for CMO GMP manufacturing capabilities may grow at a faster rate than existing manufacturing capacity, which could disrupt our ability to find and retain third party manufacturers capable of producing sufficient quantities of our viral vectors or product candidates for future clinical trials or to meet expected initial commercial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our current CMO is entitled to terminate its engagements with us. If we need to enter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and/or drug product in the future and to perform quality testing, and reliance on these third parties entails risks including:</w:t>
      </w:r>
    </w:p>
    <w:p>
      <w:pPr>
        <w:pStyle w:val="TextBody"/>
        <w:bidi w:val="0"/>
        <w:spacing w:before="0" w:after="0"/>
        <w:ind w:left="0" w:right="0" w:hanging="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control for certain aspects of manufacturing activities;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manufacturing and service agreements with third parties in a manner or at a time that is costly or damaging to 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to the operations of our third-party manufacturers and service providers caused by conditions unrelated to our business or operations, including the bankruptcy of the manufacturer or service provider.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lead to clinical trial delays or failure to obtain regulatory approval or impact our ability to successfully commercialize any of our product candidates. Some of these events could be the basis for AIFA, the FDA, EMA, or other regulatory authority action, including injunction, recall, seizure or total or partial suspension of product manufacture.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independently conduct all aspects of our lentiviral vector protocol development, research, and preclinical and clinical testing. We currently rely, and plan to continue to rely, upon third party CROs to monitor and manage data for our ongoing preclinical and clinical programs. Pursuant to the amended and restated license agreement with OSR,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GCP, and Good Laboratory Practices (“GLP”), which are regulations and guidelines enforced by the FDA, the Competent Authorities of the Member States of the EEA, and comparable foreign regulatory authorities for all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AIFA, the FDA,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Our failure to comply with these regulations may require us to repeat clinical studies, which would delay the regulatory approval process.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collaborators and contract manufacturers are subject to significant regulation with respect to manufacturing our product candidates. The manufacturing facilities on which we rely may not meet regulatory requirements and have limited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 BLA or MAA on a timely basis and must adhere to GLP and GMP regulations enforced by AIFA, the FDA, EMA, and other regulatory authorities through their facilities inspection program. The facilities and quality systems of some or all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a limited number of suppliers and, in some instances, a sole supplier, for some of our components and materials used in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depend on a limited number of suppliers and, in some instances, a sole supplier, for some of the components and equipment necessary to produce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can find a replacement supplier, the replacement supplier would need to be qualified and may require additional regulatory authority approval, which could result in further delay. For example, AIFA, the FDA, EMA, or other regulatory authorities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part of the regulatory process for approval of our product candidates, the regulatory authorities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these suppliers subjects us to a number of risks that could harm our reputation, business, and financial condition, including, among other things:</w:t>
      </w:r>
    </w:p>
    <w:p>
      <w:pPr>
        <w:pStyle w:val="TextBody"/>
        <w:bidi w:val="0"/>
        <w:spacing w:before="0" w:after="0"/>
        <w:ind w:left="0" w:right="0" w:hanging="0"/>
        <w:jc w:val="both"/>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17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interruption of supply resulting from modifications to or discontinuation of a supplier’s operations;</w:t>
            </w:r>
          </w:p>
        </w:tc>
      </w:tr>
    </w:tbl>
    <w:p>
      <w:pPr>
        <w:pStyle w:val="TextBody"/>
        <w:bidi w:val="0"/>
        <w:spacing w:before="0" w:after="0"/>
        <w:ind w:left="0" w:right="0" w:hanging="0"/>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product shipments resulting from uncorrected defects, reliability issues, or a supplier’s variation in a component;</w:t>
            </w:r>
          </w:p>
        </w:tc>
      </w:tr>
    </w:tbl>
    <w:p>
      <w:pPr>
        <w:pStyle w:val="TextBody"/>
        <w:bidi w:val="0"/>
        <w:spacing w:before="0" w:after="0"/>
        <w:ind w:left="0" w:right="0" w:hanging="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lack of long-term supply arrangements for key components with our suppliers;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obtain adequate supply in a timely manner, or to obtain adequate supply on commercially reasonable terms;</w:t>
            </w:r>
          </w:p>
        </w:tc>
      </w:tr>
    </w:tbl>
    <w:p>
      <w:pPr>
        <w:pStyle w:val="TextBody"/>
        <w:bidi w:val="0"/>
        <w:spacing w:before="0" w:after="0"/>
        <w:ind w:left="0" w:right="0" w:hanging="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17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associated with locating and qualifying alternative suppliers for our components in a timely manner;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delays related to the evaluation and testing of products from alternative suppliers, and corresponding regulatory qualifications;</w:t>
            </w:r>
          </w:p>
        </w:tc>
      </w:tr>
    </w:tbl>
    <w:p>
      <w:pPr>
        <w:pStyle w:val="TextBody"/>
        <w:bidi w:val="0"/>
        <w:spacing w:before="0" w:after="0"/>
        <w:ind w:left="0" w:right="0" w:hanging="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delay in delivery due to our suppliers prioritizing other customer orders over ours;</w:t>
            </w:r>
          </w:p>
        </w:tc>
      </w:tr>
    </w:tbl>
    <w:p>
      <w:pPr>
        <w:pStyle w:val="TextBody"/>
        <w:bidi w:val="0"/>
        <w:spacing w:before="0" w:after="0"/>
        <w:ind w:left="0" w:right="0" w:hanging="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reputation caused by defective components produced by our suppliers;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 of our warranty program due to product repair or replacement based upon defects in components produced by our suppliers; and</w:t>
            </w:r>
          </w:p>
        </w:tc>
      </w:tr>
    </w:tbl>
    <w:p>
      <w:pPr>
        <w:pStyle w:val="TextBody"/>
        <w:bidi w:val="0"/>
        <w:spacing w:before="0" w:after="0"/>
        <w:ind w:left="0" w:right="0" w:hanging="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 in delivery by our suppliers due to changes in demand from us or their other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costs could significantly increase and our ability to conduct our clinical trials and, if our product candidates are approved, to meet demand for our products could be impacted.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collaborations, licensing arrangements, joint ventures, strategic alliances, or partnerships that we may enter in the future may not be successful, which could adversely affect our ability to develop and commercialize our current and potential future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collaborations, licensing arrangements, joint ventures, strategic alliances or partnerships with biotechnology or pharmaceutical companies or other third parties for the development or commercialization of our current and potential future product candidates. We may enter these transactions or arrangements on a selective basis depending on the merits of retaining commercialization rights for ourselves as compared to entering selective transactions or arrangements with other biotechnology or pharmaceutical companies or other third parties for each product candidate, both in the U.S. and internationally. To the extent that we decide to enter these transactions or arrangements, we will face significant competition in seeking appropriate collaborators. Moreover, collaborations or alternative transactions or arrangements are complex, and time consuming to negotiate, document and implement. We may not be successful in our efforts to establish and implement collaborations or other alternative transactions or arrangements should we choose to enter into such transactions or arrangements. The terms of any collaborations or other transactions or arrangements that we may establish may not be favorable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not be able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the ownership or control of intellectual property developed during the collaboration or the scope of our or our collaborators’ other rights or obligations related to development or commercialization activities. If any conflicts arise with our current or future collaborators, they may act in their self-interest, which may be averse to our best interest, and they may breach their obligations to us. In addition, we have limited control over the amount and timing of resources that our current collaborators or any future collaborators devote to our collaborators’ or our future products. Disagreements between us and our collaborators can lead to delays in the development process or commercializing the applicable product candidate or product, may result in litigation or arbitration, which would increase our expenses and divert the attention of our management, and may result in termination or dissolution of the transaction or arrangement and, in such event, we may not continue to have rights to the product candidate or products relating to such transaction or arrangement or may need to purchase such rights at a premium. These disagreements can be difficult to resolve if neither of the parties has final decision-making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third parties requires us to share our trade secrets, which increases the possibility that a competitor will discover them or that our trade secrets will be misappropriated or otherwise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if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depend on a license agreement with OSR to permit us to use patents and patent applications, as well as to exploit specific OSR know-how. Termination of these rights or the failure to comply with obligations under this agreement could materially harm our business and prevent us from developing or commercializing our product candidates (Temferon in particular).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an amended and restated license agreement (the “ARLA”)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the ARLA.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ARLA imposes upon us various diligence, payment and other obligations,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 to pay OSR various milestone payments upon the achievement of certain milestone events, such as the initiation of different phases of clinical trials of a licensed product, MAA approval by a major market country, MAA approval in the U.S., the first commercial sale of a licensed product in the U.S. and certain E.U. countries, and achievement of certain net sales levels;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 to pay OSR royalties based on net sales of each licensed product;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 to pay OSR a royalty of our net sublicensing income for each licensed product;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 to pay costs associated with the preparation, prosecution and maintenance of the licensed patent rights.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patents, and we are heavily reliant upon the ARLA to licensed patents that are important or necessary to the development of our technology and product candidates, including the patents relating to Temferon. Our license is exclusive only to specific fields of use, namely: the field(s) of Interferon (“IFN”) gene therapy by lentiviral based-HSPC gene transfer with respect to (a) any Solid Cancer Indication (as defined in the ARLA) (including GBM and solid liver cancer) and/or (b) any Lympho-Hematopoietic Indication (as defined in the ARLA) for which we exercise an option to be included as part of the field of use, as provided in the ARLA; and (2) certain specified gene therapy products developed during the license term for use in the aforementioned field(s). Although we have exclusive option rights to license additional fields of use, or indications, upon the payment of additional fees to OSR, there is no guarantee that we will be in a position to do so within the time period specified to exercise such right.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control the preparation, prosecution and maintenance of the licensed patent rights under the ARLA, or the enforcement of the licensed patent rights and know-how rights against infringement by third parties. Thus, the licensed patent rights were not drafted by us or our attorneys, and we do not control or have any input into the prosecution of these patent rights. We cannot be certain that drafting or prosecution of the licensed patent rights has been conducted in compliance with applicable laws and regulations or will result in valid and enforceable patents. OSR maintains control of the preparation, prosecution and maintenance of the licensed patent rights, and controls enforcement of the licensed patent rights and know-how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ARLA, OSR may terminate the agreement in the event we breach certain of our obligations or fail to make certain payments and upon our liquidation. In addition, OSR may terminate our rights as to certain fields of use for our failure to achieve certain development milestones for specified licensed products within certain time periods.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 If the ARLA is terminated, we may not be able to develop, manufacture, market or sell the product candidates covered by the agreement and those being tested or approved in combination with such products. Such an occurrence could materially adversely affect the value of the product candidates being developed under the ARLA.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regarding intellectual property subject to, and any of our rights and obligations under, the ARLA or any other license or other strategic agreement,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misappropriate or violate the intellectual property of the licensor that is not subject to the license agreement;</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 to third parties under any such agreement or collaborative relationships;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inventorship and ownership of inventions and know-how resulting from the joint creation or use of intellectual property by our licensors and us and our partners; and</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priority of invention of patented technology.</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been granted licenses in certain fields of use to patent applications. There can be no assurance that any of the patent applications for which we have licenses will result in issued patents. As a result, our ability to protect our proprietary technology in the marketplace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proprietary position for our product candidates currently depends in part upon licenses to patents protecting methods of use, which may not prevent a competitor or other third party from using the same product candidate for another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of matter patent claims on the active pharmaceutical ingredient (“API”) in pharmaceutical drug products are generally considered to be the favored form of intellectual property protection for pharmaceutical products, as such patents generally provide protection without regard to any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that may be issued based on patent applications that we have been granted licenses to will not ensure sufficient protection with respect to our activities for a number of reasons, including without limitation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issued patents may not be broad or strong enough to prevent competition from other gene therapy products including identical or similar products;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patents are not issued or if issued patents expire, there would be no protections against competitors making generic equivalents;</w:t>
            </w:r>
          </w:p>
        </w:tc>
      </w:tr>
    </w:tbl>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prior art of which we are not aware that may affect the validity or enforceability of a patent claim;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other patents existing, now or in the future, in the patent landscape for Temferon, or any other product candidates that we seek to commercialize or develop, if any, that will affect our freedom to operate;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patents that we have been granted licenses to are challenged, a court could determine that they are not valid or enforceable;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could determine that a competitor’s technology or product does not infringe patents that we have been granted licenses 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to which we have been granted licenses could irretrievably lapse due to failure to pay fees or otherwise comply with regulations, or could be subject to compulsory licensing;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encounter delays in our development or clinical trials, the period of time during which we could market our products under patent protection would be reduced.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on any issued patent are due to be paid to the U.S.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life of a patent and the protection it affords is limited. For example, in the U.S.,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U.S.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(the “Hatch-Waxman Amendments”). The Hatch-Waxman Amendments permit a patent extension term of up to five (5)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U.S. and other countries may diminish the value of our patents or narrow the scope of our patent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and pending patent applications licensed to us for our product candidates are expected to expire on various dates as described in “Business— Intellectual Property.” Upon the expiration, we will not be able to assert such licensed patent rights against potential competitors, which would materially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license intellectual property from third parties, and such licenses may not be available or may not be available on commercially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 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lawsuits to protect or enforce our intellectual property, which could be expensive, time consuming and unsuccessful.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possibility of litigation relating to infringement claims asserted against it, we may become a party to other patent litigation and other proceedings, including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ARLA,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or otherwise violate our intellectual property. As a result, we may be required to file claims to stop third-party infringement or unauthorized use. Any such claims could provoke these parties to assert counterclaims against us, including claims alleging that we infringe their patents or other intellectual property rights, and/or that any of our intellectual property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being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breadth or strength of our patent or other intellectual property rights is compromised or threatened, it could allow third parties to exploit and commercialize our technology or products or result in our inability to exploit and/or commercialize our technology and products without infringing third-party intellectual property rights. Further, third parties may be dissuaded from collaborating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Interference or derivation proceedings brought by the USPTO, or its foreign counterparts may be necessary to determine the priority of inventions with respect to our patent applications, and we may also become involved in other proceedings, such as re -examination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litigation could cause us to spend substantial resources and distract our personnel from their normal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trademarks we may obtain may be infringed or successfully challenged, resulting in harm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upon our trademarks and we may not have adequate resources to enforce our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proprietary name we propose to use with our clinical-stage product candidates or any other product candidate in the U.S.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enforce intellectual property rights throughout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prosecuting, and defending patent applications and issued patents on product candidates in all countries throughout the world would be prohibitively expensive, and intellectual property rights that we have been granted licenses to in some countries outside the U.S. and Italy can be less extensive than those in the U.S. and Italy. In addition, the laws of some foreign countries do not protect intellectual property to the same extent as laws in the U.S. and Italy. Consequently, we may not be able to seek to prevent third parties from practicing inventions that are the subject of patents that we have been granted licenses to in all countries outside the U.S. and Italy, or from selling or importing products made using inventions that are the subject of patents that we have been granted licenses to in and into the U.S.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U.S. and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maintain effective proprietary rights for our product candidates, we may not be able to compete effectively in our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U.S. remain confidential until patents issue. Patent applications in the U.S.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2013, the U.S.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Times New Roman;Times;Serif" w:hAnsi="Times New Roman;Times;Serif"/>
          <w:b w:val="false"/>
          <w:i/>
          <w:caps w:val="false"/>
          <w:smallCaps w:val="false"/>
          <w:sz w:val="20"/>
        </w:rPr>
        <w:t>ex parte</w:t>
      </w:r>
      <w:r>
        <w:rPr>
          <w:rFonts w:ascii="Times New Roman;Times;Serif" w:hAnsi="Times New Roman;Times;Serif"/>
          <w:b w:val="false"/>
          <w:i w:val="false"/>
          <w:caps w:val="false"/>
          <w:smallCaps w:val="false"/>
          <w:sz w:val="20"/>
        </w:rPr>
        <w:t xml:space="preserve"> reexamination, or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of issued patents in the U.S. that cover the lentiviral vectors used in the manufacture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to defend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respect, our key people Mr. Luigi Naldini and Mr. Bernhard Gentner are also employees of OSR –- San Raffaele Hospital, and have been appointed, according to a consultancy agreement, as directors of our scientific committee for the purpose of designing and developing the preclinic research and clinic experimentation program around cancers (Prof. Naldini) and mieloma (Dr. Gentner) gene therapy. The relevant consultancy agreements do not set forth any specific representation and warranty in our favor that their activities do not infringe any third party’s intellectual property rights (in particular, of OSR). In this respect, Dr. Naldini and Dr.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Dr. Naldini and Dr. Gentner in relation to their activity in our favor.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claims challenging the inventorship of patents and other intellectual property that we have been granted licenses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compensation for their work in developing intellectual property, which in turn could have an impact on our future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entered into non-competition agreements with our current employees to prevent them, after the termination of their employment, to perform competitive activity in favor of other employers. Therefore, we cannot exclude the fact that such employers may benefit from the expertise of our current employees developed while working for us, after the termination of their employment. We sometimes enter into non-competition agreements with certain key consultants. These agreements prohibit key consultants, if they cease working for us, from competing directly with us or working for our competitors or clients for a limited period.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Regarding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neither the employment agreements nor the consultancy agreements provide any specific compensation related to the inventive activity. Therefore, employees and independent consultants may ask for a fair compensation due to such inventions and, regarding independent consultants, the failure to pay a fair compensation could prevent us from obtaining rights on their inventions, and this could have a material adverse effect on our operations and ability to effectively compete.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rights do not necessarily address all potential threats.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 candidates we may develop will eventually become commercially available in generic or biosimilar product forms;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products that are similar to any product candidates we may develop or utilize similar technology but that are not covered by the claims of the patents that we may own or license now or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license partners or collaborators, might not have been the first to make the inventions covered by the issued patent or pending patent application that we own or license now or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license partners or collaborators, might not have been the first to file patent applications covering certain of our or their inventions;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technologies without infringing our intellectual property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pending patent applications currently licensed or those to which we may enter into a license regarding in the future will not lead to issued patents;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there are prior public disclosures that could invalidate the issued patents that have been licensed to us, or parts of such issued patents;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there are unpublished applications or patent applications maintained in secrecy that may later issue with claims covering our product candidates or technology similar to ours;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to which we hold rights to may be held invalid or unenforceable, including as a result of legal challenges by our competitors;</w:t>
            </w:r>
          </w:p>
        </w:tc>
      </w:tr>
    </w:tbl>
    <w:p>
      <w:pPr>
        <w:pStyle w:val="TextBody"/>
        <w:bidi w:val="0"/>
        <w:spacing w:before="0" w:after="0"/>
        <w:ind w:left="0" w:right="0" w:hanging="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claims of patent applications, if and when issued, may not cover our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foreign countries may not protect our proprietary rights or the proprietary rights of license partners or current or future collaborators to the same extent as the laws of the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 of our patent applications may become involved with competitors, develop products or processes that design around our patents, or become hostile to us or the patents or patent applications on which they are named as inventors;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scientific collaborations and will continue to do so in the future, and our collaborators may develop adjacent or competing products that are outside the scope of our patents;</w:t>
            </w:r>
          </w:p>
        </w:tc>
      </w:tr>
    </w:tbl>
    <w:p>
      <w:pPr>
        <w:pStyle w:val="TextBody"/>
        <w:bidi w:val="0"/>
        <w:spacing w:before="0" w:after="0"/>
        <w:ind w:left="0" w:right="0" w:hanging="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17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 candidates we develop may be covered by third parties’ patents or other exclusive rights;</w:t>
            </w:r>
          </w:p>
        </w:tc>
      </w:tr>
    </w:tbl>
    <w:p>
      <w:pPr>
        <w:pStyle w:val="TextBody"/>
        <w:bidi w:val="0"/>
        <w:spacing w:before="0" w:after="0"/>
        <w:ind w:left="0" w:right="0" w:hanging="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that are patentable;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file a patent to maintain certain trade secrets or know-how, and a third-party may subsequently file a patent covering such intellectual property.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currently with substantial operations outside of the U.S., our business is subject to global economic conditions, macro events, political, regulatory, pandemic, and other risks associated with international operations and macro-economic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substantial operations in Italy, our business is subject to risks associated with conducting business outside the U.S. Many of our suppliers and clinical trial relationships are located outside the U.S. 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For example, during 2022 and 2023, the U.S. Federal Reserve raised interest rates multiple times in response to concerns about inflation. Higher interest rates, coupled with reduced government spending and volatility in financial markets may increase economic uncertainty and affect investor confidence. Similarly, the ongoing wars between Russia and Ukraine and Israel and Hamas has created extreme volatility in the global capital markets and is expected to have further global economic consequences, including disruptions of the global supply chain and energy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volatility and disruptions may adversely affect our business or the third parties on whom we rely. If the equity and credit markets deteriorate because of the political unrest or war, it may make any debt or equity financing more costly or more dilutive or more difficult to obtain in a timely manner or on favorable terms, if at all. Accordingly, our future results could be harmed by a variety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downturns, recessions, inflation, increasing interest rates, supply chain shortages, rising fuel prices, or political instability in particular non-U.S. economies and markets could negatively impact our budget projections, clinical trial cost estimates, and potential clinical timeline;</w:t>
            </w:r>
          </w:p>
        </w:tc>
      </w:tr>
    </w:tbl>
    <w:p>
      <w:pPr>
        <w:pStyle w:val="TextBody"/>
        <w:bidi w:val="0"/>
        <w:spacing w:before="0" w:after="0"/>
        <w:ind w:left="0" w:right="0" w:hanging="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domestic and international banking systems where the Company has accounts;</w:t>
            </w:r>
          </w:p>
        </w:tc>
      </w:tr>
    </w:tbl>
    <w:p>
      <w:pPr>
        <w:pStyle w:val="TextBody"/>
        <w:bidi w:val="0"/>
        <w:spacing w:before="0" w:after="0"/>
        <w:ind w:left="0" w:right="0" w:hanging="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and changing regulatory requirements for product approvals in the U.S. and Italy;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jurisdictions could present different issues for securing, maintaining or obtaining freedom to operate in such jurisdictions;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reduced protection for intellectual property rights that could impact our ability to develop and/or license our technology;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compliance with different, complex, and changing laws, regulations and court systems of multiple jurisdictions and compliance with a wide variety of foreign laws, treaties and regulations that could affect our need to hire subject matter experts or retain third-party experts;</w:t>
            </w:r>
          </w:p>
        </w:tc>
      </w:tr>
    </w:tbl>
    <w:p>
      <w:pPr>
        <w:pStyle w:val="TextBody"/>
        <w:bidi w:val="0"/>
        <w:spacing w:before="0" w:after="0"/>
        <w:ind w:left="0" w:right="0" w:hanging="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non-U.S. regulations and customs, tariffs, and trade barriers;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risks and currency controls due to maintaining our cash and cash equivalents both in U.S. dollars and Euros;</w:t>
            </w:r>
          </w:p>
        </w:tc>
      </w:tr>
    </w:tbl>
    <w:p>
      <w:pPr>
        <w:pStyle w:val="TextBody"/>
        <w:bidi w:val="0"/>
        <w:spacing w:before="0" w:after="0"/>
        <w:ind w:left="0" w:right="0" w:hanging="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 specific country’s or region’s political or economic environment;</w:t>
            </w:r>
          </w:p>
        </w:tc>
      </w:tr>
    </w:tbl>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protection measures, import or export licensing requirements or other restrictive actions by governments;</w:t>
            </w:r>
          </w:p>
        </w:tc>
      </w:tr>
    </w:tbl>
    <w:p>
      <w:pPr>
        <w:pStyle w:val="TextBody"/>
        <w:bidi w:val="0"/>
        <w:spacing w:before="0" w:after="0"/>
        <w:ind w:left="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reimbursement regimes and price controls in certain non-U.S. markets;</w:t>
            </w:r>
          </w:p>
        </w:tc>
      </w:tr>
    </w:tbl>
    <w:p>
      <w:pPr>
        <w:pStyle w:val="TextBody"/>
        <w:bidi w:val="0"/>
        <w:spacing w:before="0" w:after="0"/>
        <w:ind w:left="0" w:right="0" w:hanging="0"/>
        <w:jc w:val="both"/>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consequences from changes in tax laws;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 including, for example, the variable tax treatment in different jurisdictions of options granted under our share incentive plans;</w:t>
            </w:r>
          </w:p>
        </w:tc>
      </w:tr>
    </w:tbl>
    <w:p>
      <w:pPr>
        <w:pStyle w:val="TextBody"/>
        <w:bidi w:val="0"/>
        <w:spacing w:before="0" w:after="0"/>
        <w:ind w:left="0" w:right="0" w:hanging="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labor unrest is more common than in the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tc>
      </w:tr>
    </w:tbl>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associated with staffing and managing international operations, including differing labor relations;</w:t>
            </w:r>
          </w:p>
        </w:tc>
      </w:tr>
    </w:tbl>
    <w:p>
      <w:pPr>
        <w:pStyle w:val="TextBody"/>
        <w:bidi w:val="0"/>
        <w:spacing w:before="0" w:after="0"/>
        <w:ind w:left="0" w:right="0" w:hanging="0"/>
        <w:jc w:val="both"/>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(including the ongoing war in Ukraine), health epidemics, or natural disasters including earthquakes, typhoons, floods, and fires.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manage our business through a small number of employees, key consultants, and third party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people include our Chief Executive Officer and current Vice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Barbara Regonini, our Finance Director and Stefania Mazzoleni, our Scientific Project Manager and Communications Officer.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laws and regulations on executive compensation, including legislation in our home country, Italy, may restrict our ability to attract, motivate and retain the required level of qualified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 single manufacturing facility, and if operations at that manufacturing facility are disrupted, we could experience delays in our clinical trials or we would need to expend additional time and capital to identify and onboard another manufacturing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inherent in operating a single manufacturing facility, since any disruption, such as a fire, natural hazards or vandalism could significantly interrupt our manufacturing capability. We currently do not have alternative production plans in place or disaster-recovery facilities available. In case of a disruption, we will have to establish alternative manufacturing sources. This would require substantial capital on our part, which it may not be able to obtain on commercially acceptable terms or at all. Additionally, we would likely experience months or years of manufacturing delays as we build or locate replacement facilities and seek and obtain necessary regulatory approvals. If this occurs, we will be unable to satisfy manufacturing needs on a timely basis, if at all. Also, operating any new facilities may be more expensive than operating our current facility. Further, business interruption insurance may not adequately compensate us for any losses that may occur, and we would have to bear the additional cost of any disruption. For these reasons, a significant disruptive event at the manufacturing facility could have drastic consequences, including placing our financial stability at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significantly increase the size of our organization, and we may experience difficulties in managing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 very limited number of employees. If we are successful in executing our business strategy and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pStyle w:val="TextBody"/>
        <w:bidi w:val="0"/>
        <w:spacing w:before="0" w:after="0"/>
        <w:ind w:left="0" w:right="0" w:hanging="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clinical trials and the regulatory process effectively;</w:t>
            </w:r>
          </w:p>
        </w:tc>
      </w:tr>
    </w:tbl>
    <w:p>
      <w:pPr>
        <w:pStyle w:val="TextBody"/>
        <w:bidi w:val="0"/>
        <w:spacing w:before="0" w:after="0"/>
        <w:ind w:left="0" w:right="0" w:hanging="0"/>
        <w:jc w:val="both"/>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8"/>
        <w:gridCol w:w="170"/>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our administrative, accounting and management information systems and internal controls;</w:t>
            </w:r>
          </w:p>
        </w:tc>
      </w:tr>
    </w:tbl>
    <w:p>
      <w:pPr>
        <w:pStyle w:val="TextBody"/>
        <w:bidi w:val="0"/>
        <w:spacing w:before="0" w:after="0"/>
        <w:ind w:left="0" w:right="0" w:hanging="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and train additional qualified personnel; and</w:t>
            </w:r>
          </w:p>
        </w:tc>
      </w:tr>
    </w:tbl>
    <w:p>
      <w:pPr>
        <w:pStyle w:val="TextBody"/>
        <w:bidi w:val="0"/>
        <w:spacing w:before="0" w:after="0"/>
        <w:ind w:left="0" w:right="0" w:hanging="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 current and additional management, administrative, financial and sales and marketing personnel.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principal investigators, consultants, and commercial partners may engage in misconduct or other improper conduct or activities, including non-compliance with regulatory standards and requirements and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fraud or other misconduct by our employees, principal investigators, consultants, and commercial partners. Misconduct by these parties could include intentional failures to comply with the regulations of AIFA, the FDA, EMA, or of other foreign regulatory authorities, provide accurate information to AIFA, the FDA, EMA, and other foreign regulatory authorities, comply with healthcare fraud and abuse laws and regulations in the U.S. and other countries, report financial information or data accurately or disclose unauthorized activities to us.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during clinical trials, which could result in regulatory sanctions and cause serious harm to our reputation. We have adopted a code of conduct applicable to all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obtain AIFA, FDA, EMA or other regulatory authority approval for any of our product candidates and begin commercializing those products , our operations may be directly or indirectly through our customers, subject to various federal, state and/or international fraud and abuse laws, including, without limitation, the U.S. federal Anti-Kickback Statute, the U.S. federal False Claims Act and U.S. physician sunshine laws and regulations. These laws may impact, among other things, our proposed sales, marketing, and education programs. In addition, we may be subject to patient privacy regulation by both the U.S. federal government and the states and countries in which we conduct our business. The laws that may affect our ability to operate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Anti-Kickback Statute, which prohibits, among other things, persons from knowingly and willfully soliciting, receiving, offering or paying remuneration, directly or indirectly, to induce, or in return for, the purchase or recommendation of an item or service reimbursable under a U.S. federal healthcare program, such as the Medicare and Medicaid programs;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Health Insurance Portability and Accountability Act of 1996 (“HIPAA”), which created new federal criminal statutes that prohibit executing a scheme to defraud any healthcare benefit program and making false statements relating to healthcare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and Clinical Health Act, and its implementing regulations, which imposes certain requirements relating to the privacy, security and transmission of individually identifiable health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physician sunshine requirements under the U.S. Patient Protection and Affordable Care Act, as amended by the Health Care and Education Reconciliation Act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state law equivalents of each of the above U.S.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and other foreign law equivalents of each of the laws, including reporting requirements detailing interactions with and payments to healthcare providers, and the European General Data Protection Regulation (the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enforcement of each of these laws is uncertain and subject to rapid change in the current environment of healthcare reform, especially considering the lack of applicable precedent and regulations. U.S. federal and state enforcement bodies have recently increased their scrutiny of interactions between healthcare companies and healthcare providers, which has led to several investigations, prosecutions, convictions and settlements in the healthcare industry. It is possible that U.S. and other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Healthcare legislative and regulatory reform measures may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highly regulated and changes in law may adversely impact our business, operations, or financial results. The PPACA is a sweeping measure intended to, among other things, expand healthcare coverage within the U.S., primarily through the imposition of health insurance mandates on employers and individuals and expansion of the U.S. Medicaid program. Several provisions of the law may affect us and increase certain of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other legislative changes have been adopted since the PPACA was enacted. These changes include aggregate reductions in U.S. Medicare payments to providers of 2% per fiscal year, which went into effect on April 1, 2013 and, following passage of the U.S. Bipartisan Budget Act of 2018, will remain in effect through 2027 unless additional U.S.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the PPACA, as well as other U.S.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(the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use of any of our product candidates could result in product liability or similar claims that could be expensive,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exposes us to an inherent risk of potential product liability or similar claims. Mainly in the U.S., the biotechnology and pharmaceutical industries have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more than, or outside of, our insurance coverage,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internal information technology systems, or those of our third party vendors, collaborators, or other contractors or consultants, may fail or suffer cyber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few third party vendors and other contractors and consultants who have access to our confidential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information technology systems and those of our current and any future third 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not experienced any significant system failure, accident, or security breach to date, if such an event were to occur and cause interruptions in our operations or a loss of, or damage to, our data or applications, or those of our third 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lingering impact from the COVID-19 pandemic could disrupt and cause harm to our business,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and extent of any lingering impact from the COVID-19 pandemic on our business will continue to depend on future developments that cannot be accurately forecasted at this time, such as the emergence of new COVID-19 variants, the transmission rate and geographic spread of the disease, the extent and effectiveness of any applicable containment actions, the widespread use of effective vaccines and the severity of breakthrough cases, and the impact of these and other factors on our employees, patients, partners, contract manufacturers, suppliers and other third-party providers. If we are not able to respond to and manage the impact of such events effectively and if the macroeconomic conditions of the general economy or the industry in which we operate do not improve, or worsen from present levels, our business, operating results, financial condition, and cash flows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or the third parties upon whom we depend, may be adversely affected by earthquakes or other natural disasters and our business continuity and disaster recovery plans may not adequately protect us from a serious disaster.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The disaster recovery and business continuity plans that we have in place currently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Unsuccessful compliance with certain European privacy regulations could have an adverse effect on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collection and use of personal health data in the E.U. is governed, as of May 2018, by the General Data Protection Regulation 2016/679 (the “GDPR”) as implemented by European Data Protection Board (the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like GDPR. Regarding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EDPB on the correct interpretation and application of GDPR and the ruling activity of the Court of Justice of the E.U. (see, for instance, the recent CJEU case C-3111/18, also known as Schremes II which invalidated the E.U.-U.S. Privacy Shield Framework for transfer of data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compliant with most recent legislative changes in European data protection rules, adopting Data Processing Agreements containing Standard Contractual Clauses with all partners based in the U.S.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we will be able to satisfy the continued listing standards of the Nasdaq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American Depository Shares (“ADS”) are listed on the Nasdaq. However, we cannot ensure that we will be able to satisfy the continued listing standards of the Nasdaq going forward. If we cannot satisfy the continued listing standards going forward, the Nasdaq Stock Market may commence delisting procedures against us, which could result in our ADS being removed from listing on the Nasdaq. If any of our ADSs were to be delisted, the liquidity of our ADSs could be adversely affected and the market price of our ADSs could decrease. Delisting could also adversely affect the ability of the holder of our ADSs to trade or obtain quotations on our ADSs because of lower trading volumes and transaction delays. These factors could contribute to lower prices and larger spreads in the bid and ask price for our ADSs. Investors may also not be able to resell their ADSs at or above the price they paid for such securities or at all.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ADSs is likely to be highly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ADSs has been and is likely to continue to be highly volatile. The following factors, in addition to other risk factors described in this section, may have a significant impact on the market price of the ADSs:</w:t>
      </w:r>
    </w:p>
    <w:p>
      <w:pPr>
        <w:pStyle w:val="TextBody"/>
        <w:bidi w:val="0"/>
        <w:spacing w:before="0" w:after="0"/>
        <w:ind w:left="0" w:right="0" w:hanging="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results or delays in pre- and non-clinical studies or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of adverse events in other gene therapy products or clinical studies of such products;</w:t>
            </w:r>
          </w:p>
        </w:tc>
      </w:tr>
    </w:tbl>
    <w:p>
      <w:pPr>
        <w:pStyle w:val="TextBody"/>
        <w:bidi w:val="0"/>
        <w:spacing w:before="0" w:after="0"/>
        <w:ind w:left="0" w:right="0" w:hanging="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additional funding;</w:t>
            </w:r>
          </w:p>
        </w:tc>
      </w:tr>
    </w:tbl>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the approvals necessary to commence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unsatisfactory results of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regulatory approval or the failure to obtain it, or specific label indications or patient populations for its use, or changes or delays in the regulatory review process;</w:t>
            </w:r>
          </w:p>
        </w:tc>
      </w:tr>
    </w:tbl>
    <w:p>
      <w:pPr>
        <w:pStyle w:val="TextBody"/>
        <w:bidi w:val="0"/>
        <w:spacing w:before="0" w:after="0"/>
        <w:ind w:left="0" w:right="0" w:hanging="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therapeutic innovations or new products by us or our competitors;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actions taken by regulatory authorities with respect to our clinical trials, manufacturing supply chain or sales and marketing activities;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developments in laws or regulations applicable to the treatment of cancer tumors, or any other indication that we may seek to develop;</w:t>
            </w:r>
          </w:p>
        </w:tc>
      </w:tr>
    </w:tbl>
    <w:p>
      <w:pPr>
        <w:pStyle w:val="TextBody"/>
        <w:bidi w:val="0"/>
        <w:spacing w:before="0" w:after="0"/>
        <w:ind w:left="0" w:right="0" w:hanging="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changes to our relationship with manufacturers or suppliers;</w:t>
            </w:r>
          </w:p>
        </w:tc>
      </w:tr>
    </w:tbl>
    <w:p>
      <w:pPr>
        <w:pStyle w:val="TextBody"/>
        <w:bidi w:val="0"/>
        <w:spacing w:before="0" w:after="0"/>
        <w:ind w:left="0" w:right="0" w:hanging="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infringement actions in which we may become involved;</w:t>
            </w:r>
          </w:p>
        </w:tc>
      </w:tr>
    </w:tbl>
    <w:p>
      <w:pPr>
        <w:pStyle w:val="TextBody"/>
        <w:bidi w:val="0"/>
        <w:spacing w:before="0" w:after="0"/>
        <w:ind w:left="0" w:right="0" w:hanging="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concerning our competitors or the biotechnology and pharmaceutical industries in general;</w:t>
            </w:r>
          </w:p>
        </w:tc>
      </w:tr>
    </w:tbl>
    <w:p>
      <w:pPr>
        <w:pStyle w:val="TextBody"/>
        <w:bidi w:val="0"/>
        <w:spacing w:before="0" w:after="0"/>
        <w:ind w:left="0" w:right="0" w:hanging="0"/>
        <w:jc w:val="both"/>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expected product sales and profitability or our failure to meet expectations;</w:t>
            </w:r>
          </w:p>
        </w:tc>
      </w:tr>
    </w:tbl>
    <w:p>
      <w:pPr>
        <w:pStyle w:val="TextBody"/>
        <w:bidi w:val="0"/>
        <w:spacing w:before="0" w:after="0"/>
        <w:ind w:left="0" w:right="0" w:hanging="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commencement of, or involvement in, litigation;</w:t>
            </w:r>
          </w:p>
        </w:tc>
      </w:tr>
    </w:tbl>
    <w:p>
      <w:pPr>
        <w:pStyle w:val="TextBody"/>
        <w:bidi w:val="0"/>
        <w:spacing w:before="0" w:after="0"/>
        <w:ind w:left="0" w:right="0" w:hanging="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changes in our board of directors or management;</w:t>
            </w:r>
          </w:p>
        </w:tc>
      </w:tr>
    </w:tbl>
    <w:p>
      <w:pPr>
        <w:pStyle w:val="TextBody"/>
        <w:bidi w:val="0"/>
        <w:spacing w:before="0" w:after="0"/>
        <w:ind w:left="0" w:right="0" w:hanging="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and retain qualified regulatory, research and development personnel;</w:t>
            </w:r>
          </w:p>
        </w:tc>
      </w:tr>
    </w:tbl>
    <w:p>
      <w:pPr>
        <w:pStyle w:val="TextBody"/>
        <w:bidi w:val="0"/>
        <w:spacing w:before="0" w:after="0"/>
        <w:ind w:left="0" w:right="0" w:hanging="0"/>
        <w:jc w:val="both"/>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in the U.S. relating to the sale or pricing of biotechnology or gene therapy products;</w:t>
            </w:r>
          </w:p>
        </w:tc>
      </w:tr>
    </w:tbl>
    <w:p>
      <w:pPr>
        <w:pStyle w:val="TextBody"/>
        <w:bidi w:val="0"/>
        <w:spacing w:before="0" w:after="0"/>
        <w:ind w:left="0" w:right="0" w:hanging="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depth of the trading market in the ADSs;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downturns, recessions, inflation, increasing interest rates, supply chain shortages, rising fuel prices, or political instability in global, U.S. or particular foreign economies and markets;</w:t>
            </w:r>
          </w:p>
        </w:tc>
      </w:tr>
    </w:tbl>
    <w:p>
      <w:pPr>
        <w:pStyle w:val="TextBody"/>
        <w:bidi w:val="0"/>
        <w:spacing w:before="0" w:after="0"/>
        <w:ind w:left="0" w:right="0" w:hanging="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global or U.S. banking systems or the banking systems of foreign countries;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a local or worldwide pandemic, geopolitical actions, including war and terrorism (including the ongoing war in Ukraine and the Israeli-Hamas war), or natural disasters;</w:t>
            </w:r>
          </w:p>
        </w:tc>
      </w:tr>
    </w:tbl>
    <w:p>
      <w:pPr>
        <w:pStyle w:val="TextBody"/>
        <w:bidi w:val="0"/>
        <w:spacing w:before="0" w:after="0"/>
        <w:ind w:left="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granting or exercise of employee stock options or other equity awards;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patents, litigation matters and our ability to obtain patent protection for our technologies;</w:t>
            </w:r>
          </w:p>
        </w:tc>
      </w:tr>
    </w:tbl>
    <w:p>
      <w:pPr>
        <w:pStyle w:val="TextBody"/>
        <w:bidi w:val="0"/>
        <w:spacing w:before="0" w:after="0"/>
        <w:ind w:left="0" w:right="0" w:hanging="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scientific or management personnel;</w:t>
            </w:r>
          </w:p>
        </w:tc>
      </w:tr>
    </w:tbl>
    <w:p>
      <w:pPr>
        <w:pStyle w:val="TextBody"/>
        <w:bidi w:val="0"/>
        <w:spacing w:before="0" w:after="0"/>
        <w:ind w:left="0" w:right="0" w:hanging="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shareholder litigation; and</w:t>
            </w:r>
          </w:p>
        </w:tc>
      </w:tr>
    </w:tbl>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investors’ and securities analysts’ perception of the business risks and conditions of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the depositary for the ADSs (the “Depositary”),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ADSs must act through the Depositary to exercise voting rights relating to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ADSs do not have the same rights as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w:t>
      </w:r>
      <w:r>
        <w:rPr>
          <w:rFonts w:ascii="Times New Roman;Times;Serif" w:hAnsi="Times New Roman;Times;Serif"/>
          <w:b w:val="false"/>
          <w:i w:val="false"/>
          <w:caps w:val="false"/>
          <w:smallCaps w:val="false"/>
          <w:sz w:val="20"/>
          <w:shd w:fill="FFFFFF" w:val="clear"/>
        </w:rPr>
        <w:t xml:space="preserve">as described in more detail below, if the proposed loyalty shareholder program is approved by our shareholders, the </w:t>
      </w:r>
      <w:r>
        <w:rPr>
          <w:rFonts w:ascii="Times New Roman;Times;Serif" w:hAnsi="Times New Roman;Times;Serif"/>
          <w:b w:val="false"/>
          <w:i w:val="false"/>
          <w:caps w:val="false"/>
          <w:smallCaps w:val="false"/>
          <w:sz w:val="20"/>
        </w:rPr>
        <w:t>loyalty share program would be available only to holders who own their ordinary shares in registered form, and would not be available to ADS holders. See “—Risks Related to Italian Law and Our Operations in Italy—The proposed loyalty share program could have a negative effect on the liquidity of our ADSs and may make it more difficult for investors to acquire a controlling interest, change the management or the strategy of our company or exercise influence over us, which may adversely affect the market price of the ADSs. Further, the proposed loyalty share program would be available only to holders who own their ordinary shares in registered form, and the ability of ADS holders to influence corporate decisions may therefore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ADSs holders may not be entitled to a jury trial with respect to claims arising under the deposit agreement, which could augur less favorable results to the plaintiff(s) in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governing the ADSs representing our ordinary shares provides that owners and holders of ADSs, including those who purchase the ADSs in a secondary transaction, irrevocably waive the right to a trial by jury in any legal proceeding arising out of or relating to the deposit agreement, our ordinary shares or the ADSs or the transactions contemplated thereby,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U.S. federal securities laws has not been finally adjudicated by a federal court. However, we believe that a jury trial waiver provision is generally enforceable under the laws of the State of New York, which govern the deposit agreement, by a court of the State of New York or a U.S. federal court in New York, which have non-exclusive jurisdiction over matters arising under the deposit agreement, applying such law. In determining whether to enforce a jury trial waiver provision, New York courts and U.S. federal courts will consider whether the visibility of the jury trial waiver provision within the agreement is sufficiently prominent such that a party has knowingly waived any right to trial by jury. We believe that this is the case with respect to the deposit agreement, our ordinary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ordinary shares or the ADSs or the transactions contemplated thereby. No condition, stipulation, or provision of the deposit agreement or ADSs serves as a waiver by any owner or holder of ADSs or by us or the Depositary of compliance with any provision of the U.S. federal securities laws. If you or any other owner or holder of ADSs brings a claim against us or the Depositary in connection with matters arising under the deposit agreement, our ordinary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management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Chief Executive Officer, directors, and shareholders who own more than 5% of our outstanding ordinary shares currently own approximately 40% of our ordinary shares. They will therefore be able to exert significant control over matters submitted to our shareholders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directors, and shareholders who own more than 5% of our outstanding ordinary shares beneficially own approximately 40% of our ordinary shares.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ADSs due to investors’ perception that conflicts of interest may exist or arise.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substantial risk that we are or will become classified as a passive foreign investment company. If we are or become classified as a passive foreign investment company, our U.S. shareholders may suffer adverse tax consequences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passive foreign investment company (a “PFIC”) for U.S. federal income tax purposes in any taxable year in which either: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interest income earned by reason of the temporary investment of funds, including those raised in a public offering, and the excess of certain foreign currency gains over certain foregoing currency losses.</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PFIC will depend on the nature and composition of our income and the nature, composition and value of our assets. Our status may also depend, in part, on how quickly we utilize cash proceeds received from previous offerings of our ADSs or ordinary shares in our business. Based on preliminary analysis, we believe that we were likely classified as a PFIC in 2023, and we may be classified as a PFIC for 2024 and future years. In particular, so long as we do not generate revenue from operations for any taxable year and do not receive any research and development grants, or even if we receive a research and development grant, if such grant does not constitute gross income for U.S. federal income tax purposes, we likely will be classified as a PFIC in any taxable year due to the gross income from investment of cash reserves and other passive sources that we derive.</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in any taxable year during which a U.S. taxpayer holds the ADSs, such U.S. taxpayer would be subject to certain adverse U.S. federal income tax rules. In particular, if the U.S. taxpayer did not make an election to treat us as a “qualified electing fund”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U.S. taxpayers that have held the ADSs during a period when we were a PFIC will be subject to the foregoing rules, even if we cease to be a PFIC in subsequent years, subject to exceptions for U.S. taxpayer who made a timely QEF or mark-to-market election. Currently, we do not expect to provide U.S. shareholders with the information necessary for a U.S. shareholder to make a QEF election. Prospective investors should assume that a QEF election will not be available.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“Item 10. Additional Information—E. Taxation—U.S. Federal Income Tax Consequences—Passive Foreign Investment Companies”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ADSs will be influenced by the research and reports that industry or securities analysts may publish about us, our business, our market, and/or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paid, and do not intend to pay, dividends on our ordinary shares and, therefore, unless our traded securities appreciate, our investors may not benefit from holding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associated with being a public company require significant company resources and management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U.S. public company, we are subject to the reporting requirements of the Securities Exchange Act of 1934, as amended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have incurred and will continue to incur legal, accounting, and other expenses that we did not incur as a nonpublic company, particularly after we are no longer an “emerging growth company” as defined in the Jumpstart Our Business Startups Act (“JOBS Act”).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we remain an “emerging growth company” as defined in the JOBS Act, we intend to take advantage of certain exemptions from various requirements that are applicable to public companies that are not “emerging growth companies”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Sarbanes-Oxley Act requiring that our independent registered public accounting firm provide an attestation report on the effectiveness of our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the adoption of new or revised accounting standards. As a result of this election, our consolidated financial statements may not be comparable to companies that comply with the public company effective date;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rules that may be adopted by the Public Company Accounting Oversight Board requiring mandatory audit firm rotation or a supplement to the auditor’s report on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take advantage of these exemptions until we are no longer an “emerging growth company.” We will remain an emerging growth company until the earlier of (1) the last day of the fiscal year (a) following the fifth anniversary of the date of the completion of our IPO, (b) in which we have total annual gross revenue of at least $1.235 billion, or (c) in which we are deemed to be a large accelerated filer, as defined in the rule under the Exchange Act, and (2) the date on which we have issued more than $1.0 billion in non-convertible debt during the prior three-year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to, and we do, follow certain home country corporate governance practices instead of otherwise applicable SEC and Nasdaq requirements, which may result in less protection than is accorded to investors under rules applicable to domestic U.S.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rules of the Nasdaq Stock Market require listed companies to have, among other things, a majority of independent directors and independent director oversight of executive compensation, nomination of directors and corporate governance matters. As a foreign private issuer, we are permitted to, and we do, follow home country practice in lieu of these requirements. For more information, see “Item 6. Directors, Senior Management and Employees – C. Board Practices – Differences between Italian Laws and Nasdaq Requirements.” As long as we rely on the foreign private issuer exemption to certain of the Nasdaq’s corporate governance standards, a majority of the directors on our board of directors are not required to be independent directors. Therefore, our board of directors’ approach to governance may be different from that of a board of directors consisting of a majority of independent directors, and, as a result, the management oversight of our company may be more limited than if we were subject to all of the Nasdaq Stock Market’s corporate governance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our shareholders may not have the same protection afforded to shareholders of companies that are subject to all of the corporate governance standards, and the ability of our independent directors to influence our business policies and affairs may be reduced.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taxable in a jurisdiction other than Italy, and this may increase the aggregate tax burden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Consequently,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Italian Law and Our Operations in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Italian corporation. The rights of our shareholders may be different from the rights of shareholders in companies governed by the laws of U.S.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Individual shareholders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ADSs are listed exclusively on Nasdaq and not on Italy’s stock exchange, our shareholders do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are listed exclusively on Nasdaq, are not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ability of shareholders to bring actions or enforce judgments against us or our directors and executive officers may be limited. Claims of U.S. civil liabilities may not be enforceable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Italy and our registered office and domicile is in Milan, Italy. Moreover, a majority of our directors and executive officers are not residents of the U.S., and all or a substantial portion of our assets are located outside the U.S. As a result, it may not be possible for investors to effect service of process within the U.S. upon us or upon such persons or to enforce against them judgments obtained in U.S. courts, including judgments in actions predicated upon the civil liability provisions of the federal securities laws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Republic of Italy. The principal laws and regulations that apply to our operations, those of Italy and the E.U., are different from those of the U.S. With some exceptions, to issue new equity or debt securities convertible into equity, we must increase our authorized capital.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follows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will need to meet again to re-delegate this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2023, the sum of our capital, legal reserves and other reserves on our unaudited Italian GAAP financial statements was €34.2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suffer losses that reduce our capital to less than €50,000, we will need to recapitalize, change our form of entity, or be liquidated.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requires us to reduce our shareholders’ equity and, our capital, to reflect on-going losses, in certain cases of losses exceeding 1/3 of the capital of the Company. Also, as an S.p.A., we are also required to maintain a minimum capital of €50,000.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our operational losses against our legal reserves and capital. If our capital is reduced by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Italian labor laws could impair our flexibility to restructure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of our ordinary shares and ADSs may be exposed to increased transaction costs because of the Italian financial transaction tax or the proposed European financial transaction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For so long as the Company is not included in such list, investors in the ordinary shares and ADSs may be exposed to increased transaction costs. See “Item 10. Additional Information—E.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for investors outside of Italy to enforce civil liabilities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Italy and our registered office and domicile is in Milan, Italy. A majority of our directors and executive officers are not residents of the U.S., and all or a substantial portion of our assets are located outside the U.S. As a result, it may not be possible for investors to effect service of process within the U.S. upon us or upon such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Judgments of U.S. courts may not be directly enforceable outside of the U.S. and the enforcement of judgments of U.S. courts outside of the U.S. may be subject to limitations. Investors may also have difficulties pursuing an original action brought in a court in a jurisdiction outside the U.S. for liabilities under the securities laws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proposed loyalty share program could have a negative effect on the liquidity of our ADSs and may make it more difficult for investors to acquire a controlling interest, change the management or the strategy of our company or exercise influence over us, which may adversely affect the market price of the ADSs</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Further, the proposed loyalty share program would be available only to holders who own their ordinary shares in registered form, and the ability of ADS holders to influence corporate decisions may therefore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shareholders’ meeting to be held in 2024, our Chief Executive Officer in his capacity as a shareholder will propose that our shareholders approve a loyalty share program through a proposed amendment to our bylaws. If approved by our shareholders, the loyalty share program would give shareholders the opportunity to request to be included on a special list maintained by us and thereby receive increased votes for each ordinary share held in registered form after certain continuous periods of ownership of such ordinary shares. For more information regarding the proposed loyalty share program, see “Item 10. Additional Information—B.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loyalty share program is approved by our shareholders, shareholders who hold a significant quantity of ordinary shares in registered form for the continuous periods prescribed in our bylaws and who request and are included on the special list could be in a position to exercise a significant percentage of votes at meetings of shareholders and to have substantial influence over our company. If approved, a qualifying shareholder would be entitled to a double vote (i.e., two votes for each ordinary share) for each ordinary share in registered form held by the same shareholder for a continuous period of not less than 24 months. An additional vote would also be granted for each additional continuous 12-month period the same shareholder holds such ordinary share, for up to a total of ten votes per ordinary share. Continuous ownership prior to the registration date in the special list would also be taken into account. Furthermore, only shareholders who own their shares in registered form would be entitled to take advantage of the loyalty share program and ADS holders would not be entitled to additional voting rights. As a result, a relatively large proportion of our voting power could be concentrated in a relatively small number of registered shareholders who would have significant influence over us, and the ability of ADS holders to influence corporate decisions may therefore be limited. As a result, the loyalty share program may discourage change of control transactions that otherwise could involve payment of a premium over prevailing market prices for our ADSs or otherwise adversely impact the liquidity and market price of the ADSs.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da_001"/>
      <w:bookmarkEnd w:id="49"/>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da_002"/>
      <w:bookmarkEnd w:id="50"/>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 and Operating Segment Evolution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founded in 2014 by San Raffaele Hospital (Ospedale San Raffaele or “OSR”) in Milan, a globally recognized premier research hospital for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with Pierluigi Paracchi (our CEO), Prof. Luigi Naldini (Chairman of our Executive Scientific Board) and Dr. Bernhard Gentner (a member of our Executive Scientific Board), to develop potential ground-breaking cell and gene cancer therapies. We leverage the vast experience in lentiviral vector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Its research has resulted in a number of approved products, including Strimvelis, an </w:t>
      </w: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 xml:space="preserve">gammaretroviral vector-based gene therapy for adenosine deaminase severe combined immunodeficiency, and Libmeldy, an </w:t>
      </w: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gene therapy for the treatment of early-onset metachromatic leukodystrophy patients, both marketed by Orchard Therapeutics. Our platform was developed in the SR-Tiget laboratories of our founders, Prof. Naldini and Dr. Gentner, and we hold exclusive rights and option rights, to certain intellectual property (“IP”) originating there.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to identify our clinical lead indications, and submitted our first CTA.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Dr.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Via Olgettina No. 58, 20132 Milan, Italy and our telephone number is +39-02-2643-468120.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da_003"/>
      <w:bookmarkEnd w:id="51"/>
      <w:r>
        <w:rPr>
          <w:rFonts w:ascii="Times New Roman;Times;Serif" w:hAnsi="Times New Roman;Times;Serif"/>
          <w:b/>
          <w:i w:val="false"/>
          <w:caps w:val="false"/>
          <w:smallCaps w:val="false"/>
          <w:sz w:val="20"/>
        </w:rPr>
        <w:t>B. 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clinical-stage biotechnology company engaged in the development of hematopoietic stem cell gene therapies for the treatment of solid tumors. We have developed a novel biologic platform that involves the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incorporates the use of an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Trojan Horse Mechanism of Action (“MoA”): </w:t>
            </w:r>
            <w:r>
              <w:rPr>
                <w:rFonts w:ascii="Times New Roman;Times;Serif" w:hAnsi="Times New Roman;Times;Serif"/>
                <w:b w:val="false"/>
                <w:i w:val="false"/>
                <w:caps w:val="false"/>
                <w:smallCaps w:val="false"/>
                <w:sz w:val="20"/>
              </w:rPr>
              <w:t>We use and modify TEMs, a subpopulation of tumor-associated myeloid cells, known to be involved in tumor growth and in the inhibition of immune system response, to allow the immune system to recognize the tumor and to deliver to the cancer site a chosen therapeutic.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Select Regulation of Transgene Expression: </w:t>
            </w:r>
            <w:r>
              <w:rPr>
                <w:rFonts w:ascii="Times New Roman;Times;Serif" w:hAnsi="Times New Roman;Times;Serif"/>
                <w:b w:val="false"/>
                <w:i w:val="false"/>
                <w:caps w:val="false"/>
                <w:smallCaps w:val="false"/>
                <w:sz w:val="20"/>
              </w:rPr>
              <w:t>Our selected control of the chosen therapeutic gene expression is designed to avoid off-target and systemic toxicity.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Potential Long-Term Effect: </w:t>
            </w:r>
            <w:r>
              <w:rPr>
                <w:rFonts w:ascii="Times New Roman;Times;Serif" w:hAnsi="Times New Roman;Times;Serif"/>
                <w:b w:val="false"/>
                <w:i w:val="false"/>
                <w:caps w:val="false"/>
                <w:smallCaps w:val="false"/>
                <w:sz w:val="20"/>
              </w:rPr>
              <w:t>Through the use of hematopoietic stem cells, our therapeutic candidate is designed as a “</w:t>
            </w:r>
            <w:r>
              <w:rPr>
                <w:rFonts w:ascii="Times New Roman;Times;Serif" w:hAnsi="Times New Roman;Times;Serif"/>
                <w:b w:val="false"/>
                <w:i/>
                <w:caps w:val="false"/>
                <w:smallCaps w:val="false"/>
                <w:sz w:val="20"/>
              </w:rPr>
              <w:t>living therapy</w:t>
            </w:r>
            <w:r>
              <w:rPr>
                <w:rFonts w:ascii="Times New Roman;Times;Serif" w:hAnsi="Times New Roman;Times;Serif"/>
                <w:b w:val="false"/>
                <w:i w:val="false"/>
                <w:caps w:val="false"/>
                <w:smallCaps w:val="false"/>
                <w:sz w:val="20"/>
              </w:rPr>
              <w:t>” intended to break the cancer-induced immune tolerance and to establish a competent immune surveillance throughout the life of the patient.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Agnostic Response</w:t>
            </w:r>
            <w:r>
              <w:rPr>
                <w:rFonts w:ascii="Times New Roman;Times;Serif" w:hAnsi="Times New Roman;Times;Serif"/>
                <w:b w:val="false"/>
                <w:i w:val="false"/>
                <w:caps w:val="false"/>
                <w:smallCaps w:val="false"/>
                <w:sz w:val="20"/>
              </w:rPr>
              <w:t>: In contrast to antigen-restricted CAR-T cells, our platform is not restricted to a pre-selected tumor antigen, nor any one tumor type. As such, it may be applied to a broad range of solid tumors and cancer subtypes, which would overcome one of the central unresolved challenges of immune-oncology cancer therapies.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developing Temferon for the treatment of glioblastoma multiforme (“GBM”) in patients who have an unmethylated MGMT gene promoter (“uMGMT-GBM”). GBM is the most common malignant primary brain tumor, accounting for more than half of all central nervous system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We are currently conducting a Phase 1/2a clinical trial with Temferon in newly diagnosed uMGMT-GBM patients in Italy. We anticipate completing enrollment and patient dosing by the first quarter of 2024. We intend to use the preliminary results of our Phase 1/2a clinical trial to support a Clinical Trial Application to conduct in E.U. a multicenter Phase 2 trial in uMGMT-GBM, which we currently intend to conduct primarily in Italy. As of March 6, 2023, we had dosed a total of 19 patients. The preliminary results show that Temferon has been generally well tolerated, with no dose limiting toxicities identified so far.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intend to develop Temferon for the treatment of other solid tumor indications, and locally advanced hepatocellular carcinoma (“HCC”) and intra-hepatic cholangiocarcinoma (“ICC”) are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Temferon programs that target uMGMT-GBM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portfolio of clinical and preclinical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pursuant to our amended and restated license agreement with OSR,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 See “—Intellectual Property Rights— Collaboration/Licensing” for a description of our license agreements with OSR.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pipeline, with clinical and preclinical stage programs, is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48625" cy="396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48625" cy="39624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*Genenta has options/rights on IP derived from preclinical data generated at SR-Tiget laboratories.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developing novel cancer therapeutics using our autologous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platform, to initially address the unmet medical needs of uMGMT-GBM patients and patients suffering from other solid cancer indications such as advanced genitourinary malignancies like renal cell carcinoma and bladder cancer. Ultimately, we hope to broaden our platform to treat a wide variety of cancers by pursuing the following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development of our leading clinical-stage product candidate, Temferon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conducting a Phase 1/2a dose-escalation study in Italy to primarily evaluate the safety and tolerability of Temferon in up to 27 uMGMT-GBM patients who have an unmethylated MGMT promoter, following radiotherapy treatment. We plan to initiate in Europe a multicenter Phase 2 trial in uMGMT-GBM, which we currently intend to conduct primarily in Italy to evaluate the safety and efficacy of Temferon by measuring progression free survival (“PFS”) and overall survival as endpoints.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which is still in preparation. The plans for the Phase 2 clinical study and drug product manufacturing strategy will be informed by the Agency comments.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Extend our product pipeline across multiple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expand our product pipeline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Identifying additional indications suitable for Temferon. </w:t>
            </w:r>
            <w:r>
              <w:rPr>
                <w:rFonts w:ascii="Times New Roman;Times;Serif" w:hAnsi="Times New Roman;Times;Serif"/>
                <w:b w:val="false"/>
                <w:i w:val="false"/>
                <w:caps w:val="false"/>
                <w:smallCaps w:val="false"/>
                <w:sz w:val="20"/>
              </w:rPr>
              <w:t>We have selected Refractory Advanced Genitourinary Malignancies, including Renal Cell Cancer (“RCC”), as the second solid tumor indication for Temferon.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Using our platform with different transgene payloads</w:t>
            </w:r>
            <w:r>
              <w:rPr>
                <w:rFonts w:ascii="Times New Roman;Times;Serif" w:hAnsi="Times New Roman;Times;Serif"/>
                <w:b w:val="false"/>
                <w:i w:val="false"/>
                <w:caps w:val="false"/>
                <w:smallCaps w:val="false"/>
                <w:sz w:val="20"/>
              </w:rPr>
              <w:t>. Our platform technology is designed to enable us to use different transgene payloads to potentially achieve therapeutic outcomes in selected cancer indications. We are currently conducting preclinical studies for two therapeutics using our platform with different payloads targeting solid tumors.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Developing a second-generation platform that enables the “on-demand” release of the transgene payload</w:t>
            </w:r>
            <w:r>
              <w:rPr>
                <w:rFonts w:ascii="Times New Roman;Times;Serif" w:hAnsi="Times New Roman;Times;Serif"/>
                <w:b w:val="false"/>
                <w:i w:val="false"/>
                <w:caps w:val="false"/>
                <w:smallCaps w:val="false"/>
                <w:sz w:val="20"/>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Exploring combination therapies</w:t>
            </w:r>
            <w:r>
              <w:rPr>
                <w:rFonts w:ascii="Times New Roman;Times;Serif" w:hAnsi="Times New Roman;Times;Serif"/>
                <w:b w:val="false"/>
                <w:i w:val="false"/>
                <w:caps w:val="false"/>
                <w:smallCaps w:val="false"/>
                <w:sz w:val="20"/>
              </w:rPr>
              <w:t>. We will seek to enter into collaborations with other companies to explore combination studies of our therapeutics with other cancer therapies, such as ICI, CAR-T cell therapies and TCR therapies. We believe our product, as a result of its MoA, has the potential to enhance the durability and efficacy of the existing therapies, thus abolishing the immune tolerance to the tumor.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Exploiting in-licensing opportunities with OSR</w:t>
            </w:r>
            <w:r>
              <w:rPr>
                <w:rFonts w:ascii="Times New Roman;Times;Serif" w:hAnsi="Times New Roman;Times;Serif"/>
                <w:b w:val="false"/>
                <w:i w:val="false"/>
                <w:caps w:val="false"/>
                <w:smallCaps w:val="false"/>
                <w:sz w:val="20"/>
              </w:rPr>
              <w:t>. We intend to exploit in-licensing opportunities with OSR, a co-founding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 and maintain efficient manufacturing processes to support anticipated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our drug product supply needs for conducting larger trials after the completion of our planned Phase 2 uMGMT-GBM study in Europe, we intend to enter into a supply agreement with a U.S.-based CMO for the manufacturing of our products. Currently, Temferon, is manufactured by the European Cell and Gene Therapy unit of AGC Biologics, a leading global contract development and manufacturing organization (“CDMO”), which is headquartered in Italy and specializes in the manufacturing of viral vectors and genetically engineered cells. AGC Biologics’ facilities are certified by AIFA. AGC Biologics’ facilities in Milan and Bresso, Italy, will continue manufacturing LVV and Temferon to support Genenta’s trials. We expect AGC Biologics will close the Bresso facility in the near future as they expand and modify their facility. For further larger studies we may use AGC’s 60,000 square meter cell and gene therapy manufacturing facility located in Longmont, Colorado (U.S.), which AGC purchased from Novartis in July 2021 or another U.S.-based CMO.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Establish a patient-centered infrastructure and strong relationships with key U.S. opinion leaders working in our disease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 opportunistic partnership(s) with pharmaceutical company(s)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partner with larger pharmaceutical companies whose core competencies and oncology strategies are in line with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our growing body of early clinical data evidencing the potential of our autologous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Unique and valuable expertise. </w:t>
            </w:r>
            <w:r>
              <w:rPr>
                <w:rFonts w:ascii="Times New Roman;Times;Serif" w:hAnsi="Times New Roman;Times;Serif"/>
                <w:b w:val="false"/>
                <w:i w:val="false"/>
                <w:caps w:val="false"/>
                <w:smallCaps w:val="false"/>
                <w:sz w:val="20"/>
              </w:rPr>
              <w:t xml:space="preserve">We are conducting our clinical trials at OSR, a leading center for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for inherited diseases. 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Deep pipeline with broad utility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We believe that the flexibility of our technology platform combined with our exclusive option rights to in-license additional programs, gives us the ability to grow our pipeline by targeting a broad set of cancer diseases.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Durable therapeutic potential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Preliminary interim clinical data collected from twelve treated uMGMT-GBM patients following a single administration of Temferon displayed modified cells at 18 months, the last measured timepoint to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Designed for tumor restricted therapeutic payload delivery and release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design of our transgene expression cassette is intended to restrict 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Agnostic approach. </w:t>
            </w:r>
            <w:r>
              <w:rPr>
                <w:rFonts w:ascii="Times New Roman;Times;Serif" w:hAnsi="Times New Roman;Times;Serif"/>
                <w:b w:val="false"/>
                <w:i w:val="false"/>
                <w:caps w:val="false"/>
                <w:smallCaps w:val="false"/>
                <w:sz w:val="20"/>
              </w:rPr>
              <w:t>Our immune-gene therapy approach is designed to be a tumor-agnostic immunotherapy that does not rely on any specific target or tumor type, and we believe it could be successfully applied to a potentially broad range of cancers and immune contexts.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Solid tumors targeting. </w:t>
            </w:r>
            <w:r>
              <w:rPr>
                <w:rFonts w:ascii="Times New Roman;Times;Serif" w:hAnsi="Times New Roman;Times;Serif"/>
                <w:b w:val="false"/>
                <w:i w:val="false"/>
                <w:caps w:val="false"/>
                <w:smallCaps w:val="false"/>
                <w:sz w:val="20"/>
              </w:rPr>
              <w:t>Our platform has the potential to efficiently target solid tumors. Solid tumors are difficult to treat, even by the most novel and leading-edge technologies such as ICIs and CAR-T cells. Our cellular carrier, TEMs, is spontaneously and actively recruited by growing tumors and is found in several human solid tumors, irrespective of location.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Active and sustained tumor surveillance. </w:t>
            </w:r>
            <w:r>
              <w:rPr>
                <w:rFonts w:ascii="Times New Roman;Times;Serif" w:hAnsi="Times New Roman;Times;Serif"/>
                <w:b w:val="false"/>
                <w:i w:val="false"/>
                <w:caps w:val="false"/>
                <w:smallCaps w:val="false"/>
                <w:sz w:val="20"/>
              </w:rPr>
              <w:t>Our immune-gene investigational therapy is designed to trigger the patient’s own immune response and establish an active immune surveillance. Our preclinical work, which used different cancer models (B-cell acute lymphoblastic leukemia and GBM) as well as preliminary data collected from our uMGMT-GBM patients, suggests the occurrence of changes in the immune system.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Fine dose tuning. </w:t>
            </w:r>
            <w:r>
              <w:rPr>
                <w:rFonts w:ascii="Times New Roman;Times;Serif" w:hAnsi="Times New Roman;Times;Serif"/>
                <w:b w:val="false"/>
                <w:i w:val="false"/>
                <w:caps w:val="false"/>
                <w:smallCaps w:val="false"/>
                <w:sz w:val="20"/>
              </w:rPr>
              <w:t>Our platform holds promise to fine tune the dose to be administered based on individual patient characteristics.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Preliminary data indicate that our approach is feasible and well-tolerated. </w:t>
            </w:r>
            <w:r>
              <w:rPr>
                <w:rFonts w:ascii="Times New Roman;Times;Serif" w:hAnsi="Times New Roman;Times;Serif"/>
                <w:b w:val="false"/>
                <w:i w:val="false"/>
                <w:caps w:val="false"/>
                <w:smallCaps w:val="false"/>
                <w:sz w:val="20"/>
              </w:rPr>
              <w:t xml:space="preserve">Temferon has been well-tolerated in the limited number of patients treated to date. Our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modification of the patient’s own HSPCs and cryopreservation allow us to formulate the patient’s drug product prior to administering the therapy.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LVV as transgene payload delivery vehicles. </w:t>
            </w:r>
            <w:r>
              <w:rPr>
                <w:rFonts w:ascii="Times New Roman;Times;Serif" w:hAnsi="Times New Roman;Times;Serif"/>
                <w:b w:val="false"/>
                <w:i w:val="false"/>
                <w:caps w:val="false"/>
                <w:smallCaps w:val="false"/>
                <w:sz w:val="20"/>
              </w:rPr>
              <w:t xml:space="preserve">LVVs are particularly attractive for clinical applications due to their capacity to transfer large 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A large number of patients have been treated both with other LVV gene therapy products approved for sale and with clinical-stage LVV gene therapy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Applicability to a potentially large number of patients and indications</w:t>
            </w:r>
            <w:r>
              <w:rPr>
                <w:rFonts w:ascii="Times New Roman;Times;Serif" w:hAnsi="Times New Roman;Times;Serif"/>
                <w:b w:val="false"/>
                <w:i w:val="false"/>
                <w:caps w:val="false"/>
                <w:smallCaps w:val="false"/>
                <w:sz w:val="20"/>
              </w:rPr>
              <w:t xml:space="preserve">. We believe our autologous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 has broad therapeutic potential across a large number of malignancies. The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Current IO Treatments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91075" cy="402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91075" cy="40290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Limitations of IO Approaches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significant advances, the clinical application of immunotherapy for cancer patients still faces challenges, including:</w:t>
      </w:r>
    </w:p>
    <w:p>
      <w:pPr>
        <w:pStyle w:val="TextBody"/>
        <w:bidi w:val="0"/>
        <w:spacing w:before="0" w:after="0"/>
        <w:ind w:left="0" w:right="0" w:hanging="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tumor resistance (positive selection of tumor cells bearing advantageous mutations);</w:t>
            </w:r>
          </w:p>
        </w:tc>
      </w:tr>
    </w:tbl>
    <w:p>
      <w:pPr>
        <w:pStyle w:val="TextBody"/>
        <w:bidi w:val="0"/>
        <w:spacing w:before="0" w:after="0"/>
        <w:ind w:left="0" w:right="0" w:hanging="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specific targets;</w:t>
            </w:r>
          </w:p>
        </w:tc>
      </w:tr>
    </w:tbl>
    <w:p>
      <w:pPr>
        <w:pStyle w:val="TextBody"/>
        <w:bidi w:val="0"/>
        <w:spacing w:before="0" w:after="0"/>
        <w:ind w:left="0" w:right="0" w:hanging="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response for many patients;</w:t>
            </w:r>
          </w:p>
        </w:tc>
      </w:tr>
    </w:tbl>
    <w:p>
      <w:pPr>
        <w:pStyle w:val="TextBody"/>
        <w:bidi w:val="0"/>
        <w:spacing w:before="0" w:after="0"/>
        <w:ind w:left="0" w:right="0" w:hanging="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7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 durable response;</w:t>
            </w:r>
          </w:p>
        </w:tc>
      </w:tr>
    </w:tbl>
    <w:p>
      <w:pPr>
        <w:pStyle w:val="TextBody"/>
        <w:bidi w:val="0"/>
        <w:spacing w:before="0" w:after="0"/>
        <w:ind w:left="0" w:right="0" w:hanging="0"/>
        <w:jc w:val="both"/>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38"/>
        <w:gridCol w:w="170"/>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Side effects;</w:t>
            </w:r>
          </w:p>
        </w:tc>
      </w:tr>
    </w:tbl>
    <w:p>
      <w:pPr>
        <w:pStyle w:val="TextBody"/>
        <w:bidi w:val="0"/>
        <w:spacing w:before="0" w:after="0"/>
        <w:ind w:left="0" w:right="0" w:hanging="0"/>
        <w:jc w:val="both"/>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 for multiple dosing for most IO classes; and</w:t>
            </w:r>
          </w:p>
        </w:tc>
      </w:tr>
    </w:tbl>
    <w:p>
      <w:pPr>
        <w:pStyle w:val="TextBody"/>
        <w:bidi w:val="0"/>
        <w:spacing w:before="0" w:after="0"/>
        <w:ind w:left="0" w:right="0" w:hanging="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efficiently target many solid tumors.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 for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overcome the current limitations of IO therapies in solid tumors, a new, effective tumor therapeutic must:</w:t>
      </w:r>
    </w:p>
    <w:p>
      <w:pPr>
        <w:pStyle w:val="TextBody"/>
        <w:bidi w:val="0"/>
        <w:spacing w:before="0" w:after="0"/>
        <w:ind w:left="0" w:right="0" w:hanging="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a local and tumor-targeted delivery;</w:t>
            </w:r>
          </w:p>
        </w:tc>
      </w:tr>
    </w:tbl>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maximize on-target effects;</w:t>
            </w:r>
          </w:p>
        </w:tc>
      </w:tr>
    </w:tbl>
    <w:p>
      <w:pPr>
        <w:pStyle w:val="TextBody"/>
        <w:bidi w:val="0"/>
        <w:spacing w:before="0" w:after="0"/>
        <w:ind w:left="0" w:right="0" w:hanging="0"/>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the desired therapeutic index;</w:t>
            </w:r>
          </w:p>
        </w:tc>
      </w:tr>
    </w:tbl>
    <w:p>
      <w:pPr>
        <w:pStyle w:val="TextBody"/>
        <w:bidi w:val="0"/>
        <w:spacing w:before="0" w:after="0"/>
        <w:ind w:left="0" w:right="0" w:hanging="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minimize the off-target side effects; and</w:t>
            </w:r>
          </w:p>
        </w:tc>
      </w:tr>
    </w:tbl>
    <w:p>
      <w:pPr>
        <w:pStyle w:val="TextBody"/>
        <w:bidi w:val="0"/>
        <w:spacing w:before="0" w:after="0"/>
        <w:ind w:left="0" w:right="0" w:hanging="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provide long term results.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Specifically, we adapted an autologous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method to direct the patient’s own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technology employs the following key components:</w:t>
      </w:r>
    </w:p>
    <w:p>
      <w:pPr>
        <w:pStyle w:val="TextBody"/>
        <w:bidi w:val="0"/>
        <w:spacing w:before="0" w:after="0"/>
        <w:ind w:left="0" w:right="0" w:hanging="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17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the patient’s own autologous HSPCs;</w:t>
            </w:r>
          </w:p>
        </w:tc>
      </w:tr>
    </w:tbl>
    <w:p>
      <w:pPr>
        <w:pStyle w:val="TextBody"/>
        <w:bidi w:val="0"/>
        <w:spacing w:before="0" w:after="0"/>
        <w:ind w:left="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85"/>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of LVVs for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HSPCs transduction;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image below illustrates the steps of our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approach to transform patient’s autologous HSPCs into a therapeutic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81550" cy="2447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81550" cy="24479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Illustration of our ex-vivo approach (steps 1-2-3) and treatment process (step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Patient’s HSPCs are harvested by means of an apheresis process, and (2)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HSPCs are the Source of the Delivery Vehicle for Our Gene Therapy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Ex-vivo LVV based Transduction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collection, a functional copy of the therapeutic gene is inserted into the patient’s own HSPCs using a non-replicating LVV. This is an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process called transduction. We have chosen an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 because it enables us to optimize the quantity, or dose, of modified cells to be infused in each patient since we know, ahead of the administration, the drug product characteristics.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LVVs are the first choice for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(CD-19 CAR-T,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Novartis Pharma) and Zynteglo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(β-Thal, BlueBird Bio). With more than 100 clinical trials either completed or in progress using LVVs worldwide, this delivery method accounts for more than a third of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modified gene therapy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extensive clinical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studies, based on LVV gene transfer, have been performed in recent years by SR-Tiget for the prevention and treatment of some severe inherited disorders, resulting in approved drugs, such as Libmeldy</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These studies have shown that LVVs constitute a valuable and safer alternative to gamma-retroviral vectors, enabling a more efficient gene transfer into HSPCs and resulting in a robust and long-term transgene expression in their progeny. The studies also have demonstrated an alleviated risk of genotoxicity because of the vector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Differences exist between LVVs used for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BlueBird Bio temporary suspended its gene therapy clinical trials for SCD (HGB-206 and HGB-210) and the marketing of Zynteglo</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Tumor-Targeted Payload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transgene payload expression cassette consists of two key components: the Tie-2 promoter (RED) and miRNA-126 target sequences (LIGHT BLUE)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Tie-2 promoter. </w:t>
            </w:r>
            <w:r>
              <w:rPr>
                <w:rFonts w:ascii="Times New Roman;Times;Serif" w:hAnsi="Times New Roman;Times;Serif"/>
                <w:b w:val="false"/>
                <w:i w:val="false"/>
                <w:caps w:val="false"/>
                <w:smallCaps w:val="false"/>
                <w:sz w:val="20"/>
              </w:rPr>
              <w:t>The Tie-2 promoter enables the transformation of TEMs into a “Trojan Horse”, to deliver the therapeutic payload within the 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miRNA-126 target sequences</w:t>
            </w:r>
            <w:r>
              <w:rPr>
                <w:rFonts w:ascii="Times New Roman;Times;Serif" w:hAnsi="Times New Roman;Times;Serif"/>
                <w:b w:val="false"/>
                <w:i w:val="false"/>
                <w:caps w:val="false"/>
                <w:smallCaps w:val="false"/>
                <w:sz w:val="20"/>
              </w:rPr>
              <w:t>. The miRNA-126 target sequence serves as a post-transcriptional regulation layer that allows the expression of the 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81550" cy="2314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81550" cy="23145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Post-transcriptional control mechanism of transgene expression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Transgene expression is allowed only in cells where miRNA-126 is not expressed; (1) mRNA is transcribed into the nucleus (2) the transgene is then translated in the cytoplasm and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In those cells expressing miRNA-126 the payload production is prohibited; (1) mRNA is transcribed into the nucleus (2) miRNA-126 recognizes its target sequences on the mRNA and forms double strands of RNA (3) that are degraded or block the translation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81550" cy="1400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781550" cy="14001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firstLine="648"/>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Transgene payload expression as the result of the transcriptional (promoter) and post-transcriptional regulation (miRNA-126 target sequence) imposed by our expression cassette.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combining our built-in post-transcriptional control mechanism (</w:t>
      </w:r>
      <w:r>
        <w:rPr>
          <w:rFonts w:ascii="Times New Roman;Times;Serif" w:hAnsi="Times New Roman;Times;Serif"/>
          <w:b w:val="false"/>
          <w:i/>
          <w:caps w:val="false"/>
          <w:smallCaps w:val="false"/>
          <w:sz w:val="20"/>
        </w:rPr>
        <w:t>miRNA-126 target sequences</w:t>
      </w:r>
      <w:r>
        <w:rPr>
          <w:rFonts w:ascii="Times New Roman;Times;Serif" w:hAnsi="Times New Roman;Times;Serif"/>
          <w:b w:val="false"/>
          <w:i w:val="false"/>
          <w:caps w:val="false"/>
          <w:smallCaps w:val="false"/>
          <w:sz w:val="20"/>
        </w:rPr>
        <w:t>), with TEMs designed as a “Trojan Horse” allows our platform to restrict transgene expression and avoid systemic toxicity while reaching the therapeutic index to drive efficacy.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Leading Product Candidate: Temferon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candidate, Temferon, consists of genetically modified HSPCs which use our platform to deliver interferon-alpha (“IFN-α”), within the tumor microenvironment via TEMs (HSPCs differentiated myeloid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TEMs are associated with the growth of numerous cancer types, including solid tumors, we believe that Temferon is tumor type and tumor target agnostic and therefore may be used across a large variety of cancers. Currently, we are developing Temferon for uMGMT-GBM.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81550" cy="2495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781550" cy="2495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 of Temferon manufacturing process and mechanism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Patient’s </w:t>
      </w:r>
      <w:r>
        <w:rPr>
          <w:rFonts w:ascii="Times New Roman;Times;Serif" w:hAnsi="Times New Roman;Times;Serif"/>
          <w:b/>
          <w:i/>
          <w:caps w:val="false"/>
          <w:smallCaps w:val="false"/>
          <w:sz w:val="20"/>
        </w:rPr>
        <w:t>HSPCs</w:t>
      </w:r>
      <w:r>
        <w:rPr>
          <w:rFonts w:ascii="Times New Roman;Times;Serif" w:hAnsi="Times New Roman;Times;Serif"/>
          <w:b w:val="false"/>
          <w:i/>
          <w:caps w:val="false"/>
          <w:smallCaps w:val="false"/>
          <w:sz w:val="20"/>
        </w:rPr>
        <w:t xml:space="preserve"> are harvested, (1) </w:t>
      </w:r>
      <w:r>
        <w:rPr>
          <w:rFonts w:ascii="Times New Roman;Times;Serif" w:hAnsi="Times New Roman;Times;Serif"/>
          <w:b/>
          <w:i/>
          <w:caps w:val="false"/>
          <w:smallCaps w:val="false"/>
          <w:sz w:val="20"/>
        </w:rPr>
        <w:t>ex-vivo</w:t>
      </w:r>
      <w:r>
        <w:rPr>
          <w:rFonts w:ascii="Times New Roman;Times;Serif" w:hAnsi="Times New Roman;Times;Serif"/>
          <w:b w:val="false"/>
          <w:i/>
          <w:caps w:val="false"/>
          <w:smallCaps w:val="false"/>
          <w:sz w:val="20"/>
        </w:rPr>
        <w:t xml:space="preserve"> modified by </w:t>
      </w:r>
      <w:r>
        <w:rPr>
          <w:rFonts w:ascii="Times New Roman;Times;Serif" w:hAnsi="Times New Roman;Times;Serif"/>
          <w:b/>
          <w:i/>
          <w:caps w:val="false"/>
          <w:smallCaps w:val="false"/>
          <w:sz w:val="20"/>
        </w:rPr>
        <w:t>LVVs</w:t>
      </w:r>
      <w:r>
        <w:rPr>
          <w:rFonts w:ascii="Times New Roman;Times;Serif" w:hAnsi="Times New Roman;Times;Serif"/>
          <w:b w:val="false"/>
          <w:i/>
          <w:caps w:val="false"/>
          <w:smallCaps w:val="false"/>
          <w:sz w:val="20"/>
        </w:rPr>
        <w:t xml:space="preserve"> (2) and re-introduced back in patient’s blood stream (3). Once recruited within the tumor microenvironment, TEMs release IFN-α that reduces angiogenesis, counteracts tumor cells proliferation and enables the immune system to recognize the tumor.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GBM is a solid tumor affecting the brain. We have chosen this indication due to the following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High unmet medical need. </w:t>
            </w:r>
            <w:r>
              <w:rPr>
                <w:rFonts w:ascii="Times New Roman;Times;Serif" w:hAnsi="Times New Roman;Times;Serif"/>
                <w:b w:val="false"/>
                <w:i w:val="false"/>
                <w:caps w:val="false"/>
                <w:smallCaps w:val="false"/>
                <w:sz w:val="20"/>
              </w:rPr>
              <w:t>The prognosis for GBM patients remains poor with few therapeutic options having limited clinical benefits.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Temferon’s MoA targets TEMs which have an active role in uMGMT-GBM pathology. </w:t>
            </w:r>
            <w:r>
              <w:rPr>
                <w:rFonts w:ascii="Times New Roman;Times;Serif" w:hAnsi="Times New Roman;Times;Serif"/>
                <w:b w:val="false"/>
                <w:i w:val="false"/>
                <w:caps w:val="false"/>
                <w:smallCaps w:val="false"/>
                <w:sz w:val="20"/>
              </w:rPr>
              <w:t>GBMs are highly vascularized tumors that critically 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Immunosuppressive tumor microenvironment. </w:t>
            </w:r>
            <w:r>
              <w:rPr>
                <w:rFonts w:ascii="Times New Roman;Times;Serif" w:hAnsi="Times New Roman;Times;Serif"/>
                <w:b w:val="false"/>
                <w:i w:val="false"/>
                <w:caps w:val="false"/>
                <w:smallCaps w:val="false"/>
                <w:sz w:val="20"/>
              </w:rPr>
              <w:t>GBM is characterized by an immunosuppressive microenvironment that is mediated by tumor 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Availability of a “competent” immune system. </w:t>
            </w:r>
            <w:r>
              <w:rPr>
                <w:rFonts w:ascii="Times New Roman;Times;Serif" w:hAnsi="Times New Roman;Times;Serif"/>
                <w:b w:val="false"/>
                <w:i w:val="false"/>
                <w:caps w:val="false"/>
                <w:smallCaps w:val="false"/>
                <w:sz w:val="20"/>
              </w:rPr>
              <w:t>Our approach relies on a patient’s immune system being capable of providing an immune response upon recognition of the tumor. Therefore, we believe newly diagnosed uMGMT-GBM patients who have relatively “competent” immune systems, not yet damaged by repeated cycles of chemotherapies, are strong candidates for our candidate.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Compelling preclinical data. </w:t>
            </w:r>
            <w:r>
              <w:rPr>
                <w:rFonts w:ascii="Times New Roman;Times;Serif" w:hAnsi="Times New Roman;Times;Serif"/>
                <w:b w:val="false"/>
                <w:i w:val="false"/>
                <w:caps w:val="false"/>
                <w:smallCaps w:val="false"/>
                <w:sz w:val="20"/>
              </w:rPr>
              <w:t>Our preclinical studies, published in peer-reviewed papers, suggest that TEMs play an active role in uMGMT-GBM, and when 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Market Opportunity. </w:t>
            </w:r>
            <w:r>
              <w:rPr>
                <w:rFonts w:ascii="Times New Roman;Times;Serif" w:hAnsi="Times New Roman;Times;Serif"/>
                <w:b w:val="false"/>
                <w:i w:val="false"/>
                <w:caps w:val="false"/>
                <w:smallCaps w:val="false"/>
                <w:sz w:val="20"/>
              </w:rPr>
              <w:t>Based on currently available treatments, the global market size for all GBM is projected to grow to over $3.4 billion by 2032. We believe a novel therapeutic which demonstrates improvement over existing therapies would greatly increase the market size.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discussing other studies using Temferon in solid tumor indications, for which we are considering patients with unmet medical needs suffering from solid tumors which recruit TEMs in order to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Temferon for uMGMT-GBM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Disease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GBM is the most common malignant primary brain tumor accounting for more than half of all central nervous system cancers and for which there is a high unmet medical need. The incidence rate is 3.20 per 100,000 persons with over 13,000 deaths per year in the U.S.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Treatment Landscape and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standard of care for GBM includes surgery to remove the accessible tumor followed by radiation therapy (“RTx”), chemotherapy with temozolomide (“TMZ”) and/or tumor treating fields (“TTFields”).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Surgery </w:t>
            </w:r>
            <w:r>
              <w:rPr>
                <w:rFonts w:ascii="Times New Roman;Times;Serif" w:hAnsi="Times New Roman;Times;Serif"/>
                <w:b w:val="false"/>
                <w:i w:val="false"/>
                <w:caps w:val="false"/>
                <w:smallCaps w:val="false"/>
                <w:sz w:val="20"/>
              </w:rPr>
              <w:t>remains the mainstay of initial treatment. If the tumor is located in a resectable region of the brain, it is used to histologically confirm the 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Radiation therapy </w:t>
            </w:r>
            <w:r>
              <w:rPr>
                <w:rFonts w:ascii="Times New Roman;Times;Serif" w:hAnsi="Times New Roman;Times;Serif"/>
                <w:b w:val="false"/>
                <w:i w:val="false"/>
                <w:caps w:val="false"/>
                <w:smallCaps w:val="false"/>
                <w:sz w:val="20"/>
              </w:rPr>
              <w:t>improves survival and is typically started approximately 3 to 4 weeks after surgery. RTx is performed daily for approximately 6 weeks. RTx induces the formation of neo-antigens and a pro-inflammatory response that are key aspects for immune system mediated disease control. However, the efficacy of RTx is impaired by hypoxia and by the negative effects of RTx on tumor infiltrating immune cells.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Chemotherapy. </w:t>
            </w:r>
            <w:r>
              <w:rPr>
                <w:rFonts w:ascii="Times New Roman;Times;Serif" w:hAnsi="Times New Roman;Times;Serif"/>
                <w:b w:val="false"/>
                <w:i w:val="false"/>
                <w:caps w:val="false"/>
                <w:smallCaps w:val="false"/>
                <w:sz w:val="20"/>
              </w:rPr>
              <w:t>Temozolomide, the current chemotherapeutic standard of care, is a DNA-alkylating agent that can cross the blood-brain barrier to 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Tumor-Treating Fields (TTFields)</w:t>
            </w:r>
            <w:r>
              <w:rPr>
                <w:rFonts w:ascii="Times New Roman;Times;Serif" w:hAnsi="Times New Roman;Times;Serif"/>
                <w:b w:val="false"/>
                <w:i w:val="false"/>
                <w:caps w:val="false"/>
                <w:smallCaps w:val="false"/>
                <w:sz w:val="20"/>
              </w:rPr>
              <w:t>. The use of TTFields to extend temozolomide maintenance chemotherapy for newly diagnosed glioblastoma 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Experimental Treatments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Along with the above-mentioned treatments, the addition of the antiangiogenic agent bevacizumab (BEV) to RTx and TMZ has been explored with mixed clinical results BEV was tested both a first-line treatment together with RTx and concomitant TMZ administration in newly diagnosed glioblastoma patients, as well as in combination with RTx in recurrent GBM patients. BEV was approved by 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PFS.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investigational product, Temferon, has the potential to address the world recognized GBM unmet need. Through a single administration, we believe Temferon may be able to provide a long-lasting immune response, minimize systemic toxicity, counteract cancer progression and prevent tumor relapse.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Temferon utilizes our platform and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Times New Roman;Times;Serif" w:hAnsi="Times New Roman;Times;Serif"/>
          <w:b w:val="false"/>
          <w:i/>
          <w:caps w:val="false"/>
          <w:smallCaps w:val="false"/>
          <w:sz w:val="20"/>
        </w:rPr>
        <w:t>see “Our Leading Product Candidate: Temferon” and “Our Platform”</w:t>
      </w:r>
      <w:r>
        <w:rPr>
          <w:rFonts w:ascii="Times New Roman;Times;Serif" w:hAnsi="Times New Roman;Times;Serif"/>
          <w:b w:val="false"/>
          <w:i w:val="false"/>
          <w:caps w:val="false"/>
          <w:smallCaps w:val="false"/>
          <w:sz w:val="20"/>
        </w:rPr>
        <w:t>). Temferon is designed to colonize the patient’s bone marrow with the genetically modified HSPCs to continuously generate TEMs containing the IFN-α payload. Since TEMs are recruited within the tumor microenvironment, IFN-α is released solely at the targeted tumor, which may result in clinical activity without inducing systemic toxicity.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Once within the tumor microenvironment, IFN-α is expected to act both </w:t>
      </w:r>
      <w:r>
        <w:rPr>
          <w:rFonts w:ascii="Times New Roman;Times;Serif" w:hAnsi="Times New Roman;Times;Serif"/>
          <w:b w:val="false"/>
          <w:i/>
          <w:caps w:val="false"/>
          <w:smallCaps w:val="false"/>
          <w:sz w:val="20"/>
        </w:rPr>
        <w:t>directly</w:t>
      </w:r>
      <w:r>
        <w:rPr>
          <w:rFonts w:ascii="Times New Roman;Times;Serif" w:hAnsi="Times New Roman;Times;Serif"/>
          <w:b w:val="false"/>
          <w:i w:val="false"/>
          <w:caps w:val="false"/>
          <w:smallCaps w:val="false"/>
          <w:sz w:val="20"/>
        </w:rPr>
        <w:t xml:space="preserve"> by promoting cancer cell apoptosis and inhibiting vascularization and </w:t>
      </w:r>
      <w:r>
        <w:rPr>
          <w:rFonts w:ascii="Times New Roman;Times;Serif" w:hAnsi="Times New Roman;Times;Serif"/>
          <w:b w:val="false"/>
          <w:i/>
          <w:caps w:val="false"/>
          <w:smallCaps w:val="false"/>
          <w:sz w:val="20"/>
        </w:rPr>
        <w:t xml:space="preserve">indirectly </w:t>
      </w:r>
      <w:r>
        <w:rPr>
          <w:rFonts w:ascii="Times New Roman;Times;Serif" w:hAnsi="Times New Roman;Times;Serif"/>
          <w:b w:val="false"/>
          <w:i w:val="false"/>
          <w:caps w:val="false"/>
          <w:smallCaps w:val="false"/>
          <w:sz w:val="20"/>
        </w:rPr>
        <w:t>by restoring the body’s anti-tumor immune response,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Direct Effects. </w:t>
            </w:r>
            <w:r>
              <w:rPr>
                <w:rFonts w:ascii="Times New Roman;Times;Serif" w:hAnsi="Times New Roman;Times;Serif"/>
                <w:b w:val="false"/>
                <w:i w:val="false"/>
                <w:caps w:val="false"/>
                <w:smallCaps w:val="false"/>
                <w:sz w:val="20"/>
              </w:rPr>
              <w:t>IFN-α suppresses tumor cell proliferation and promotes the apoptosis of tumor and stromal cells by induction of proapoptotic genes or repression of anti-apoptotic genes. Moreover, IFN-α inhibits angiogenesis by downregulating the expression of proangiogenic factors.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Indirect Effects. </w:t>
            </w:r>
            <w:r>
              <w:rPr>
                <w:rFonts w:ascii="Times New Roman;Times;Serif" w:hAnsi="Times New Roman;Times;Serif"/>
                <w:b w:val="false"/>
                <w:i w:val="false"/>
                <w:caps w:val="false"/>
                <w:smallCaps w:val="false"/>
                <w:sz w:val="20"/>
              </w:rPr>
              <w:t>IFN-α stimulates early innate immune responses and the subsequent adaptive immune response via multiple pathways and 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responses.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91075" cy="2400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791075" cy="2400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 of Temferon antitumor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recruited at the tumor site, instead of fostering tumor growth and inhibiting the immune systems, TEMs start to release IFN-α that triggers cancer cell apoptosis and arms the immune cells to fight the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Development of Temferon in uMGMT-GBM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Preclinical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52675" cy="2619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52675" cy="26193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Inhibition of Human Gliomas in IFN-α Gene Therapy Treated Athymic Mice (De Palma et al.,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A-B) </w:t>
      </w:r>
      <w:r>
        <w:rPr>
          <w:rFonts w:ascii="Times New Roman;Times;Serif" w:hAnsi="Times New Roman;Times;Serif"/>
          <w:b w:val="false"/>
          <w:i/>
          <w:caps w:val="false"/>
          <w:smallCaps w:val="false"/>
          <w:sz w:val="20"/>
        </w:rPr>
        <w:t xml:space="preserve">Glioma growth (mean tumor volume ± SEM, measured by MRI) in individual control and IFN-α gene therapy treated mice (Tie2-IFN) at 3 weeks post tumor injection (“PTI”). Tumor volume and progression decreased in IFN-α gene therapy treated mice. </w:t>
      </w:r>
      <w:r>
        <w:rPr>
          <w:rFonts w:ascii="Times New Roman;Times;Serif" w:hAnsi="Times New Roman;Times;Serif"/>
          <w:b/>
          <w:i/>
          <w:caps w:val="false"/>
          <w:smallCaps w:val="false"/>
          <w:sz w:val="20"/>
        </w:rPr>
        <w:t>C)</w:t>
      </w:r>
      <w:r>
        <w:rPr>
          <w:rFonts w:ascii="Times New Roman;Times;Serif" w:hAnsi="Times New Roman;Times;Serif"/>
          <w:b w:val="false"/>
          <w:i/>
          <w:caps w:val="false"/>
          <w:smallCaps w:val="false"/>
          <w:sz w:val="20"/>
        </w:rPr>
        <w:t xml:space="preserve"> MRI images showing brain tumor growth at the indicated time points PTI in representative control (Ctrl) and Tie2-IFN mice. Intracranial gliomas are indicated by arrows and dashed line. The tumor did not progress in Tie2-IFN mice. </w:t>
      </w:r>
      <w:r>
        <w:rPr>
          <w:rFonts w:ascii="Times New Roman;Times;Serif" w:hAnsi="Times New Roman;Times;Serif"/>
          <w:b/>
          <w:i/>
          <w:caps w:val="false"/>
          <w:smallCaps w:val="false"/>
          <w:sz w:val="20"/>
        </w:rPr>
        <w:t>D)</w:t>
      </w:r>
      <w:r>
        <w:rPr>
          <w:rFonts w:ascii="Times New Roman;Times;Serif" w:hAnsi="Times New Roman;Times;Serif"/>
          <w:b w:val="false"/>
          <w:i/>
          <w:caps w:val="false"/>
          <w:smallCaps w:val="false"/>
          <w:sz w:val="20"/>
        </w:rPr>
        <w:t xml:space="preserve"> Measurement of tumor necrotic fraction (mean necrotic fraction, % ± SEM) by MRI in individual Ctrl and Tie2-IFN mice at 3 weeks PTI, evidencing cancer cell death. </w:t>
      </w:r>
      <w:r>
        <w:rPr>
          <w:rFonts w:ascii="Times New Roman;Times;Serif" w:hAnsi="Times New Roman;Times;Serif"/>
          <w:b/>
          <w:i/>
          <w:caps w:val="false"/>
          <w:smallCaps w:val="false"/>
          <w:sz w:val="20"/>
        </w:rPr>
        <w:t>E)</w:t>
      </w:r>
      <w:r>
        <w:rPr>
          <w:rFonts w:ascii="Times New Roman;Times;Serif" w:hAnsi="Times New Roman;Times;Serif"/>
          <w:b w:val="false"/>
          <w:i/>
          <w:caps w:val="false"/>
          <w:smallCaps w:val="false"/>
          <w:sz w:val="20"/>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Phase 1/2a Clinical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2019, we enrolled our first patient in a single-arm, open label, dose escalation, Phase 1/2a clinical trial, in adult patients aged 18 to 70 years (the “TEM-GBM 001 study”). The trial is being conducted at two clinical centers of excellence located in Milan,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Istituto Nazionale Neurologico “</w:t>
      </w:r>
      <w:r>
        <w:rPr>
          <w:rFonts w:ascii="Times New Roman;Times;Serif" w:hAnsi="Times New Roman;Times;Serif"/>
          <w:b w:val="false"/>
          <w:i/>
          <w:caps w:val="false"/>
          <w:smallCaps w:val="false"/>
          <w:sz w:val="20"/>
        </w:rPr>
        <w:t>Carlo Besta</w:t>
      </w:r>
      <w:r>
        <w:rPr>
          <w:rFonts w:ascii="Times New Roman;Times;Serif" w:hAnsi="Times New Roman;Times;Serif"/>
          <w:b w:val="false"/>
          <w:i w:val="false"/>
          <w:caps w:val="false"/>
          <w:smallCaps w:val="false"/>
          <w:sz w:val="20"/>
        </w:rPr>
        <w:t>”, an internationally recognized leading center in neuroscience, specializing in the diagnosis and treatment of neurological diseases in adults and children, and (ii) OSR, which has a recognized expertise in complex and innovative diagnostic and therapeutic approaches in onco-hematological patients and in gene therapy treatments.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of the TEM-GBM 001 study is to evaluate the safety, tolerability, feasibility, and biological activity of Temferon in uMGMT-GBM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is followed for two years. The figure below depicts the different stages of TEM-GBM 001 study enrollment and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57525" cy="1771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057525" cy="17716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TEM-GBM 001 Study Design.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study aims to evaluate the short-term (up to 90 days) and long-term (up to two years) tolerability and safety of five escalating doses of Temferon in up to 24 patients with uMGMT-GBM and an unmethylated MGMT promoter, following first line radiotherapy.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study was designed with a dose escalation phase in 15 patients assigned to five cohorts (Part A) to test three different escalating Temferon doses and two different conditioning regimens, with the aim of determining the best Temferon engraftment associated with fewer side effects to be then applied to an expansion phase (Part B) in six additional patients.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in Cohorts one (1), two (2) and three (3) received Temferon dose escalation up to 2 x 10</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CD34+ cells/kg (Dose Level 3) and 3 x 10</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CD34+ cells/kg as unmanipulated supporter HSPCs. Patients in Cohorts four (4) and five (5) were infused with Temferon Dose Level 3 but received 2 x 10</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CD34+ cells/kg and were conditioned with two different conditioning regimens (BCNU &amp; thiotepa for Cohort 4, also utilized in Cohort 1-3 and Busulfan &amp; Thiothepa for Cohort 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results collected in Part A of the study, we have amended the dose ranging part of the study to add three additional dose escalation Cohorts (numbers six (6), seven (7) and eight (8)). The Clinical Protocol amendment was submitted on July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2021, to the Italian Competent Authorities, and approved by AIFA in September 2021.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the submitted clinical protocol amendments, three (3) patients in Cohort 6 were conditioned with BCNU and Thiotepa and received 2 x 106/kg supporter HSPCs and a Temferon dose of 3 x 106 cells/kg. Three patients in Cohort 7 were conditioned with Busulfan alone and received 3 x 106/kg supporter HSPCs and a Temferon dose of 3 x 106 cells/kg. As of March 22, 2024, three patients were enrolled in Cohort 8 with two of the patients infused with 3 x 106/kg supporter HSPCs and a Temferon dose of 4 x 106 cells/kg. The third patient of Cohort 8 will be infused when the patient completes six weeks of radiotherapy. The review of the safety, tolerability and biological data from the 24 patients of Part A of the study will determine if three additional patients will be tested as part of the transition to the Phase 2 part of the study.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 below represents the TEM-GBM 001 study design with the key inclusion criteria. The study EudraCT Number is 2018-001404-11 and can be found at clinicaltrialsregister.eu/ctr-search/trial/2018-001404-11/IT.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143750" cy="4133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4133850"/>
                    </a:xfrm>
                    <a:prstGeom prst="rect">
                      <a:avLst/>
                    </a:prstGeom>
                  </pic:spPr>
                </pic:pic>
              </a:graphicData>
            </a:graphic>
          </wp:inline>
        </w:drawing>
      </w: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Preliminary Interim Results.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designed the TEM-GBM 001 study to: (i) obtain rapid accrual of patients (ii) assess the safety profile of Temferon, (iii) identify the optimal dose, and (iv) measure the biological activity of Temferon on those patients who progress to the point of requiring a second surgery.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designed our study anticipating that patients receiving lower doses of Temferon could progress to the point of needing a second surgery, which is often necessary in GBM patients. A second surgery provides the only source of GBM specimens post treatment to evaluate the biological activity of Temferon and to evaluate its mechanism of action in patients. We enrolled our first patient in April 2019, and as of March 22, 2024, we had dosed 23 patients, from Cohort 1 to 8. We expect to complete the dosing of the last patient in Cohort 8 by the end of the second quarter of 2024.</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120" w:after="283"/>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dose limiting toxicities identified in our clinical study to date. All patients showed rapid engraftment and hematological recovery after administering the sub-myeloablative conditioning regimens (Busulfan BCNU + Thiotepa, Busulfan and Thiothepa or Busulfan alone).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23 months, the last measured timepoint to date).</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143750" cy="4038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40386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detected very low concentrations of IFN-α in the plasma and cerebrospinal fluid, suggesting the transgene expression control mechanism may be working as intended by limiting systemic IFN-a exposure.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adverse events have mainly been attributed by the Investigator to the effects of the conditioning regimen (pneumonia, pulmonary embolism, febrile neutropenia, fatigue, C.diff infection, CMV reactivation, sepsis)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Seventeen deaths have been reported as of September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2023, with six patients out of the 23 treated remaining alive. The median overall survival is 17 months following initial surgery.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adverse events that have occurred in this study have largely been related to the conditioning chemotherapy used (for example infections, neutropenia, deterioration in physical condition, and thromboembolism), or due to disease progression (for example seizures and neurological complications).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serious and unexpected adverse event, attributed to Temferon, occurred at Day +79 post Temferon administration and was reported as persistently elevated gamma glutamyltransferase.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subsequently recovered from this event and is one of the long term survivors in the study.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evaluable disease status as assessed by immunotherapy response assessment for neuro-oncology (“iRANO”) criteria], the last evaluable time point for the first 15 treated patients (prior to death, where applicable), was as follows: six patients had shown stable disease (“SD”), two patients had demonstrated partial response, seven patients had shown progressive disease (“PD”).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 -month window for confirmation of progression on follow-up imaging, and further advises that progressive imaging changes beyond six months after immunotherapy initiation are more likely true tumor progression.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120" w:after="283"/>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eight out of the nine patients from the first three Cohorts and one patient in Cohort 4 progressed. The PD occurred after a median of + 123 days (range 83–239 days) following administration of Temferon. Two patients of Cohort 3 progressed before Temferon administration (11 and 12 days before Temferon administration). Preliminary analyses performed on the tumor specimens belonging to patients with PD who underwent a second surgery (four patients) confirmed the presence of TEMs within the tumor, as assessed by flow cytometry, and an increased expression of IFN-responsive gene signatures compared to diagnosis, as assessed by quantitative polymerase chain reaction (“PCR”) tests. We believe that these findings suggest intra-tumor IFN-α release.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analyzed the peripheral blood of the patients from Cohorts 1 to 3. In these patients, the peripheral blood showed, on two of the four subjects with samples at the first and second surgery, a change in the T cell immune repertoire post treatment, revealing expansion of tumor-associated clones, which suggested that changes in the immune system are occurring.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patients in Cohort 6 died; one 424 days from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surgery, and the other 162 days from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surgery. The 3</w:t>
      </w:r>
      <w:r>
        <w:rPr>
          <w:rFonts w:ascii="Times New Roman;Times;Serif" w:hAnsi="Times New Roman;Times;Serif"/>
          <w:b w:val="false"/>
          <w:i w:val="false"/>
          <w:caps w:val="false"/>
          <w:smallCaps w:val="false"/>
          <w:position w:val="7"/>
          <w:sz w:val="16"/>
          <w:sz w:val="20"/>
        </w:rPr>
        <w:t xml:space="preserve">rd </w:t>
      </w:r>
      <w:r>
        <w:rPr>
          <w:rFonts w:ascii="Times New Roman;Times;Serif" w:hAnsi="Times New Roman;Times;Serif"/>
          <w:b w:val="false"/>
          <w:i w:val="false"/>
          <w:caps w:val="false"/>
          <w:smallCaps w:val="false"/>
          <w:sz w:val="20"/>
        </w:rPr>
        <w:t>patient is alive and stable. The three patients of Cohort 7 are alive, the first had evidence of disease progression immediately after receiving Temferon and subsequently underwent a second surgery. The other two patients in Cohort 7 have no evidence of disease progression.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uMGMT-GBM patients despite the low dose administered. We have yet to reach the maximum tolerated dose of Temferon and as outlined in our study protocol, we will be increasing the dose in Cohorts 6, 7 and 8.</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TEM-GBM Clinical Development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use the results of our TEM-GBM Phase 1/2a study (NCT03866109) to support a Clinical Trial Application to be conducted in Europe, a multicenter Phase 2 study in uMGMT-GBM, which we currently intend to conduct primarily in Italy.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 We intend to submit the CTA for a Temferon Phase 2 study for uMGMT-GBM patients by the fourth quarter of 2024. The Phase 2 study will evaluate the safety, tolerability, biological reprogramming of the tumor microenvironment in Temferon treated patients compared to the current standard of care, with primary endpoints, of PFS and mOS. We are also working with our current CMO and potentially other CMOs based in the U.S. to manufacture and to supply Temferon in the U.S. for our larger trials to be conducted after the completion of our Phase 2 study.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components of the anticipated clinical trial are as follows:</w:t>
      </w:r>
    </w:p>
    <w:p>
      <w:pPr>
        <w:pStyle w:val="TextBody"/>
        <w:bidi w:val="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Multicenter study evaluating Temferon for safety, tolerability and efficacy compared to the current standard of care;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4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and treatment of up to 27 patients with newly diagnosed and recurrent uMGMT-GBM;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4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PFS and mOS as co-primary study endpoints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study design as discussed with FDA at the Pre-IND meeting may be subject to modifications. In 2023 the U.S. Food and Drug Administration (FDA) and the European Commission have each granted Orphan Drug Designation (“ODD”) to Temferon for the treatment of glioblastoma multiforme.</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Solid Tumor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evaluating advanced genitourinary malignancies like metastatic renal cell carcinoma (“mRCC”) and bladder cancers as a potential second solid tumor to be investigated. Renal cell carcinoma (“RCC”) and bladder cancer are cancers affecting the genito-urinary system. We are choosing to pursue both of these indications for similar reasons as the uMGMT-GBM indication, namely: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High unmet medical need and market opportunity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prognosis for patients with advanced genitourinary malignancies remains poor.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Suitable tumor microenvironment. </w:t>
            </w:r>
            <w:r>
              <w:rPr>
                <w:rFonts w:ascii="Times New Roman;Times;Serif" w:hAnsi="Times New Roman;Times;Serif"/>
                <w:b w:val="false"/>
                <w:i w:val="false"/>
                <w:caps w:val="false"/>
                <w:smallCaps w:val="false"/>
                <w:sz w:val="20"/>
              </w:rPr>
              <w:t>Both mRCC and bladder cancer are characterized by an immunotherapy-responsive tumor microenvironment. Moreover, in renal cell carcinoma TEMs play a key role.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IFN-α and advanced genitourinary malignancies. </w:t>
            </w:r>
            <w:r>
              <w:rPr>
                <w:rFonts w:ascii="Times New Roman;Times;Serif" w:hAnsi="Times New Roman;Times;Serif"/>
                <w:b w:val="false"/>
                <w:i w:val="false"/>
                <w:caps w:val="false"/>
                <w:smallCaps w:val="false"/>
                <w:sz w:val="20"/>
              </w:rPr>
              <w:t>Both mRCC and bladder cancer have been demonstrated to be exquisitely sensitive to IFN-α treatment. Almost 15 years ago, immunotherapy with IFN-α or interleukin-2 pioneered the systemic treatment of RCC. UC IFN-α as an intravesical therapy has been evaluated over many decades with variable results which we believe were largely due to the short drug exposure time rather than inherent lack of the cytokine anti-tumor activity. Very recently, the targeted delivery of IFN-α by an in vivo gene therapy approach in BCG-unresponsive non-muscle invasive bladder cancer resulted in relevant clinical benefit and led to the FDA market approval of Adstiladrin®.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Market Opportunity. </w:t>
            </w:r>
            <w:r>
              <w:rPr>
                <w:rFonts w:ascii="Times New Roman;Times;Serif" w:hAnsi="Times New Roman;Times;Serif"/>
                <w:b w:val="false"/>
                <w:i w:val="false"/>
                <w:caps w:val="false"/>
                <w:smallCaps w:val="false"/>
                <w:sz w:val="20"/>
              </w:rPr>
              <w:t>Based on currently available treatments, the 2023 RCC market for therapeutics is approximately USD$8.1 billion and is projected to grow 5.1% annually, reaching $12.7 billion in 2032, while the market value for treatments for bladder cancer are expected to hit USD$7.52 billion by 2029. We believe a novel therapeutic which demonstrates improvement over existing therapies would have the potential to meaningfully grow the market size.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Disease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Renal Cell Carcinoma (RCC):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Renal cell carcinoma accounts for over 80% of primary renal malignancies, with clear cell RCC being the most common (75% of all parenchymal renal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Combination therapy (dual IO or an IO plus VEGF-TKI) is now recommended as first-line therapy. The treatment choice in the second and subsequent lines depends on the regimens received in prior lines, usually avoiding rechallenging a patient with the same agents. The second-line setting is dominated by the use of single-agent TKIs, (cabozantinib or pazopanib) and lenvatinib combined with the everolimus (mTOR inhibitor). Other treatments include the TKIs sunitinib and sorafenib, and the mTOR inhibitor temsirolimus. Single-agent nivolumab is approved for second-line treatment, but is used mainly for patients who did not receive an ICI in the first line. A hypoxia-inducible factor 2α (HIF2α) inhibitor, belzutifan, is approved for treating patients with RCC with VHL disease (3–6% of RCCs) who do not require immediate surgery. Multiple phase III trials are ongoing to expand its label in RCC, including in late-line advanced or metastatic settings and in combination with other approved targeted therapies in the adjuvant and first-line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Urothelial Carcinoma (UC):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 is the ninth most common malignancy globally and more than 90% of cases arise from the bladder with the remainder located in the ureters, renal pelvis, and very rarely, the urethra.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Platinum-based (cisplatin or carboplatin) combination chemotherapy remains the standard first-line treatment for advanced/metastatic UC. Recent approvals of anti-programmed cell death protein 1 (PD-1)/programmed death-ligand 1 (PD-L1) IO have improved the medicines, equipment and techniques available to medical practicioners to treat advanced UC. The antibody-drug conjugate (ADC) enfortumab vedotin, comprised of a microtubule-disrupting agent, monomethyl auristatin E (MMAE), coupled by a fully human immunoglobulin G, monoclonal antibody (mAb) targeting Nectin-4, recently received approval in the U.S. and E.U. for the treatment of patients with locally advanced or metastatic UC who have previously received an anti-PD-1 or PD-L1 IO and a platinum-containing chemotherapy in the neo-adjuvant/adjuvant, locally advanced, or metastatic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the results we have observed to date for Temferon for the treatment of GBM, we believe that Temferon may have the ability overcome certain of the limitations of the current standard of care for the treatment of RCC and UC that are not curative/resolutive by stopping/delaying disease progression.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Clinical Development of Temferon in advanced genitourinary malignancies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Solid Tumor Study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RCC and bladder cancer key opinion leaders to help define an appropriate Phase 1/2 study design for Temferon in these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final trial design, we expect that patients in a Phase 1/2 study will be administered Temferon following a substantially similar process as our TEM-GBM trial, namely: (i) HSPCs harvesting, (ii) bridging therapy concomitant to Temferon manufacturing, (iii) administration of the conditioning regimen followed by Temferon infusion, and (iv) 2-years of follow-up.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Pipeline Pre-Clinical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technology was designed to be flexible so that it can be adapted to potentially treat a variety of cancers. We believe that Temferon, in combination with a variety of current existing therapeutics, has the potential to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the potentially agnostic nature of Temferon, its activity observed in our clinical trials to date, which includes the abrogation of tumor induced tolerance, and its potentially synergistic mechanism of action, makes it a suitable candidate to be considered for combination treatments. Specifically, Temferon may be a good candidate to be used in combination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Specifically, a CD19 CAR-T approach in a leukemia mouse model had a detectable, but not significant, effect on the tumor burden. However, when used in combination with Temferon, the combination treatment resulted in a significant inhibition of the hematological malignancy, with a significant fraction of CAR-T/Temferon treated mice surviving to the latest timepoint of analysis. Similarly, the combination of IFN gene therapy to α-CTLA4, an immune check point blocker, or adoptive T cell therapy, significantly improved the survival of the mice (Escobar et al., Nature Communication 2018). Further, in a multiple myeloma mouse model, Temferon was administered in combination with human TCR-edited T cells directed against NY-ESO1 and anti-myeloma drugs. The combination approach showed promising additive-to-synergistic effects without exacerbating hematologic or systemic toxicities. These results lead us to believe that IFN gene therapy might also boost the efficacy of other immunotherapies.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Switchable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founders are developing a second-generation platform designed to release the therapeutic payload “on demand” to potentially allow in vivo control of its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inducible version of the IFN-α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IFN-α payload in combination with CAR T cells to target glioblastoma-associated antigens or immune checkpoint blockers in an experimental tumor model in mice.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Payloads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is designed to allow the control of the expression of any payload we use. Similar to IFN-α, there are several alternative payloads with immunotherapeutic properties that were previously systemically delivered to patients but were discontinued due to significant toxicity that prevented the drug from reaching therapeutic dosages (e.g. TNF-Alpha). Because we believe that our first- and second-generation platforms may have the ability to overcome certain limitations associated with systemic administration, we are testing them with additional payloads such as IFN-Gamma, IL-12 and TNF-Alpha. Because each payload triggers a unique biological response, we believe our platform may enable a personalized treatment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immune activating cytokines have been tested for TEM-mediated gene-based delivery to tumor models in mice. Current pre-clinical results suggest the feasibility and specificity of tumor-targeted delivery of IFN-Gamma and TNF-Alpha and further support our hypothesis that the specific transcriptional and microRNA regulated expression of the payload prevents toxicity. Data generated in the laboratory of our founders in a leukemia model showed that IFN-Gamma but not TNF-Alpha mediates anti-tumor activity when delivered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Further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showed enhanced anti-tumor activity upon combined delivery of two cytokines by the TEM-based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experiments conducted with our second-generation inducible platform expressing IL-12 support the hypothesis that our proprietary transcriptional and microRNA regulated expression of the payload may prevent or limit toxicity. Indeed, IL-12 is a potent cytokine that must be kept within a therapeutic dose range to prevent toxicity. Targeted delivery and anti-tumor activity of the new inducible payload are being investigated (abstracts presented at EACR in June 2021; at ASGCT 2021 in May 2021; and manuscript submitted). The laboratory of Professor Naldini plans to test the combination of TEM-mediated gene-based delivery of inducible Il-12 or additional inducible payloads with CAR-T, TCR and ICI in experimental murine tumor models.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process for our autologous cell and gene therapy approach requires the following steps:</w:t>
      </w:r>
    </w:p>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HSPCs harvesting in a specialized clinical center (leukapheresis)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of apheresis bag/s to the selected contract manufacturing organization (CMO)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CD34+ cells enrichment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transduction of CD34+ cells with our LVV,</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Cryopreservation, characterization and release by a Qualified Person of the obtained drug product.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LVV manufacturing needed for the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transduction process, as well as steps from 3 to 5, are conducted by the CMO. The figure below delineates the steps and the timeline for manufacturing Temferon.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81550" cy="2305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781550" cy="23050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 of Temferon manufacturing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entered into agreements with AGC Biologics to manufacture our LVV and certain drug products for our ongoing clinical programs in Italy. AGC Biologics is a leading global contract development and manufacturing organization (“CDMO”), providing world-class development and manufacture of mammalian and microbial-based therapeutic proteins of plasmid DNA and,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 xml:space="preserve">gene therapy for children, was developed and is still currently manufactured by AGC Biologics (formerly MolMed). Accordingly, Orchard Therapeutics (NasdaqGS: ORTX) in July 2020 renewed their collaboration agreement with AGC which will continue to support activities related to the development and manufacturing of vectors and drug products for several of Orchard’s investigational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hematopoietic stem cell (HSC) gene therapies in the upcoming years, including the recent E.U. market authorized gene therapy drug </w:t>
      </w:r>
      <w:r>
        <w:rPr>
          <w:rFonts w:ascii="Times New Roman;Times;Serif" w:hAnsi="Times New Roman;Times;Serif"/>
          <w:b w:val="false"/>
          <w:i/>
          <w:caps w:val="false"/>
          <w:smallCaps w:val="false"/>
          <w:sz w:val="20"/>
        </w:rPr>
        <w:t>Libmeldy.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4010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40100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AGC Biologics Headquarters and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AGC (including MolMed) establish agreed-upon timelines for purchase order submissions and manufacturing date changes/cancellation. The agreements also set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authorities in the U.S.,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U.S. and in foreign countries and jurisdictions, along with compliance with applicable statutes and regulations and other regulatory authorities, require the expenditure of substantial time and financial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and Regulation of Drugs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drug products are regulated by the FDA under the Federal Food, Drug, and Cosmetic Act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oDRf approval, warning letters, product recalls, product seizures, total or partial suspension of production or distribution, injunctions, fines, or administrative, civil and/or criminal investigation, penalties or prosecution.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all of our product candidates are regulated by the FDA as biologics. Biologics require the submission of a BLA and approval by the FDA prior to being marketed in the U.S. Manufacturers of biologics may also be subject to state and local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steps required before a biologic may be marketed in the U.S. generally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studies, animal studies and formulation studies, performed in accordance with the FDA’s good laboratory practices (“GLP”) requirements, and applicable requirements for the humane use of laboratory animals or other applicable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application for an investigational new drug application (“IND”), which must become effective before human clinical trials may commence;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protocol and related documentation by an independent IRB or ethics committee at each clinical trial site before each trial may be initiated;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by the FDA within 60 days of its receipt of a BLA to accept and file the application;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review, if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FDA audit of the preclinical study and clinical trial sites that generated the data in support of the BLA in accordance with any applicable expedited programs or designations;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user fees for FDA review of the BLA (unless a fee waiver applies);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or licensure, of the BLA to permit commercial marketing of the product for particular indications for use in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inspection of the manufacturing facilities at which the biologic is produced to assess compliance with current Good Manufacturing Practices (“cGMP”) and to assure that the facilities, methods and controls are adequate;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BLA.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Studies and the IND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trial program for a product candidate is generally divided into three phases. Although the phases are usually conducted sequentially, they may overlap or be combined. The three phases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1</w:t>
            </w:r>
            <w:r>
              <w:rPr>
                <w:rFonts w:ascii="Times New Roman;Times;Serif" w:hAnsi="Times New Roman;Times;Serif"/>
                <w:b w:val="false"/>
                <w:i w:val="false"/>
                <w:caps w:val="false"/>
                <w:smallCaps w:val="false"/>
                <w:sz w:val="20"/>
              </w:rPr>
              <w:t>. Phase 1 involves the initial introduction of a product candidate into humans. Phase 1 clinical trials are typically conducted in healthy 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2</w:t>
            </w:r>
            <w:r>
              <w:rPr>
                <w:rFonts w:ascii="Times New Roman;Times;Serif" w:hAnsi="Times New Roman;Times;Serif"/>
                <w:b w:val="false"/>
                <w:i w:val="false"/>
                <w:caps w:val="false"/>
                <w:smallCaps w:val="false"/>
                <w:sz w:val="20"/>
              </w:rPr>
              <w:t>. Phase 2 includes the controlled clinical trials conducted to obtain initial evidence of effectiveness of the product candidate for a particular 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3</w:t>
            </w:r>
            <w:r>
              <w:rPr>
                <w:rFonts w:ascii="Times New Roman;Times;Serif" w:hAnsi="Times New Roman;Times;Serif"/>
                <w:b w:val="false"/>
                <w:i w:val="false"/>
                <w:caps w:val="false"/>
                <w:smallCaps w:val="false"/>
                <w:sz w:val="20"/>
              </w:rPr>
              <w:t>. Phase 3 clinical trials are clinical trials conducted in an expanded patient population at geographically dispersed clinical trial sites. They 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there are requirements for the registration of certain clinical trials of product candidates on public registries, such as </w:t>
      </w:r>
      <w:r>
        <w:rPr>
          <w:rFonts w:ascii="Times New Roman;Times;Serif" w:hAnsi="Times New Roman;Times;Serif"/>
          <w:b w:val="false"/>
          <w:i w:val="false"/>
          <w:caps w:val="false"/>
          <w:smallCaps w:val="false"/>
          <w:sz w:val="20"/>
          <w:u w:val="single"/>
        </w:rPr>
        <w:t>www.clinicaltrials.gov</w:t>
      </w:r>
      <w:r>
        <w:rPr>
          <w:rFonts w:ascii="Times New Roman;Times;Serif" w:hAnsi="Times New Roman;Times;Serif"/>
          <w:b w:val="false"/>
          <w:i w:val="false"/>
          <w:caps w:val="false"/>
          <w:smallCaps w:val="false"/>
          <w:sz w:val="20"/>
        </w:rPr>
        <w:t>, and the submission of certain information pertaining to these trials, including clinical trial results, after trial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Biologics License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obtain approval to market a biologic in the U.S.,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of Companion Diagnostics.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Orphan Drug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grant orphan drug designation to biologics intended to treat a rare disease or condition that affects fewer than 200,000 individuals in the U.S. or a disease or condition that affects 200,000 or more individuals in the U.S. but there is no reasonable expectation that the cost of developing and making the biologic would be recovered from sales in the U.S.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EEA, the criteria for designating an “orphan medicinal product” are similar in principle to those in the U.S.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Expedited Programs in the United States and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fast-track product at any time during the clinical development of the product. With fast-track designation, the sponsor may be eligible for more frequent opportunities to obtain the FDA’s feedback. Another benefit of fast-track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Expanded Access to an Investigational Drug for Treatment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 -by-case basis for individual patients, intermediate-size patient populations, and larger populations for use of the drug under a treatment protocol or Treatment IND Application.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market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Post-approval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 Restoration and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Care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false statements statute, which prohibits knowingly and willfully falsifying, concealing or covering up a material fact or making any materially false statement in connection with the delivery of or payment for health care benefits, items or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FCPA which prohibits companies and their intermediaries from making, or offering or promising to make improper payments to non-U.S. officials for the purpose of obtaining or retaining business or otherwise seeking favorable treatment;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U.S. Department of Health and Human Services, information related to payments and other transfers of value made by that entity to physicians and teaching hospitals, as well as ownership and investment interests held by physicians and their immediate family members;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and regulations, such as state anti-kickback and false claims laws, which may apply to health care items or services that are reimbursed by non-government third-party payors, including private insurers.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Pharmaceutical Insurance Coverage and Health Care Reform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2010, the U.S. Congress enacted the PPACA, which, among other things, included changes to the coverage and payment for drug products under government health care programs. The PPACA effected the following changes of importance to our potential product candidates: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an annual, nondeductible fee on any entity that manufactures or imports specified branded prescription drugs and biologic agents, apportioned among these entities according to their market share in certain government healthcare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addressed a new methodology by which rebates owed by manufacturers under the Medicaid Drug Rebate Program are calculated for drugs that are inhaled, infused, instilled, implanted or injected;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the types of entities eligible for the 340B drug discount program;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a new Patient-Centered Outcomes Research Institute to oversee, identify priorities in, and conduct comparative clinical effectiveness research, along with funding for such research.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legislative changes have been proposed and adopted in the U.S.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presidential administration announced that it will discontinue the payment of cost-sharing reduction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and Approval of Medicinal Products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market any medicinal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In January 2022, the Clinical Trials Regulation entered into application harmonizing the submission, assessment and supervision processes for clinical trials in the 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 Regulations in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conducting or planning Phase 1/2a clinical trials on Temferon in Italy, in accordance with the specific regulations applicable to such early-phase trials. As discussed elsewhere in this report, we are currently conducting our TEM-GBM 001 study on UMGMT-GBM patients and plan to start new ones on hepatic tumor (HCC and IHC) in the near future by means of appropriate application to the Italian Regulatory Authority (“AIFA”).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Times New Roman;Times;Serif" w:hAnsi="Times New Roman;Times;Serif"/>
          <w:b w:val="false"/>
          <w:i/>
          <w:caps w:val="false"/>
          <w:smallCaps w:val="false"/>
          <w:sz w:val="20"/>
        </w:rPr>
        <w:t>Parere Unico</w:t>
      </w:r>
      <w:r>
        <w:rPr>
          <w:rFonts w:ascii="Times New Roman;Times;Serif" w:hAnsi="Times New Roman;Times;Serif"/>
          <w:b w:val="false"/>
          <w:i w:val="false"/>
          <w:caps w:val="false"/>
          <w:smallCaps w:val="false"/>
          <w:sz w:val="20"/>
        </w:rPr>
        <w:t>, lit. “sole opinion” (“PU”) - and then the IECs of the other participating centers accept or refuse the PU in its entirety (they may seek amendment to the ICF on the basis of local operating circumstances).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Times New Roman;Times;Serif" w:hAnsi="Times New Roman;Times;Serif"/>
          <w:b w:val="false"/>
          <w:i/>
          <w:caps w:val="false"/>
          <w:smallCaps w:val="false"/>
          <w:sz w:val="20"/>
        </w:rPr>
        <w:t>con riserva</w:t>
      </w:r>
      <w:r>
        <w:rPr>
          <w:rFonts w:ascii="Times New Roman;Times;Serif" w:hAnsi="Times New Roman;Times;Serif"/>
          <w:b w:val="false"/>
          <w:i w:val="false"/>
          <w:caps w:val="false"/>
          <w:smallCaps w:val="false"/>
          <w:sz w:val="20"/>
        </w:rPr>
        <w:t>”) and can be loaded in advance accordingly, under the assumption that the documents subjected to evaluation - protocol (updated) version, ICF and the rest – coincide exactly.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Authorization Application for Biologic Medicinal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regulatory approval to commercialize a new drug in the EEA (comprising the E.U. Member States plus Iceland, Liechtenstein and Norway, we must submit a marketing authorization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 Promotion and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 -label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Data Protection in the EEA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Periods of Authorization and Renewals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Pediatric Studies and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Requirements after a Marketing Authorization has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E.U.’s stringent pharmacovigilance or safety reporting rules must be ensured. These rules can impose post-authorization studies and additional monitoring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(“E.U. cGMP”). These requirements include compliance with E.U. cGMP standards when manufacturing medicinal products and APIs, including the manufacture of API outside of the E.U. with the intention to import the API into the E.U..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Brexit and the Regulatory Framework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Data Protection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U.S. and now – after Brexit – the United Kingdom, and permits data protection authorities to impose large penalties for violations of the GDPR, including potential fines of up to € 20 million or 4% of annual global revenues, whichever is greater. Concerning the transfer of (pseudonymized) personal data to the U.S.,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In June 2021, the E.U. Commission adopted decisions on the United Kingdom’s adequacy under the E.U.’s GDPR and Law Enforcement Directive (LED). In both cases, the European Commission found the United Kingdom to be adequate. This means that most data can continue to flow from the E.U. and the EEA without the need for additional safeguards.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GDPR also confers a private right of action on data subjects and consumer associations to lodge complaints with supervisory authorities, seek judicial remedies and obtain compensation for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GDPR and all relevant E.U. data protection rules will be a rigorous and time-intensive process that may increase our cost of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Pricing Decisions for Approved Drug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U.S. and abroad. However, patent protection may not afford us with complete protection against competitors who seek to circumvent our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Temferon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pStyle w:val="TextBody"/>
        <w:bidi w:val="0"/>
        <w:spacing w:before="0" w:after="0"/>
        <w:ind w:left="0" w:right="0" w:hanging="0"/>
        <w:jc w:val="left"/>
        <w:rPr>
          <w:caps w:val="false"/>
          <w:smallCaps w:val="false"/>
        </w:rPr>
      </w:pPr>
      <w:r>
        <w:rPr>
          <w:caps w:val="false"/>
          <w:smallCaps w:val="false"/>
        </w:rPr>
        <w:t> </w:t>
      </w:r>
    </w:p>
    <w:tbl>
      <w:tblPr>
        <w:tblW w:w="8030" w:type="dxa"/>
        <w:jc w:val="left"/>
        <w:tblInd w:w="0" w:type="dxa"/>
        <w:tblLayout w:type="fixed"/>
        <w:tblCellMar>
          <w:top w:w="0" w:type="dxa"/>
          <w:left w:w="0" w:type="dxa"/>
          <w:bottom w:w="28" w:type="dxa"/>
          <w:right w:w="0" w:type="dxa"/>
        </w:tblCellMar>
      </w:tblPr>
      <w:tblGrid>
        <w:gridCol w:w="3950"/>
        <w:gridCol w:w="60"/>
        <w:gridCol w:w="1490"/>
        <w:gridCol w:w="60"/>
        <w:gridCol w:w="1310"/>
        <w:gridCol w:w="60"/>
        <w:gridCol w:w="1100"/>
      </w:tblGrid>
      <w:tr>
        <w:trPr/>
        <w:tc>
          <w:tcPr>
            <w:tcW w:w="39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Focus / Family</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 Vector comprising mi-RNA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10,000,757*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2002003 B1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5/26/2026*</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 of treatment claims)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9,556,438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PCT/IB2006/002266 (WO 2007/000668).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USSN 16/004,394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 Vector comprising mi-RNA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10,287,579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2424571 B1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4/30/2030</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 of treatment claims)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9,951,328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20167404.1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PCT/IB2010/001166 (WO / 2010/125471)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USSN 16/384,571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Monocyte Cell (Tie-2) activation process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claims)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7,833,789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10/5/2027</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7,833,789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Methods for Genetic Modification of Stem Cells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10,617,721*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3060670 B1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10/24/2034*</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treatment claims)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USSN 16/827,708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19185334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PCT/IB2014/065594 (WO 2015/059674)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Vector Production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10,912,824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3169788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7/13/2035</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 of treatment claims)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17/143,953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PCT/IB2015/055286 (WO 2016/009326)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1 Interferon Gene Therapy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USSN 16/604,484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18724470.2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4/20/2038**</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treatment claims)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PCT/EP2018/060238 (WO 2018/193119)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Later expiration for certain U.S. patents pursuant to patent term adjustment (35 U.S.C. §154(b)).</w:t>
      </w:r>
    </w:p>
    <w:p>
      <w:pPr>
        <w:pStyle w:val="TextBody"/>
        <w:bidi w:val="0"/>
        <w:spacing w:before="0" w:after="0"/>
        <w:ind w:left="0" w:right="0" w:firstLine="8"/>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Application pending, anticipated expiration based on 20-year patent term.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Collaboration / Licensing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License Agreement with Ospedale San Raffaele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license agreement (the “ARLA”) with OSR in March 2023. The ARLA replaced the Company’s original license agreement originally entered into with OSR on December 15, 2014, as subsequently amended on March 16, 2017, February 1, 2019, December 23, 2020, September 28, 2021, January 22, 2022, September 29, 2022 and December 22, 2022 (the “Original OSR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effectiveness of the ARLA was subject to Italy’s Law Decree No. 21 of March 15, 2012 (i.e., the Italian </w:t>
      </w:r>
      <w:r>
        <w:rPr>
          <w:rFonts w:ascii="Times New Roman;Times;Serif" w:hAnsi="Times New Roman;Times;Serif"/>
          <w:b w:val="false"/>
          <w:i/>
          <w:caps w:val="false"/>
          <w:smallCaps w:val="false"/>
          <w:sz w:val="20"/>
        </w:rPr>
        <w:t>Golden Power</w:t>
      </w:r>
      <w:r>
        <w:rPr>
          <w:rFonts w:ascii="Times New Roman;Times;Serif" w:hAnsi="Times New Roman;Times;Serif"/>
          <w:b w:val="false"/>
          <w:i w:val="false"/>
          <w:caps w:val="false"/>
          <w:smallCaps w:val="false"/>
          <w:sz w:val="20"/>
        </w:rPr>
        <w:t xml:space="preserve"> regulations), as subsequently amended and supplemented, and would not become effective until the applicable Italian governmental authority consented to the ARLA. On April 20, 2023, such consent was received and the ARLA became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ARLA, OSR has granted us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 HSPC gene transfer with respect to (a) any solid cancer indication (including glioblastoma and solid liver cancer) and/or (b) any lympho-hematopoietic indication for which we exercise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retained by OSR, and extending to its affiliates, include the right to use the licensed technology for internal research within the field(s) of use, the right to use the licensed technology within the field(s) of use other than in relation to the licensed products,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field(s) of use directly, or in or with the collaboration third parties; and, for any use outside the field(s) of use, in which case the license is sublicensable by OSR. Finally, the world-wide rights for the field(s) of use granted to us regarding the Lentigen know-how are non-exclusive and cannot be sublicensed due to a pre-existing nonexclusive sublicense to these rights between OSR and GlaxoSmithKline Intellectual Property Development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ARLA, we have an exclusive option exercisable until April 20, 2026 to any OSR product improvements at no additional cost, which could be useful for the development and/or commercialization of licensed products in the field of use. We also have an exclusive option exercisable until April 20, 2026 (the “LHI Option Period”) to any lympho-hematopoietic indication(s) to be included as part of the field of use, on an indication-by-indication basis, subject to the payment of specified option fees and milestone payments:</w:t>
      </w:r>
    </w:p>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170"/>
        <w:gridCol w:w="5420"/>
      </w:tblGrid>
      <w:tr>
        <w:trPr/>
        <w:tc>
          <w:tcPr>
            <w:tcW w:w="170" w:type="dxa"/>
            <w:tcBorders/>
            <w:vAlign w:val="center"/>
          </w:tcPr>
          <w:p>
            <w:pPr>
              <w:pStyle w:val="TableContents"/>
              <w:bidi w:val="0"/>
              <w:spacing w:before="0" w:after="283"/>
              <w:jc w:val="both"/>
              <w:rPr/>
            </w:pPr>
            <w:r>
              <w:rPr/>
              <w:t>●</w:t>
            </w:r>
          </w:p>
        </w:tc>
        <w:tc>
          <w:tcPr>
            <w:tcW w:w="5420" w:type="dxa"/>
            <w:tcBorders/>
            <w:vAlign w:val="center"/>
          </w:tcPr>
          <w:p>
            <w:pPr>
              <w:pStyle w:val="TableContents"/>
              <w:bidi w:val="0"/>
              <w:spacing w:before="0" w:after="283"/>
              <w:jc w:val="both"/>
              <w:rPr/>
            </w:pPr>
            <w:r>
              <w:rPr/>
              <w:t>€</w:t>
            </w:r>
            <w:r>
              <w:rPr>
                <w:rFonts w:ascii="Times New Roman;Times;Serif" w:hAnsi="Times New Roman;Times;Serif"/>
                <w:sz w:val="20"/>
              </w:rPr>
              <w:t>1.0 million for the first lympho-hematopoietic indication;</w:t>
            </w:r>
          </w:p>
        </w:tc>
      </w:tr>
      <w:tr>
        <w:trPr/>
        <w:tc>
          <w:tcPr>
            <w:tcW w:w="170" w:type="dxa"/>
            <w:tcBorders/>
            <w:vAlign w:val="center"/>
          </w:tcPr>
          <w:p>
            <w:pPr>
              <w:pStyle w:val="TableContents"/>
              <w:bidi w:val="0"/>
              <w:spacing w:before="0" w:after="283"/>
              <w:jc w:val="both"/>
              <w:rPr/>
            </w:pPr>
            <w:r>
              <w:rPr/>
              <w:t> </w:t>
            </w:r>
          </w:p>
        </w:tc>
        <w:tc>
          <w:tcPr>
            <w:tcW w:w="5420"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both"/>
              <w:rPr/>
            </w:pPr>
            <w:r>
              <w:rPr/>
              <w:t>●</w:t>
            </w:r>
          </w:p>
        </w:tc>
        <w:tc>
          <w:tcPr>
            <w:tcW w:w="5420" w:type="dxa"/>
            <w:tcBorders/>
            <w:vAlign w:val="center"/>
          </w:tcPr>
          <w:p>
            <w:pPr>
              <w:pStyle w:val="TableContents"/>
              <w:bidi w:val="0"/>
              <w:spacing w:before="0" w:after="283"/>
              <w:jc w:val="both"/>
              <w:rPr/>
            </w:pPr>
            <w:r>
              <w:rPr/>
              <w:t>€</w:t>
            </w:r>
            <w:r>
              <w:rPr>
                <w:rFonts w:ascii="Times New Roman;Times;Serif" w:hAnsi="Times New Roman;Times;Serif"/>
                <w:sz w:val="20"/>
              </w:rPr>
              <w:t>0.5 million for the second lympho-hematopoietic indication; and</w:t>
            </w:r>
          </w:p>
        </w:tc>
      </w:tr>
      <w:tr>
        <w:trPr/>
        <w:tc>
          <w:tcPr>
            <w:tcW w:w="170" w:type="dxa"/>
            <w:tcBorders/>
            <w:vAlign w:val="center"/>
          </w:tcPr>
          <w:p>
            <w:pPr>
              <w:pStyle w:val="TableContents"/>
              <w:bidi w:val="0"/>
              <w:spacing w:before="0" w:after="283"/>
              <w:jc w:val="both"/>
              <w:rPr/>
            </w:pPr>
            <w:r>
              <w:rPr/>
              <w:t> </w:t>
            </w:r>
          </w:p>
        </w:tc>
        <w:tc>
          <w:tcPr>
            <w:tcW w:w="5420"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both"/>
              <w:rPr/>
            </w:pPr>
            <w:r>
              <w:rPr/>
              <w:t>●</w:t>
            </w:r>
          </w:p>
        </w:tc>
        <w:tc>
          <w:tcPr>
            <w:tcW w:w="5420" w:type="dxa"/>
            <w:tcBorders/>
            <w:vAlign w:val="center"/>
          </w:tcPr>
          <w:p>
            <w:pPr>
              <w:pStyle w:val="TableContents"/>
              <w:bidi w:val="0"/>
              <w:spacing w:before="0" w:after="283"/>
              <w:jc w:val="both"/>
              <w:rPr/>
            </w:pPr>
            <w:r>
              <w:rPr/>
              <w:t>€</w:t>
            </w:r>
            <w:r>
              <w:rPr>
                <w:rFonts w:ascii="Times New Roman;Times;Serif" w:hAnsi="Times New Roman;Times;Serif"/>
                <w:sz w:val="20"/>
              </w:rPr>
              <w:t>0.3 million for the third lympho-hematopoietic indication.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 fee is due for the fourth lympho-hematopoietic indication and any subsequent lympho-hematopoietic indications.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right to extend the LHI Option Period twice for additional 12-month periods, subject to the payment of specified extension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effective date of the ARLA, we paid OSR an upfront fee in amount equal to €250,000 pursuant to the Original OSR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ARLA, as consideration, we agreed to pay OSR additional license fees equal to up to €875,000 in total, which are payable on April 20, 2023, December 31, 2023, and upon our entering into a sublicense agreement with a third party sublicensee (pursuant to which we are entitled to receive an upfront payment in an amount exceeding a specified threshold from such sublicensee) during the period between September 30, 2022 and April 20, 2028 (with most of these additional license fees being triggered upon our entering into such a sublicense agreement). In addition, we have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market country, MAA approval in the U.S., the first commercial sale of a licensed product in the U.S. and certain E.U. countries, and achievement of certain net sales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ARLA, we have agreed to use reasonable efforts to involve OSR in Phase I clinical trials for licensed products in the field of use, subject to OSR maintaining any required quality standards and providing its services on customary and reasonable terms and consistent with then-applicable market standards. We are also obligated to carry out our development activities using qualified and experienced professionals and sufficient level of resources. In particular, consistent with the terms of the Original OSR License Agreement, the ARLA continues to require us to invest (a) at least €5,425,000 with respect to the development of the licensed products, and (b) at least €2,420,000 with respect to the manufacturing of such licensed products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OSR maintains control of the preparation, prosecution and maintenance of the patents licensed. We are obligated to pay those costs unless additional licensees benefit from these rights, in which case the cost will be shared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OSR controls enforcement of the patents and know-how rights, at its own expense. In the event that OSR fails to file suit to enforce such rights after notice from us, we have the right to enforce the licensed technology within the field of use. Both we and OSR must consent to settlement of any such litigation, and all monies recovered will be shared, after reimbursement for costs, in relation to the damages suffered by each party, or failing a bona fide agreement between us and OSR, on a 50% - 50%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ARLA expires upon the expiry of the “Royalty Term” for all licensed products and all countries, unless terminated earlier. The Royalty Term begins on the first commercial sale of a licensed product in each country, on a country by country basis, and ends upon the later of the (a) expiration of the commercial exclusivity for such product in that country (wherein the commercial exclusivity refers to any remaining valid licensed patent claims covering such licensed product, any remaining regulatory exclusivity to market and sell such licensed product or any remaining regulatory data exclusivity for such licensed product), and (b) 10 years from the first commercial sale of such licensed product in such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additional license fees, sublicensing income or milestone payments within 30 days of due dates for each. In addition, OSR may terminate (with a 60-business-day prior written notice) our rights as to certain fields of use for our failure to achieve certain development milestones for specified licensed products within certain time periods, which may be subject to extension.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2023, we entered into an amendment to the ARLA, whereby we and OSR agreed that we had fulfilled the obligations as set forth in the ARLA specific to Candidate Products 1 pursuant to the CP1 SRA (as defined below). Furthermore, the amendment provides that we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 research agreement with regards to Candidate Products 2, OSR granted us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our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Sponsored Research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we entered into a Sponsored Research Agreement (“CP1 SRA”), which was contemplated under the ARLA, pursuant to which we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us and provide an estimate for completing the research. As of December 31, 2023, we have recorded and paid €250,000 for the CP1 SRA studies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the date of execution from the CP1 SRA until six months from the last report delivered to us under the CP1 SRA (the “CP1 Option Period”), we have the exclusive option to include certain intellectual property related to Candidate Products 1 and Candidate Products 1 as part of the licensed patents and licensed products under the ARLA. To exercise this option, we must pay an option exercise fee. We also have the right to extend the CP1 Option Period twice for additional 24-month periods. The extension requires payment of an extension fee for each 24-month extension.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Know-How License Agreement with Fondazione Telethon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 w:name="am_001"/>
      <w:bookmarkEnd w:id="52"/>
      <w:r>
        <w:rPr>
          <w:rFonts w:ascii="Times New Roman;Times;Serif" w:hAnsi="Times New Roman;Times;Serif"/>
          <w:b/>
          <w:i w:val="false"/>
          <w:caps w:val="false"/>
          <w:smallCaps w:val="false"/>
          <w:sz w:val="20"/>
        </w:rPr>
        <w:t>C. Organizational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S.p.A. owns 100% of Genenta 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33625" cy="2352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3625" cy="2352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 w:name="am_002"/>
      <w:bookmarkEnd w:id="53"/>
      <w:r>
        <w:rPr>
          <w:rFonts w:ascii="Times New Roman;Times;Serif" w:hAnsi="Times New Roman;Times;Serif"/>
          <w:b/>
          <w:i w:val="false"/>
          <w:caps w:val="false"/>
          <w:smallCaps w:val="false"/>
          <w:sz w:val="20"/>
        </w:rPr>
        <w:t>D. Plants,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is located in Milan, Via Olgettina 58 within OSR - San Raffaele Hospital, Italy, where we lease approximately 51 square meters of office space (three (3) offices). The lease commenced in January 2020 and has a six (6) year initial term. It will expire on December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2025, and may be renewed for an additional six (6) years. We also have an office in a co-working space located in Alexandria Center - LaunchLabs, 430 East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New York, NY. We believe that our existing facilities are adequate for our near-term needs, and we believe that suitable additional or alternative office will be available as required in the future on commercially reasonable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 w:name="am_003"/>
      <w:bookmarkEnd w:id="54"/>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 w:name="am_004"/>
      <w:bookmarkEnd w:id="55"/>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consolidated financial statements and related notes included in this Annual Report beginning on page F-1. The following discussion and analysis contain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 w:name="am_005"/>
      <w:bookmarkEnd w:id="56"/>
      <w:r>
        <w:rPr>
          <w:rFonts w:ascii="Times New Roman;Times;Serif" w:hAnsi="Times New Roman;Times;Serif"/>
          <w:b/>
          <w:i w:val="false"/>
          <w:caps w:val="false"/>
          <w:smallCaps w:val="false"/>
          <w:sz w:val="20"/>
        </w:rPr>
        <w:t>A.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clinical-stage biotechnology company engaged in the development of hematopoietic stem cell gene therapies for the treatment of solid tumors. We have developed a novel biologic platform which involves the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2014, we have devoted substantially all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2023, aggregated gross cash proceeds of approximately €67 million.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years ended December 31, 2023, 2022 and 2021 were approximately €11.6, €8.5, and €5.5 million, respectively. At December 31, 2023, we had an accumulated deficit of approximately €46.9 million. Substantially all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compliance, and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cash and cash equivalents and marketable securities of approximately €18.8 million. We believe that our existing cash and cash equivalents as of December 31, 2023, will enable us to fund our operating expenses and capital expenditure requirements for more than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COVID-19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healthcare community continues to monitor and respond to the coronavirus (COVID-19) outbreak, including its ongoing variants. In February 2020, the COVID-19 pandemic commenced in Italy. Regulatory guidance was issued in March 2020 and updated in April 2020 relating to the management of clinical trials during the pandemic. In May 2023, the World Health Organization determined that COVID-19 no longer fit the definition of a public health emergency and the pandemic was officially over; however, as the global healthcare community continues to respond to COVID-19 and its variants, COVID-19 remains a public health priority We have not experienced significant interruptions related to COVID-19. In the future, we may find it difficult to enroll patients in our clinical trials, which could delay or prevent us from proceeding with the clinical trials of our product candidates. We continue to monitor this evolving situation and the potential impact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revenue since inception and do not expect to generate any revenue from the sale of products in the near term until we obtain regulatory approval of, and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operating expenses consist of two components – research and development expenses, and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These expenses consist of costs incurred in connection with the development of our product candidates,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 and milestone payments incurred in connection with our license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contract research organizations (“CROs”), contract manufacturing organizations (“CMOs”), as well as investigative sites and consultants that conduct or support our clinical trials, preclinical studies and other scientific development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scale-up expenses and the cost of acquiring and manufacturing preclinical and clinical trial materials and (in due course) commercial materials, including manufacturing validation batches;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social security charges, related benefits, severance indemnity in case of termination of employees’ relationships, travel and share-based compensation expense for employees engaged in research and development functions and consulting fees;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70"/>
        <w:gridCol w:w="6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regulatory requirements;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6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costs, depreciation, and other expenses, which include rent and utilities.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expenditure net of research and development tax credit on the statements of operations and comprehensive loss. However, not all our research and development expenses are allocated by program:</w:t>
      </w:r>
    </w:p>
    <w:p>
      <w:pPr>
        <w:pStyle w:val="TextBody"/>
        <w:bidi w:val="0"/>
        <w:spacing w:before="0" w:after="0"/>
        <w:ind w:left="0" w:right="0" w:hanging="0"/>
        <w:jc w:val="left"/>
        <w:rPr>
          <w:caps w:val="false"/>
          <w:smallCaps w:val="false"/>
        </w:rPr>
      </w:pPr>
      <w:r>
        <w:rPr>
          <w:caps w:val="false"/>
          <w:smallCaps w:val="false"/>
        </w:rPr>
        <w:t> </w:t>
      </w:r>
    </w:p>
    <w:tbl>
      <w:tblPr>
        <w:tblW w:w="9005" w:type="dxa"/>
        <w:jc w:val="left"/>
        <w:tblInd w:w="0" w:type="dxa"/>
        <w:tblLayout w:type="fixed"/>
        <w:tblCellMar>
          <w:top w:w="0" w:type="dxa"/>
          <w:left w:w="0" w:type="dxa"/>
          <w:bottom w:w="0" w:type="dxa"/>
          <w:right w:w="0" w:type="dxa"/>
        </w:tblCellMar>
      </w:tblPr>
      <w:tblGrid>
        <w:gridCol w:w="5270"/>
        <w:gridCol w:w="60"/>
        <w:gridCol w:w="140"/>
        <w:gridCol w:w="980"/>
        <w:gridCol w:w="60"/>
        <w:gridCol w:w="60"/>
        <w:gridCol w:w="140"/>
        <w:gridCol w:w="980"/>
        <w:gridCol w:w="60"/>
        <w:gridCol w:w="60"/>
        <w:gridCol w:w="140"/>
        <w:gridCol w:w="980"/>
        <w:gridCol w:w="7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bottom w:val="single" w:sz="12" w:space="0" w:color="000000"/>
            </w:tcBorders>
            <w:tcMar>
              <w:bottom w:w="28" w:type="dxa"/>
            </w:tcMar>
            <w:vAlign w:val="center"/>
          </w:tcPr>
          <w:p>
            <w:pPr>
              <w:pStyle w:val="TableContents"/>
              <w:bidi w:val="0"/>
              <w:spacing w:before="0" w:after="283"/>
              <w:jc w:val="center"/>
              <w:rPr/>
            </w:pPr>
            <w:r>
              <w:rPr/>
              <w:t>Year Ended December 31,</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2021</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vAlign w:val="center"/>
          </w:tcPr>
          <w:p>
            <w:pPr>
              <w:pStyle w:val="TableContents"/>
              <w:bidi w:val="0"/>
              <w:spacing w:before="0" w:after="283"/>
              <w:jc w:val="center"/>
              <w:rPr/>
            </w:pPr>
            <w:r>
              <w:rPr/>
              <w:t>(in Euros)</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Direct research and development expenses by program: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TEM-GBM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1,331,166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984,458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879,005</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TEM-MM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5,800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Unallocated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Personnel (including 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992,281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499,849</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Consultants and other third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305,289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544,634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772,815</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Materials &amp; supplies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3,639,920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2,790,982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1,231,019</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Travel &amp; entertainment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596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40,335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1,593</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6,474,441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5,338,962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3,390,677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manufacturing costs in earlier-stage clinical trials tend to be higher due to the high cost associated with scaling up the manufacturing process and the smaller number of patients over which to spread those costs. We expect that our research and development expenses, which includes our clinical costs, will increase substantially over the next several years, particularly as we increase the number of patients treated in our clinical trials, as well as due to increases in personnel costs, including share-based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outcome, and costs of our preclinical development activities, clinical trials and other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lingering impact from the COVID-19 pandemic on our preclinical development activities, clinical trials and other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 with IND-enabling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patient enrollment in, and the design, initiation and completion of,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receipt and terms of any marketing approvals from applicable regulatory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clinical and commercial manufacturing capabilities or making arrangements with third party manufacturers;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timely delivery of commercial-grade drug formulations that can be used in our clinical trials and for commercial launch;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maintaining, defending and enforcing patent claims and other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qualifying for, and maintaining, adequate coverage and reimbursement by the government and other payors for any product candidate for which we obtain marketing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commercial sales of our product candidates, if and when approved, whether alone or in collaboration with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competing technological and market developments;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continued acceptable safety profile of the product candidates following approval.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AIFA,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consulting fees, related benefits, travel, and share-based compensation expense for personnel in executive, finance, and administrative functions. General and administrative expenses also include professional fees for legal, consulting, accounting, and audit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legal, investor and public relations expenses associated with being a public company. Additionally, if we believe a regulatory approval of a product candidate appears likely, we anticipate an increase in payroll and other expense in order to perpare for commercial operations, especially as it relates to the sales and marketing of our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income/(expense), foreign exchange income/(loss). For the year ended December 31, 2023, the net balance of other income/(expense) amounted to approximately €87,000 and mainly related to net financial interest income of approximately € 309,000, net unrealized foreign exchange losses of approximately € (257,000), and net realized foreign exchange gain of approximately €40,000.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other income (expense) consisted primarily of a tax benefit approved by the Italian Tax Agency of €180,000 related to the allowance for corporate equity (“ACE”), and financial fees reimbursement of approximately €28,000.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2021, we accrued an award of €150,000 given to the Company by international institutions for the successful results achieved in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taxation in Italy and the U.S. Taxes are recorded on an accrual basis. These taxes therefore represent the allowances for taxes paid or to be paid for the year, calculated according to the current enacted rates and applicable laws. Due to the tax loss position reported, no income taxes were due for the years ended December 31, 2023, 2022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December 31, 2023.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Consolidated Statements of Operations and Comprehensive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open statutes of limitations for Italian tax authorities to audit our tax returns. There have been no material income tax-related interests or penalties assessed or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liability related to uncertain tax positions reported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legislation in force, as updated by the Italian Budget Law 2022, companies in Italy that invested in eligible research and development activities, regardless of the legal form and economic sector in which they operate, can benefit from a tax credit up to 10% of the increase of annual research and development expenses incurred, up to a maximum of €5.0 million, which can be used as compensation in order to reduce most taxes payable, including income tax or regional tax on productive activities, as well as of social security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Italian Budget Law also established that the actual support of eligible expenses and its correspondence with the accounting documents must result from a specific certification issued by the person responsible for the legal audit and, in addition to the audit report, a technical report is also required. In addition, the tax credit due can only be used as compensation in three equal annual instalments. The measure is provided up to the tax period ending December 31, 2031; however, starting with the fiscal year 2023, and in respect subsequent fiscal periods, the tax credit rate was decreased from 20% to 10% of the eligible expenses, and the annual ceiling of the credit was increased from €4.0 million to €5.0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2022 and 2021, we recorded research and development tax benefits of approximately €428,000, €890,000, and €829,000,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 Ended December 31, 2023 to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9905" w:type="dxa"/>
        <w:jc w:val="left"/>
        <w:tblInd w:w="0" w:type="dxa"/>
        <w:tblLayout w:type="fixed"/>
        <w:tblCellMar>
          <w:top w:w="0" w:type="dxa"/>
          <w:left w:w="0" w:type="dxa"/>
          <w:bottom w:w="0" w:type="dxa"/>
          <w:right w:w="0" w:type="dxa"/>
        </w:tblCellMar>
      </w:tblPr>
      <w:tblGrid>
        <w:gridCol w:w="6950"/>
        <w:gridCol w:w="60"/>
        <w:gridCol w:w="140"/>
        <w:gridCol w:w="1175"/>
        <w:gridCol w:w="95"/>
        <w:gridCol w:w="60"/>
        <w:gridCol w:w="140"/>
        <w:gridCol w:w="1175"/>
        <w:gridCol w:w="110"/>
      </w:tblGrid>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pPr>
            <w:r>
              <w:rPr/>
              <w:t>(in Euros)</w:t>
            </w:r>
          </w:p>
        </w:tc>
        <w:tc>
          <w:tcPr>
            <w:tcW w:w="110"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6,474,441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5,338,962</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5,258,501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5,705,030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11,732,942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11,043,992</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(11,732,942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(11,043,992</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Others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242,554</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Finance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309,253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36,985</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exchange rate gain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(216,891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2,286,690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Awards and subsidies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87,487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2,566,229</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(11,645,455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(8,477,763</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(11,645,455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(8,477,763</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(0.64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(0.47</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Weighted average number of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18,216,907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18,216,858</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Change in fair value of marketable debt securities fair value measurement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214,984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Change in 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(15,853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Total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199,131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(11,446,324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(8,477,763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presented basic and diluted loss per share at December 31, 2023, which consists of our historical loss divided by the basic and diluted weighted average number of ordinary shares outstanding at December 31, 2023. There was no dilutive impact due to our net loss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approximately €6.5 million for the year ended December 31, 2023, as compared to approximately €5.3 million for the year ended December 31, 2022. The increase of approximately €1.2 million was mainly due to LVV (lentiviral vector for gene therapy) production activities. The increase in production activities related to the increase in the number of patients enrolled, the preparation of Phase II involving plasmid, cell banks production, and the cost of the manufacturing site transfer to a new location in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we utilized approximately €0.7 million of research and development tax credit to offset certain social contributions and taxes payable, while we utilized approximately €0.6 million for such purpose during 2022. The benefit recorded for the years ended December 31, 2023 and 2022 to offset research and development expenses was approximately €0.4 million and €0.7 million, respectively. The decrease in the benefit recorded for the year ended December 31, 2023, compared to the year ended December 31, 2022, was primarily due to the R&amp;D tax rate reduction from 20% to 10% of the eligible expenses, starting from January 2023, as provided by the 2022 Italian Budget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reclassified to other non-current assets a portion of the receivable, which is expected to be realized beyond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approximately €5.3 million for the year ended December 31, 2023, as compared to approximately €5.7 million for the year ended December 31, 2022. The decrease was primarily due to a decrease in our insurance cost, as we were able to significantly reduce the cost of our directors and officers insurance without reducing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not material for the year ended December 31, 2023, as compared to approximately €243,000 for the year ended December 31, 2022, which was mainly due to a tax benefit to help the Company’s economic growth “ACE” (i.e., allowance for corporate equity) and a reimbursement for bank fees and commissions both accrued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financial income was approximately €309,000 for the year ended December 31, 2023, compared to a net financial loss of approximately €37,000 for the year ended December 31, 2022. The change was mainly related to financial interest income on financial investments made in 2023 in U.S. Treasury bills and Italian government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exchange rate gain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exchange loss was approximately €(217,000) for the year ended December 31, 2023 compared to approximately €2.3 million for the year ended December 31, 2022. The change in respect of the preceding year was due to the fluctuation of the USD versus Euro 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net exchange loss was due to a net unrealized foreign exchange loss of approximately € (257,000), and a net realized foreign exchange gain of approximately €40,000.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net exchange rate gain was mainly due to an approximately €1.6 million of net exchange rate gain realized on the conversion of $12.0 million of IPO proceeds collected in December 2021 to Euros, an approximately €0.4 million net exchange rate gain realized on USD trade payables and an approximately €0.3 million net exchange rate gain unrealized on USD bank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was approximately €11.6 million for the year ended December 31, 2023, as compared to approximately €8.5 million for the year ended December 31, 2022. The increase in our loss of approximately €3.2 million was primarily due to the net exchange rate loss compared to the net exchange rate gain in the prior year, the increase in our overall research and development spending, and the decrease in tax benefits recorded.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 Ended December 31, 2022 to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2022, and 2021: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5"/>
        <w:gridCol w:w="60"/>
        <w:gridCol w:w="140"/>
        <w:gridCol w:w="1175"/>
        <w:gridCol w:w="95"/>
        <w:gridCol w:w="60"/>
        <w:gridCol w:w="140"/>
        <w:gridCol w:w="1100"/>
        <w:gridCol w:w="110"/>
      </w:tblGrid>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12" w:space="0" w:color="000000"/>
            </w:tcBorders>
            <w:tcMar>
              <w:bottom w:w="28" w:type="dxa"/>
            </w:tcMar>
            <w:vAlign w:val="center"/>
          </w:tcPr>
          <w:p>
            <w:pPr>
              <w:pStyle w:val="TableContents"/>
              <w:bidi w:val="0"/>
              <w:spacing w:before="0" w:after="283"/>
              <w:jc w:val="center"/>
              <w:rPr/>
            </w:pPr>
            <w:r>
              <w:rPr/>
              <w:t>Year Ended December 31,</w:t>
            </w:r>
          </w:p>
        </w:tc>
        <w:tc>
          <w:tcPr>
            <w:tcW w:w="11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2021</w:t>
            </w:r>
          </w:p>
        </w:tc>
        <w:tc>
          <w:tcPr>
            <w:tcW w:w="11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vAlign w:val="center"/>
          </w:tcPr>
          <w:p>
            <w:pPr>
              <w:pStyle w:val="TableContents"/>
              <w:bidi w:val="0"/>
              <w:spacing w:before="0" w:after="283"/>
              <w:jc w:val="center"/>
              <w:rPr/>
            </w:pPr>
            <w:r>
              <w:rPr/>
              <w:t>(in Euros)</w:t>
            </w:r>
          </w:p>
        </w:tc>
        <w:tc>
          <w:tcPr>
            <w:tcW w:w="11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5,338,962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3,390,677</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5,705,030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2,296,596</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11,043,992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5,687,273</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(11,043,992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(5,687,273</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Awards and subsidies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150,000</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242,554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19,657</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Financial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36,985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(11,716</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Net exchange rate gain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2,286,690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2,566,229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157,941</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(8,477,763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(5,529,332</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(8,477,763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(5,529,332</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(8,477,763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(5,529,332</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Pro forma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(8,477,763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(5,529,332</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Pro forma 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(0.47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(0.37</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Weighted average pro forma number of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18,216,858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15,083,825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presented basic and diluted loss per share at December 31, 2022, which consists of our historical loss divided by the basic and diluted weighted average number of ordinary shares outstanding at December 31, 2022. There was no dilutive impact due to our net loss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presented pro forma basic and diluted loss per share at December 31, 2021, which consists of our historical loss divided by the pro forma basic and diluted weighted average number of ordinary shares outstanding at December 31, 2021 since we were an S.r.l. with classes of quota (similar to membership interests in a limited liability company in the U.S.) rather than shares, until June 18, 2021, the date of our conversion to an S.p.A. (similar to a C-corporation in the U.S.). (See our disclosures in Note 2 - Summary of significant accounting policies - </w:t>
      </w:r>
      <w:r>
        <w:rPr>
          <w:rFonts w:ascii="Times New Roman;Times;Serif" w:hAnsi="Times New Roman;Times;Serif"/>
          <w:b w:val="false"/>
          <w:i/>
          <w:caps w:val="false"/>
          <w:smallCaps w:val="false"/>
          <w:sz w:val="20"/>
        </w:rPr>
        <w:t>Net loss per share -</w:t>
      </w:r>
      <w:r>
        <w:rPr>
          <w:rFonts w:ascii="Times New Roman;Times;Serif" w:hAnsi="Times New Roman;Times;Serif"/>
          <w:b w:val="false"/>
          <w:i w:val="false"/>
          <w:caps w:val="false"/>
          <w:smallCaps w:val="false"/>
          <w:sz w:val="20"/>
        </w:rPr>
        <w:t xml:space="preserve"> to our consolidated financial statements for additional information regarding the method used to calculate the pro forma basic and diluted loss per ordinary share and Note 11 – Quotaholders’ and shareholders’ equity – for the pro forma weighted average number of ordinary shares used in the computation of the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approximately €5.3 million for the year ended December 31, 2022, as compared to approximately €3.4 million for the year ended December 31, 2021. The increase of approximately €1.9 million was primarily due to the increase in research and development compensation and an increase in manufacturing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we utilized approximately €0.6 million of research and development tax credit to offset certain social contributions and taxes payable, while we utilized approximately €0.5 million for such purpose during 2021. The benefit recorded for the years ended December 31, 2022 and 2021 to offset research and development expenses was approximately €0.7 million and €1.2 million, respectively. The decrease in the benefit recorded for the year ended December 31, 2022, compared to the year ended December 31, 2021, is due to the increase in the utilization rate of the research and development credit, since the effects of the optimization of the organizational structure will have more impact over the next several years. We consider this estimate reasonable and prudent based on the actual research and development tax credit utilization rate.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reclassified to other non-current assets a portion of the receivable, which is expected to be realized beyond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approximately €5.7 million for the year ended December 31, 2022, as compared to approximately €2.3 million for the year ended December 31, 2021. The general and administrative expense increase was essentially due to the increase in general and administrative board and management compensation, including but not limited to share-based compensation, to the increase in the directors and officers (“D&amp;O”) liability insurance policy premium payments, and to the increase in legal advisors and auditor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administrative expenses also increased due mainly to corporate website maintenance and other investor and corporate communication costs related to business development activities that has required additional efforts since our listing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approximately €243,000 for the year ended December 31, 2022, as compared to approximately €19,600 for the year ended December 31, 2021. The increase primarily due to a tax benefit received to help the Company’s economic growth “ACE” (i.e., allowance for corporate equity) of approximately €180.000 and to a reimbursement for bank fees and commissions of approximately €28,000.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financial income was approximately €37,000 for the year ended December 31, 2022, compared to a net financial loss of approximately €(11,700) for the year ended December 31, 2021. The change from net financial loss to net financial income was mainly due to financial interest income on time deposits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Exchange Rate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exchange rate gain was approximately €2.3 million for the year ended December 31, 2022 and was mainly due to: (i) an approximately €1.6 million net exchange rate gain realized on the conversion to Euro of $12.0 million of IPO proceeds collected in December 2021; (ii) an approximately €0.4 million net exchange rate gain realized on USD$ trade payables; and (iii) an approximately €0.3 million net exchange gain unrealized on USD$ time deposits. In the year ended December 31, 2021, the net exchange loss was approximately €(7,000), which was considered immaterial. The amount was low compared to 2022, mainly due to maintaining our cash and cash equivalents in Euros in 2021 with minimal activity in our U.S.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was approximately €8.5 million for the year ended December 31, 2022, as compared to approximately €5.5 million for the year ended December 31, 2021. The increase in our net loss was primarily due to the increase in our operating expenses of approximately €5.4 million, offset by approximately €2.4 million of other income, primarily from the net exchange rate gain in 2022,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accordance with generally accepted accounting principles in the U.S.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accounting policies described below are critical to understand the judgements and estimates used in the consolidated financial statements and to fully understand and evaluate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Many of our service providers invoice us in arrears for services performed, on a pre-determined schedule or when contractual milestones are met; however, some require advanced payments. We attempt to obtain estimates directly from vendors on work performed, if possible. If we are unable to obtain estimates from vendors, we estimate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vendors, including central laboratories, in connection with preclinical development activities, especially, OSR, a co-founding stockholder, significant related party vendor and a leading center for ex-vivo gene therapy for inherited diseases;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 and investigative sites in connection with preclinical and clinical studies;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CMOs in connection with drug substance and drug product formulation of preclinical and clinical trial materials.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period. To date, there have not been any material adjustments to our prior estimates of accrued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implemented a new stock option plan (the “2021–2025 Equity Incentive Plan”) based on a maximum of 2.7 million of new ordinary shares (i.e., common stock) or 10% of the number of shares outstanding after the IPO (approximately 1.8 million). The 2021–2025 Equity Incentive Plan is administered by our board of directors, in consultation with the Compensation, Nomination and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2021, our board of directors approved the general terms (e.g., regulation) of our 2021 – 2025 Equity Incentive Plan. Under Italian law, we do not need to obtain the approval of the specific terms of our equity incentive plans from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our board of directors, as administrator of the 2021–2025 Equity Incentive Plan, awarded nonqualified stock options (“NSOs”) on 147,783 shares to its (former) chairman according to the terms of a sub-plan called “2021-2025 Chairman Sub-Plan” (the “Sub-Plan”) attached to the 2021–2025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our board of directors, as administrator of the 2021–2025 Equity Incentive Plan, awarded NSOs on 392,740 shares to certain of our directors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our board of directors, as administrator of the 2021–2025 Equity Incentive Plan, awarded NSOs on 46,400 shares to certain of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our shareholders modified the 2021–2025 Equity Incentive Plan to extend the final deadline for the issuance of the ordinary shares until December 31, 2035, in order to allow that all stock options granted during the term of the Plan could provide for an exercise period of 10 years starting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there were 586,923 options granted and 1,234,772 options available for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way the award recipient’s payroll costs are classified or in which the award recipient’s service payments are 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adoption of Accounting Standards Update (“ASU”) No. 2018-07, Compensation—Stock Compensation (Topic 718): Improvements to Nonemployee Share-Based Payment Accounting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Tax Credit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our research and development tax credit receivable in accordance with IAS 20 </w:t>
      </w:r>
      <w:r>
        <w:rPr>
          <w:rFonts w:ascii="Times New Roman;Times;Serif" w:hAnsi="Times New Roman;Times;Serif"/>
          <w:b w:val="false"/>
          <w:i/>
          <w:caps w:val="false"/>
          <w:smallCaps w:val="false"/>
          <w:sz w:val="20"/>
        </w:rPr>
        <w:t>Accounting for Government Grants and Disclosure of Government Assistance</w:t>
      </w:r>
      <w:r>
        <w:rPr>
          <w:rFonts w:ascii="Times New Roman;Times;Serif" w:hAnsi="Times New Roman;Times;Serif"/>
          <w:b w:val="false"/>
          <w:i w:val="false"/>
          <w:caps w:val="false"/>
          <w:smallCaps w:val="false"/>
          <w:sz w:val="20"/>
        </w:rPr>
        <w:t>. The receivable is recognized when there is reasonable assurance that: (1) the recipient will comply with the relevant conditions and (2) the grant will be received. We elected to present the credit net of the related expenditure on the statements of operations and comprehensive loss. 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Under the Jumpstart Our Business Startups Act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engaged in any off-balance sheet arrangements, such as the use of unconsolidated subsidiaries, structured finance, special purpose entities, or variable 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any future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or marketable securities, is held in deposits that bear interest. Given the current rates of interest we receive, we will not be adversely affected if such rates are reduced. Our market risk exposure is primarily a result of foreign currency exchange rates, which is discussed in detail in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cash flow are subject to significant fluctuations due to changes in foreign currency exchange rates. Our liquid assets and our expenses are denominated in EUR and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grow our business, our results of operations, and our cash flows might be subject to fluctuations due to changes in foreign currency exchange rates, which could adversely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hypothetical movement of 10% in USD to the EUR exchange rate would have had an impact of approximately €0.3 million on our net result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hedge our foreign currency exchange risk. In the future, we may enter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 w:name="am_006"/>
      <w:bookmarkEnd w:id="57"/>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any revenue and have incurred significant operating losses and negative cash flows from our operations. We have funded our operations to date primarily with proceeds from the sales of quotas, in prior years as an S.r.l., and through our IPO of our shares as an S.p.A. We received gross cash proceeds of approximately €33.6 million from sales of quotas (pre-IPO) and approximately €32.7 million of gross proceeds from the IPO in December 2021. As of December 31, 2023, the Company had approximately €18.8 million in cash and cash equivalents and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cash flows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9230" w:type="dxa"/>
        <w:jc w:val="left"/>
        <w:tblInd w:w="0" w:type="dxa"/>
        <w:tblLayout w:type="fixed"/>
        <w:tblCellMar>
          <w:top w:w="0" w:type="dxa"/>
          <w:left w:w="0" w:type="dxa"/>
          <w:bottom w:w="28" w:type="dxa"/>
          <w:right w:w="0" w:type="dxa"/>
        </w:tblCellMar>
      </w:tblPr>
      <w:tblGrid>
        <w:gridCol w:w="4955"/>
        <w:gridCol w:w="60"/>
        <w:gridCol w:w="140"/>
        <w:gridCol w:w="1175"/>
        <w:gridCol w:w="95"/>
        <w:gridCol w:w="60"/>
        <w:gridCol w:w="140"/>
        <w:gridCol w:w="1100"/>
        <w:gridCol w:w="95"/>
        <w:gridCol w:w="60"/>
        <w:gridCol w:w="140"/>
        <w:gridCol w:w="1100"/>
        <w:gridCol w:w="110"/>
      </w:tblGrid>
      <w:tr>
        <w:trPr/>
        <w:tc>
          <w:tcPr>
            <w:tcW w:w="495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Euros)</w:t>
            </w:r>
          </w:p>
        </w:tc>
        <w:tc>
          <w:tcPr>
            <w:tcW w:w="60" w:type="dxa"/>
            <w:tcBorders/>
            <w:tcMar>
              <w:bottom w:w="0" w:type="dxa"/>
            </w:tcMar>
            <w:vAlign w:val="center"/>
          </w:tcPr>
          <w:p>
            <w:pPr>
              <w:pStyle w:val="TableContents"/>
              <w:bidi w:val="0"/>
              <w:spacing w:before="0" w:after="283"/>
              <w:jc w:val="left"/>
              <w:rPr/>
            </w:pPr>
            <w:r>
              <w:rPr/>
              <w:t> </w:t>
            </w:r>
          </w:p>
        </w:tc>
        <w:tc>
          <w:tcPr>
            <w:tcW w:w="4105" w:type="dxa"/>
            <w:gridSpan w:val="10"/>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tcMar>
              <w:bottom w:w="0" w:type="dxa"/>
            </w:tcMar>
            <w:vAlign w:val="center"/>
          </w:tcPr>
          <w:p>
            <w:pPr>
              <w:pStyle w:val="TableContents"/>
              <w:bidi w:val="0"/>
              <w:spacing w:before="0" w:after="283"/>
              <w:jc w:val="center"/>
              <w:rPr/>
            </w:pPr>
            <w:r>
              <w:rPr/>
              <w:t> </w:t>
            </w:r>
          </w:p>
        </w:tc>
      </w:tr>
      <w:tr>
        <w:trPr/>
        <w:tc>
          <w:tcPr>
            <w:tcW w:w="4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(in Euros)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(11,205,023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(7,418,236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(6,958,174</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(14,892,666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(9,009</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28,742,102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pPr>
            <w:r>
              <w:rPr/>
              <w:t>Effect of exchange rate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vAlign w:val="center"/>
          </w:tcPr>
          <w:p>
            <w:pPr>
              <w:pStyle w:val="TableContents"/>
              <w:bidi w:val="0"/>
              <w:spacing w:before="0" w:after="283"/>
              <w:jc w:val="right"/>
              <w:rPr/>
            </w:pPr>
            <w:r>
              <w:rPr/>
              <w:t>(6,278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increase in 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(26,103,436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(7,445,306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21,774,919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beginning of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37,240,162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15,465,243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end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17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3,691,420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10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10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37,240,162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operating activities used approximately €11.0 million of cash and cash equivalents, resulting from our net loss of approximately €11.6 million, partially offset by non-cash charges of approximately €1.1 million and the cash generated by our operating assets and liabilities of approximately €0.4 million. The non-cash charges primarily included approximately €0.7 million of share-based compensation expense, approximately €0.2 million of unrealized gain on purchase of marketable securities, and other minor amounts of depreciation, retirement benefit obligation expense and cumulative translation adjustment. The net changes in our operating assets and liabilities were primarily due to a decrease in accounts payable. The decrease in accounts payable compared to the prior period, was mainly due to bills from certain suppliers, advisors, and legal consultants received in December 2022 but that became due and were paid in 2023.</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operating activities used approximately €7.4 million of cash and cash equivalents, resulting from our net loss of approximately €8.5 million, partially offset by non-cash charges of approximately €0.8 million and the cash generated by our operating assets and liabilities of approximately €0.2 million. The non-cash charges primarily included approximately €0.7 million of share-based compensation expense, and other minor amounts of depreciation, retirement benefit obligation expense and cumulative translation adjustment. The net changes in our operating assets and liabilities were primarily due to an increase in account payable and accrued expenses, as well as an increase in other current liabilities. The increase in account payable was mainly due to bills from certain suppliers, advisors and legal consultants received in December 2022 becoming due and were paid in January 2023, as well as an increase in account payables to OSR, a related party. The increase in accrued expenses was mainly due to an increase in related parties accrued expenses for invoices to be received from OSR and for senior management bonuses accrued at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operating activities used approximately €7.0 million of cash and cash equivalents, resulting from our net loss of approximately €5.5 million and by cash used for changes in our operating assets and liabilities of approximately €1.9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share-based compensation expense and a de minimis amount of depreciation and retirement benefit obligation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investing activities used approximately €5.9 million to purchase marketable securities (U.S. treasury bills and Italian government bonds), in order to deploy the liquidity available and not used in current operations more profitably, while respecting the principle of selecting low-risk profile assets. In addition, approximately €13,000 of our cash and cash equivalents were used to primarily purchase laptops and other work tools for new employees hired during the fiscal year ending on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investing activities used €27,070 of our cash and cash equivalents to both improve our cyber security and support the implementation of our new ERP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investing activities used €9,009 of our cash and cash equivalents to invest in our fixed assets, such as, laptops, smartphones, and other information technology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there was no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there was no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net cash provided by financing activities was approximately €28.7 million, primarily consisting of net cash proceeds from our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revenue and do not expect to generate revenues from the sale of any product candidate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our cash and cash equivalents, and marketable securities, were approximately €18.8 million. Our primary cash obligations relate to payments to OSR pursuant to the ARLA and other providers of clinical trial related services and manufacturing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existing cash, we estimate that such funds will be sufficient to fund our operations and capital expenditure requirements into the second quarter of 2025. We have based this estimate on assumptions that may prove to be wrong, and we could use our available capital resources sooner than we currently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operating plans may change because of many factors that may currently be unknown to us, and we may need to seek additional funds sooner than planned. Our future capital requirements will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remnants of the COVID-19 pandemic and its impact on our planned clinical trials,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and costs of our preclinical studies, clinical trials and other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prioritization and number of our clinical trials and other research and development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cost that we may incur under in- and out-licensing arrangements relating to our product candidate that we may enter into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obtaining regulatory approval for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filing, prosecuting, enforcing, and defending patent claims and other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and timing for, amending current manufacturing agreements for production of sufficient clinical and (eventually) commercial quantities of our product candidates, or entering into new agreement with existing or new CMOs;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costs of contracting with third parties to provide marketing and distribution services for us or for building such capacities internally;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acquiring or undertaking the development and commercialization efforts for additional, future therapeutic applications of our product candidates and the magnitude of our 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can generate significant revenues, if ever, we expect to satisfy our future cash needs through our existing cash, cash equivalents and short-term deposits as well as through additional financings, which we may seek through a combination of private and public equity offerings, debt financings and collaboration, in-licensing arrangements, joint ventures, strategic alliances or partnerships. For example, on May 12, 2023, we filed with the SEC a shelf registration statement, which was declared effective by the SEC on May 24, 2023 and permits us to sell from time to time additional ordinary shares, ordinary shares represented by ADSs or rights exercisable for ordinary shares or ADSs in one or more offerings in amounts, at prices and on the terms that we will determine at the time of offering for aggregate gross sales proceeds of up to $100.0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expected use of cash and cash equivalents represents our intentions based upon our current plans and business conditions, which could change in the future as our plans and business conditions evolve. We may also use a portion of the available cash and cash equivalents, and marketable securities, to in-license, acquire, or invest in additional businesses, technologies, products,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ATM Offering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we mutually agreed with Cantor Fitzgerald &amp; Co.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Cantor”) to terminate the </w:t>
      </w:r>
      <w:r>
        <w:rPr>
          <w:rFonts w:ascii="Times New Roman;Times;Serif" w:hAnsi="Times New Roman;Times;Serif"/>
          <w:b w:val="false"/>
          <w:i w:val="false"/>
          <w:caps w:val="false"/>
          <w:smallCaps w:val="false"/>
          <w:sz w:val="20"/>
          <w:shd w:fill="FFFFFF" w:val="clear"/>
        </w:rPr>
        <w:t>Controlled Equity Offering Sales Agreement (the “Sales Agreement”), dated May 12, 2023, pursuant to which we could offer and sell up to $30.0 million ordinary shares represented by ADSs from time to time through Cantor, as agent, subject to the terms and conditions described in the Sales Agreement and SEC rules and regulations (the “ATM Offering”). Prior to termination, we issued and sold 100 ADSs through the ATM Offering for gross proceeds of approximately $639.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description of the Sales Agreement is not complete and is qualified in its entirety by reference to the full text of the Sales Agreement, a copy of which was filed as Exhibit 1.2 to our Registration Statement of Form F-3 (File No. 333-271901) filed with the SEC on May 12, 2023 and incorporated here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 w:name="am_007"/>
      <w:bookmarkEnd w:id="58"/>
      <w:r>
        <w:rPr>
          <w:rFonts w:ascii="Times New Roman;Times;Serif" w:hAnsi="Times New Roman;Times;Serif"/>
          <w:b/>
          <w:i w:val="false"/>
          <w:caps w:val="false"/>
          <w:smallCaps w:val="false"/>
          <w:sz w:val="20"/>
        </w:rPr>
        <w:t>C.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 w:name="am_008"/>
      <w:bookmarkEnd w:id="59"/>
      <w:r>
        <w:rPr>
          <w:rFonts w:ascii="Times New Roman;Times;Serif" w:hAnsi="Times New Roman;Times;Serif"/>
          <w:b/>
          <w:i w:val="false"/>
          <w:caps w:val="false"/>
          <w:smallCaps w:val="false"/>
          <w:sz w:val="20"/>
        </w:rPr>
        <w:t>D. Trend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for the fiscal year ended December 31, 2023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 w:name="am_009"/>
      <w:bookmarkEnd w:id="60"/>
      <w:r>
        <w:rPr>
          <w:rFonts w:ascii="Times New Roman;Times;Serif" w:hAnsi="Times New Roman;Times;Serif"/>
          <w:b/>
          <w:i w:val="false"/>
          <w:caps w:val="false"/>
          <w:smallCaps w:val="false"/>
          <w:sz w:val="20"/>
        </w:rPr>
        <w:t>E. 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critical accounting estimates, see “Item 5. Operating and Financial Review and Prospects—A. Operating Results—Critical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 w:name="am_010"/>
      <w:bookmarkEnd w:id="6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2" w:name="am_011"/>
      <w:bookmarkEnd w:id="62"/>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age as of March 26, 2024, and position of the individuals who serve as our directors and executive officers.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pStyle w:val="TextBody"/>
        <w:bidi w:val="0"/>
        <w:spacing w:before="0" w:after="0"/>
        <w:ind w:left="0" w:right="0" w:hanging="0"/>
        <w:jc w:val="left"/>
        <w:rPr>
          <w:caps w:val="false"/>
          <w:smallCaps w:val="false"/>
        </w:rPr>
      </w:pPr>
      <w:r>
        <w:rPr>
          <w:caps w:val="false"/>
          <w:smallCaps w:val="false"/>
        </w:rPr>
        <w:t> </w:t>
      </w:r>
    </w:p>
    <w:tbl>
      <w:tblPr>
        <w:tblW w:w="9410" w:type="dxa"/>
        <w:jc w:val="left"/>
        <w:tblInd w:w="0" w:type="dxa"/>
        <w:tblLayout w:type="fixed"/>
        <w:tblCellMar>
          <w:top w:w="0" w:type="dxa"/>
          <w:left w:w="0" w:type="dxa"/>
          <w:bottom w:w="0" w:type="dxa"/>
          <w:right w:w="0" w:type="dxa"/>
        </w:tblCellMar>
      </w:tblPr>
      <w:tblGrid>
        <w:gridCol w:w="2135"/>
        <w:gridCol w:w="60"/>
        <w:gridCol w:w="350"/>
        <w:gridCol w:w="60"/>
        <w:gridCol w:w="5630"/>
        <w:gridCol w:w="60"/>
        <w:gridCol w:w="111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elected</w:t>
            </w:r>
          </w:p>
        </w:tc>
      </w:tr>
      <w:tr>
        <w:trPr/>
        <w:tc>
          <w:tcPr>
            <w:tcW w:w="21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3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vAlign w:val="center"/>
          </w:tcPr>
          <w:p>
            <w:pPr>
              <w:pStyle w:val="TableContents"/>
              <w:bidi w:val="0"/>
              <w:spacing w:before="0" w:after="283"/>
              <w:jc w:val="left"/>
              <w:rPr/>
            </w:pPr>
            <w:r>
              <w:rPr/>
              <w:t> </w:t>
            </w:r>
          </w:p>
        </w:tc>
        <w:tc>
          <w:tcPr>
            <w:tcW w:w="56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appointed</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Alan Sirgo, Ph.D.</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(1)(2)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Vice Chairman of the Board of Directors and</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Manager</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Carlo Russo, M.D.</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Medical Officer, Head of Development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Abravanel</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Director(1)(2)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Guido Guidi</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Director(1)(2)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Marucci</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Director(1)</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 Regonini</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Director</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Stefania Mazzoleni, Ph.D.</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Scientific Project Manager and Communications Officer</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60"/>
        <w:gridCol w:w="245"/>
        <w:gridCol w:w="58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 (as defined under Nasdaq Stock Market rules)</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Compensation, Nomination and Governance Committee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above were elected at the Company’s general shareholders’ meeting held on May 20, 2021, for a three-year term. The board of directors (the “Board”) consists of five (5)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terms will expire with the Company’s general shareholders’ meeting called to approve the financial statements for the year ending December 31, 2023 to be held in 2024, or earlier upon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Pierluigi Paracchi, Chief Executive Officer, Vice Chairman of the Board of Directors, and General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Mr. Paracchi is a member of the Assobiotec Steering Committee, the Italian Association for the development of biotechnology. He also serves on the board of directors of the autoimmune disease and cancer company Altheia Science, as non-executive Chairman, at a medical device company, Lipogems International, and is a venture partner with AurorA Science, an independent biotech investment vehicle.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Richard B. Slansky,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Slansky is a senior financial executive with more than 30 years of experience as Chief Financial Officer in various biopharmaceutical, diagnostic and life science companies, including Biological Dynamics, OncoSec Medical, GenMark Diagnostics and C-N Biosciences, now a part of Millipore Sigma, a division of Merck KGaA. His experience spans across public and private healthcare and technology companies at various stages of growth, pre-revenue to commercial. He has been responsible for strategic vision and oversight of financial and operational teams, organizational leadership, creating maximum stakeholder value, financial and governmental compliance, among other activities. He also serves on the board of directors of several private companies in the life science, aerospace and real estate market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Carlo Russo, M.D., Chief Medical Officer &amp; Head of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Russo has extensive experience as a biotech executive focused on medical affairs, research and development, and clinical studies.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several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Barbara Regonini, Finance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Regonini is an experienced financial executive with skills in strategic finance, restructuring and reorganization processes, internal controls, and corporate governance systems implementation. Prior to joining Genenta, she was Head of Finance at OAM – Financial Supervisory Authority. She previously held CFO roles and was part of the Supervisory Body of a public company in the renewable energy field. Former senior manager at PriceWaterhouseCoopers, she has a significant finance background in the industrial and service field. She has a Master’s degree at the University of Nicosia in Science of Digital Currency, a degree as Strategic CFO at Harvard Business School, a Master’s degree in Business and Administration at the University of Parma, and she is a Chartered Public Accountant and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Stefania Mazzoleni, Ph.D., Scientific Project Manager and Communications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four years of drug development and cell and gene therapy experience acquired while working at various academic institutions (OSR -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degree in Pharmacy and Pharmaceutical Oncology and is a member of the European Academy of Tumor Immunology.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 A. Sirgo, Pharm.D., Chairman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Sirgo is currently the CEO of Corium Innovations, a contract development and manufacturing company specializing in prescription and over the counter transdermal product delivery. He spent the previous three years as CEO of Aruna Bio, a company specializing in the utilization of neuro exosomes to treat neurodegenerative diseases. Prior to Aruna Bio he founded and spent 13 years as CEO of the specialty pharmaceutical company BioDelivery Sciences, Inc. (NASDAQ: BDSI), overseeing the development, approval and commercialization of three products for pain and addiction disorder, raising over $600 million in capital through equity and debt financings and growth in market capitalization from $10 million to nearly $1 billion during that period. Dr. Sirgo remained on the Board until the successful sale of the company in 2022. Dr. Sirgo began his career at GSK where he spent 17 years in roles of increasing responsibility including Vice President of Clinical Development and Vice President of New Product Marketing. He currently serves on the boards of several public and private companies. Dr. Sirgo holds a Doctorate in Pharmacy from Philadelphia College of Pharmacy and Sciences and a Bachelor’s in Pharmacy from The Ohio State University.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Roger Abravanel,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Abravanel worked at McKinsey &amp; Company for 34 years as a consultant for Italian and multinational corporations in Europe, the U.S., and the Far East, and is now an emeritus director. He is a former board member of Luxottica, COFIDE, Teva and Admiral, is currently Chairman of the INSEAD’s advisory group in Italy and is the author of several best-selling business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Guido Guidi, MD,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 Dr. Guidi is Vice Chairman of Recordati and Chairman of Cellestia. He also is a member of several pharma boards.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Anthony Marucci,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Scientific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Luigi Naldini, M.D., Ph.D., Chairman of the Executive Scientific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Bernhard Gentner, M.D., Member of the Executive Scientific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Gentner is a physician scientist, serving as Group Leader of the Translational Stem Cell and Leukemia Research Unit at the San Raffaele-Telethon Institute for Gene Therapy in Milan and Staff Hematologist in the Hematology and Bone Marrow Transplantation Unit of OSR -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Advisors to the Company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Brad Loncar: Founder and Chief Executive Officer at Loncar Investments. Mr. Loncar is a biotech investor, index provider, and creator of two Nasdaq-listed exchange traded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Arrangements Concerning Election of Directors and Members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with major shareholders, customers, suppliers, or others pursuant to which any of our directors or members of senior management were selected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 w:name="am_012"/>
      <w:bookmarkEnd w:id="63"/>
      <w:r>
        <w:rPr>
          <w:rFonts w:ascii="Times New Roman;Times;Serif" w:hAnsi="Times New Roman;Times;Serif"/>
          <w:b/>
          <w:i w:val="false"/>
          <w:caps w:val="false"/>
          <w:smallCaps w:val="false"/>
          <w:sz w:val="20"/>
        </w:rPr>
        <w:t>B.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 the aggregate all compensation we paid to all our directors and senior management as a group for the year ended December 31, 2023.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amount paid to all directors and senior managers as a group was approximately €1.3 million for the year ended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46"/>
        <w:gridCol w:w="60"/>
        <w:gridCol w:w="330"/>
        <w:gridCol w:w="1620"/>
        <w:gridCol w:w="60"/>
        <w:gridCol w:w="60"/>
        <w:gridCol w:w="525"/>
        <w:gridCol w:w="1519"/>
        <w:gridCol w:w="60"/>
        <w:gridCol w:w="60"/>
        <w:gridCol w:w="368"/>
        <w:gridCol w:w="1518"/>
        <w:gridCol w:w="79"/>
      </w:tblGrid>
      <w:tr>
        <w:trPr/>
        <w:tc>
          <w:tcPr>
            <w:tcW w:w="39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Bonuses and Related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Pension, Retirement and Other Similar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Share-Based Compensation</w:t>
            </w:r>
          </w:p>
        </w:tc>
        <w:tc>
          <w:tcPr>
            <w:tcW w:w="79" w:type="dxa"/>
            <w:tcBorders/>
            <w:vAlign w:val="center"/>
          </w:tcPr>
          <w:p>
            <w:pPr>
              <w:pStyle w:val="TableContents"/>
              <w:bidi w:val="0"/>
              <w:spacing w:before="0" w:after="283"/>
              <w:jc w:val="left"/>
              <w:rPr/>
            </w:pPr>
            <w:r>
              <w:rPr/>
              <w:t> </w:t>
            </w:r>
          </w:p>
        </w:tc>
      </w:tr>
      <w:tr>
        <w:trPr/>
        <w:tc>
          <w:tcPr>
            <w:tcW w:w="39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6"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3946" w:type="dxa"/>
            <w:tcBorders/>
            <w:shd w:fill="CCEEFF" w:val="clear"/>
            <w:vAlign w:val="center"/>
          </w:tcPr>
          <w:p>
            <w:pPr>
              <w:pStyle w:val="TableContents"/>
              <w:bidi w:val="0"/>
              <w:spacing w:before="0" w:after="283"/>
              <w:jc w:val="left"/>
              <w:rPr/>
            </w:pPr>
            <w:r>
              <w:rPr>
                <w:rFonts w:ascii="Times New Roman;Times;Serif" w:hAnsi="Times New Roman;Times;Serif"/>
              </w:rPr>
              <w:t>All directors and senior management as a group,</w:t>
            </w:r>
            <w:r>
              <w:rPr/>
              <w:t xml:space="preserve"> </w:t>
            </w:r>
            <w:r>
              <w:rPr>
                <w:rFonts w:ascii="Times New Roman;Times;Serif" w:hAnsi="Times New Roman;Times;Serif"/>
              </w:rPr>
              <w:t>consisting of 8 persons including current and former directors</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cost to the Company for the year ended December 31, 2023 related to all directors and senior managers as a group was approximately €2.2 million.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69"/>
        <w:gridCol w:w="60"/>
        <w:gridCol w:w="239"/>
        <w:gridCol w:w="1676"/>
        <w:gridCol w:w="60"/>
        <w:gridCol w:w="60"/>
        <w:gridCol w:w="349"/>
        <w:gridCol w:w="1705"/>
        <w:gridCol w:w="60"/>
        <w:gridCol w:w="60"/>
        <w:gridCol w:w="280"/>
        <w:gridCol w:w="1610"/>
        <w:gridCol w:w="77"/>
      </w:tblGrid>
      <w:tr>
        <w:trPr/>
        <w:tc>
          <w:tcPr>
            <w:tcW w:w="3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Bonuses and Related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Pension, Retirement and Other Similar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Share-Based Compensation</w:t>
            </w:r>
          </w:p>
        </w:tc>
        <w:tc>
          <w:tcPr>
            <w:tcW w:w="77" w:type="dxa"/>
            <w:tcBorders/>
            <w:vAlign w:val="center"/>
          </w:tcPr>
          <w:p>
            <w:pPr>
              <w:pStyle w:val="TableContents"/>
              <w:bidi w:val="0"/>
              <w:spacing w:before="0" w:after="283"/>
              <w:jc w:val="left"/>
              <w:rPr/>
            </w:pPr>
            <w:r>
              <w:rPr/>
              <w:t> </w:t>
            </w:r>
          </w:p>
        </w:tc>
      </w:tr>
      <w:tr>
        <w:trPr/>
        <w:tc>
          <w:tcPr>
            <w:tcW w:w="39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3969" w:type="dxa"/>
            <w:tcBorders/>
            <w:shd w:fill="CCEEFF" w:val="clear"/>
            <w:vAlign w:val="center"/>
          </w:tcPr>
          <w:p>
            <w:pPr>
              <w:pStyle w:val="TableContents"/>
              <w:bidi w:val="0"/>
              <w:spacing w:before="0" w:after="283"/>
              <w:jc w:val="left"/>
              <w:rPr/>
            </w:pPr>
            <w:r>
              <w:rPr>
                <w:rFonts w:ascii="Times New Roman;Times;Serif" w:hAnsi="Times New Roman;Times;Serif"/>
              </w:rPr>
              <w:t>All directors and senior management as a group,</w:t>
            </w:r>
            <w:r>
              <w:rPr/>
              <w:t xml:space="preserve"> </w:t>
            </w:r>
            <w:r>
              <w:rPr>
                <w:rFonts w:ascii="Times New Roman;Times;Serif" w:hAnsi="Times New Roman;Times;Serif"/>
              </w:rPr>
              <w:t>consisting of 8 persons including current and</w:t>
            </w:r>
            <w:r>
              <w:rPr/>
              <w:t xml:space="preserve"> </w:t>
            </w:r>
            <w:r>
              <w:rPr>
                <w:rFonts w:ascii="Times New Roman;Times;Serif" w:hAnsi="Times New Roman;Times;Serif"/>
              </w:rPr>
              <w:t>former directors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6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2,001,025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16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160,664</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total amount paid by the Company and the total cost to the Company, stems from the fact that the Company’s cost for each employee is higher than what is actually paid out during each fiscal year due to tax and contribution charges affecting labor costs. Additionally, according to the regulations applicable to Italian employees, severance pay is set aside annually and thus constitutes a cost for the Company, whereas it is disbursed and paid out only in the event of the employee’s resignation or dismissal. Furthermore, provisions for unexercised stock options during the fiscal year are also included in the Company’s cost.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4" w:name="am_013"/>
      <w:bookmarkEnd w:id="64"/>
      <w:r>
        <w:rPr>
          <w:rFonts w:ascii="Times New Roman;Times;Serif" w:hAnsi="Times New Roman;Times;Serif"/>
          <w:b/>
          <w:i w:val="false"/>
          <w:caps w:val="false"/>
          <w:smallCaps w:val="false"/>
          <w:sz w:val="20"/>
        </w:rPr>
        <w:t>C. Board Practices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follow the historical Italian corporate governance system, with a board of directors (</w:t>
      </w:r>
      <w:r>
        <w:rPr>
          <w:rFonts w:ascii="Times New Roman;Times;Serif" w:hAnsi="Times New Roman;Times;Serif"/>
          <w:b w:val="false"/>
          <w:i/>
          <w:caps w:val="false"/>
          <w:smallCaps w:val="false"/>
          <w:sz w:val="20"/>
        </w:rPr>
        <w:t>consiglio di amministrazione</w:t>
      </w:r>
      <w:r>
        <w:rPr>
          <w:rFonts w:ascii="Times New Roman;Times;Serif" w:hAnsi="Times New Roman;Times;Serif"/>
          <w:b w:val="false"/>
          <w:i w:val="false"/>
          <w:caps w:val="false"/>
          <w:smallCaps w:val="false"/>
          <w:sz w:val="20"/>
        </w:rPr>
        <w:t>) and a separate board of statutory auditors (</w:t>
      </w:r>
      <w:r>
        <w:rPr>
          <w:rFonts w:ascii="Times New Roman;Times;Serif" w:hAnsi="Times New Roman;Times;Serif"/>
          <w:b w:val="false"/>
          <w:i/>
          <w:caps w:val="false"/>
          <w:smallCaps w:val="false"/>
          <w:sz w:val="20"/>
        </w:rPr>
        <w:t>collegio sindacale</w:t>
      </w:r>
      <w:r>
        <w:rPr>
          <w:rFonts w:ascii="Times New Roman;Times;Serif" w:hAnsi="Times New Roman;Times;Serif"/>
          <w:b w:val="false"/>
          <w:i w:val="false"/>
          <w:caps w:val="false"/>
          <w:smallCaps w:val="false"/>
          <w:sz w:val="20"/>
        </w:rPr>
        <w:t xml:space="preserve">) with supervisory functions. The two boards are separate, and no individual may be a member of both corporate bodies. Both the members of the board of directors and the members of the board of statutory auditors owe duties of loyalty and care to the Company. The board of statutory auditors acts as the Board’s audit committee for purposes of SEC and Nasdaq compliance (see </w:t>
      </w:r>
      <w:r>
        <w:rPr>
          <w:rFonts w:ascii="Times New Roman;Times;Serif" w:hAnsi="Times New Roman;Times;Serif"/>
          <w:b w:val="false"/>
          <w:i/>
          <w:caps w:val="false"/>
          <w:smallCaps w:val="false"/>
          <w:sz w:val="20"/>
        </w:rPr>
        <w:t>Differences between Italian Laws and Nasdaq Requirements</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of Statutory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Company’s board of statutory auditors received approximately €44,000 in compensation in the aggregate for their services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annual general shareholders’ meeting held on May 20, 2021, the following individuals were elected or re-appointed to the Company’s board of statutory auditors for a three-year term. The board consists of three members, one of which is the chairman, and two alternates. The board of statutory auditors’ term will therefore expire with the Company’s general shareholders’ meeting called to approve the financial statements for the year ending December 31, 2023 to be held in 2024. The following table sets forth the name, age as of March 26, 2024, and position of the individuals who serve as our board of statutory auditors, and their alternates.</w:t>
      </w:r>
    </w:p>
    <w:p>
      <w:pPr>
        <w:pStyle w:val="TextBody"/>
        <w:bidi w:val="0"/>
        <w:spacing w:before="0" w:after="0"/>
        <w:ind w:left="0" w:right="0" w:hanging="0"/>
        <w:jc w:val="left"/>
        <w:rPr>
          <w:caps w:val="false"/>
          <w:smallCaps w:val="false"/>
        </w:rPr>
      </w:pPr>
      <w:r>
        <w:rPr>
          <w:caps w:val="false"/>
          <w:smallCaps w:val="false"/>
        </w:rPr>
        <w:t> </w:t>
      </w:r>
    </w:p>
    <w:tbl>
      <w:tblPr>
        <w:tblW w:w="7595" w:type="dxa"/>
        <w:jc w:val="left"/>
        <w:tblInd w:w="0" w:type="dxa"/>
        <w:tblLayout w:type="fixed"/>
        <w:tblCellMar>
          <w:top w:w="0" w:type="dxa"/>
          <w:left w:w="0" w:type="dxa"/>
          <w:bottom w:w="0" w:type="dxa"/>
          <w:right w:w="0" w:type="dxa"/>
        </w:tblCellMar>
      </w:tblPr>
      <w:tblGrid>
        <w:gridCol w:w="2090"/>
        <w:gridCol w:w="60"/>
        <w:gridCol w:w="350"/>
        <w:gridCol w:w="60"/>
        <w:gridCol w:w="3620"/>
        <w:gridCol w:w="60"/>
        <w:gridCol w:w="1355"/>
      </w:tblGrid>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elected</w:t>
            </w:r>
          </w:p>
        </w:tc>
      </w:tr>
      <w:tr>
        <w:trPr/>
        <w:tc>
          <w:tcPr>
            <w:tcW w:w="20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3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vAlign w:val="center"/>
          </w:tcPr>
          <w:p>
            <w:pPr>
              <w:pStyle w:val="TableContents"/>
              <w:bidi w:val="0"/>
              <w:spacing w:before="0" w:after="283"/>
              <w:jc w:val="left"/>
              <w:rPr/>
            </w:pPr>
            <w:r>
              <w:rPr/>
              <w:t> </w:t>
            </w:r>
          </w:p>
        </w:tc>
        <w:tc>
          <w:tcPr>
            <w:tcW w:w="36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vAlign w:val="center"/>
          </w:tcPr>
          <w:p>
            <w:pPr>
              <w:pStyle w:val="TableContents"/>
              <w:bidi w:val="0"/>
              <w:spacing w:before="0" w:after="283"/>
              <w:jc w:val="left"/>
              <w:rPr/>
            </w:pPr>
            <w:r>
              <w:rPr/>
              <w:t> </w:t>
            </w:r>
          </w:p>
        </w:tc>
        <w:tc>
          <w:tcPr>
            <w:tcW w:w="13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re-appointed</w:t>
            </w:r>
          </w:p>
        </w:tc>
      </w:tr>
      <w:tr>
        <w:trPr/>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Carlo-Alberto Nicchio</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Statutory Auditors</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Cesare Lazzaroni</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Jacopo Doveri</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Lorenzo Gianluigi Grossi</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Alternate auditor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Alessandro Arpiani</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Alternate auditor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and shareholders belonging to the same group shall not submit, or contribute to submit, or to cast their vote for more than one slate, including through a nominee. Each candidate may only be listed on single slate or, otherwise, will be ineligible for election if named in multiple slates.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Italian law does not require that we adopt a Compensation, Nomination and Governance Committee, in connection with our Corporate Conversion from a limited liability company (società a responsabilità limitata, or “S.r.l.”) to a joint stock company (società per azioni, or an “S.p.A.”), we established a Compensation, Nomination and Governance Committee according to Nasdaq Listing Rule 5615(a)(3). The members of our Compensation, Nomination and Governance Committee include Mark Sirgo, Roger Abravanel, and Guido Guidi. On May 1, 2022, Dr. Sirgo replaced Dr. Squinto on our Compensation, Nomination and Governance Committee.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between Italian Laws and Nasdaq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as well as related rules subsequently implemented by the SEC, requires foreign private issuers, such as us, to comply with various corporate governance practices. In addition, following the listing of the ADSs on Nasdaq, we are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Composition of the board of directors</w:t>
            </w:r>
            <w:r>
              <w:rPr>
                <w:rFonts w:ascii="Times New Roman;Times;Serif" w:hAnsi="Times New Roman;Times;Serif"/>
                <w:b w:val="false"/>
                <w:i w:val="false"/>
                <w:caps w:val="false"/>
                <w:smallCaps w:val="false"/>
                <w:sz w:val="20"/>
              </w:rPr>
              <w:t>. Italian law does not require that the majority of our board of directors consist of independent directors. Our board of directors therefore may include fewer independent directors than would be required if we were subject to Nasdaq Listing Rule 5605(b) (1). In addition, we are not subject to Nasdaq Listing Rule 5605(b)(2), which requires that independent directors must regularly have scheduled meetings at which only independent directors are present.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In accordance with Italian law quorum requirements generally applicable to general meetings of shareholders are set forth in the Italian Civil Code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Proxy Solicitations</w:t>
            </w:r>
            <w:r>
              <w:rPr>
                <w:rFonts w:ascii="Times New Roman;Times;Serif" w:hAnsi="Times New Roman;Times;Serif"/>
                <w:b w:val="false"/>
                <w:i w:val="false"/>
                <w:caps w:val="false"/>
                <w:smallCaps w:val="false"/>
                <w:sz w:val="20"/>
              </w:rPr>
              <w:t>. Under Italian law shareholders may appoint attorneys-in-fact by delivering in writing appropriate power of attorney to represent them in an ordinary or extraordinary shareholders’ meeting of the Company. Our directors, auditors, and employees may not be proxies. Italian law does not have a specific regulatory regime for the solicitation of proxies in private companies; thus, our practice varies from the requirement of Nasdaq Listing Rule 5620(b), which sets forth certain requirements regarding the solicitation of proxies.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Issuances</w:t>
            </w:r>
            <w:r>
              <w:rPr>
                <w:rFonts w:ascii="Times New Roman;Times;Serif" w:hAnsi="Times New Roman;Times;Serif"/>
                <w:b w:val="false"/>
                <w:i w:val="false"/>
                <w:caps w:val="false"/>
                <w:smallCaps w:val="false"/>
                <w:sz w:val="20"/>
              </w:rPr>
              <w:t>. Pursuant to Italian law, we have opted out of shareholder approval requirements by way of including authorized and conditional share capital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U.S. companies listed on Nasdaq are required to have an audit committee that satisfies the requirements of Rule 10A-3 under the Exchange Act and certain additional requirements set by the Nasdaq.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 board of statutory auditors established in accordance with Italian law which performs substantially the same functions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60"/>
        <w:gridCol w:w="200"/>
        <w:gridCol w:w="935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statutory auditors is established and selected pursuant to Italian law expressly permitting such a board;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1"/>
        <w:gridCol w:w="9864"/>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required under Italian law to be separate from the Company’s board of directors;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not elected by management of the Company and no executive officer of the Company is a member of the board of statutory auditors;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provides for standards for the independence of the board of statutory auditors from the Company and its management;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Rule 10A-3(c)(3) does not, in our opinion, materially adversely affect the ability of its board of statutory auditors to act independently and to satisfy the other requirements of Rule 10A-3.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Italian law does not require the appointment of a compensation committee composed of independent directors as required by the Nasdaq Listing Rules. As a matter of Italian law applicable to Italian stock corporations whose shares are not listed on a regulated market in the E.U.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has established a Compensation, Nomination and Governance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Code of Conduct</w:t>
            </w:r>
            <w:r>
              <w:rPr>
                <w:rFonts w:ascii="Times New Roman;Times;Serif" w:hAnsi="Times New Roman;Times;Serif"/>
                <w:b w:val="false"/>
                <w:i w:val="false"/>
                <w:caps w:val="false"/>
                <w:smallCaps w:val="false"/>
                <w:sz w:val="20"/>
              </w:rPr>
              <w:t>. Pursuant to Italian law, we have adopted an “Organization and Operational Model” as required by Italian Legislative Decree of June 8, 2001, No. 231 (relating to administrative responsibility) that consists of: (i) a Code of Ethics; and, (ii) operating procedures and reporting systems applicable to all of our directors, officers and employees, which may not comply with the requirements for a code of conduct meeting the criteria under Nasdaq Listing Rule 5610.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described in more detail in “Item 10. Additional Information—B. Memorandum and Articles of Association”, at our shareholders’ meeting to be held in 2024, our Chief Executive Officer in his capacity as a shareholder will propose that our shareholders approve a loyalty share program through a proposed amendment to our bylaws. If our shareholders approve the loyalty share program, pursuant to the home country exemption set forth under Nasdaq Stock Market Rule 5640, we intend to elect to be exempt from the requirement under Nasdaq Stock Market Rule 5640, which provides that the voting rights of existing shareholders of publicly traded common stock registered under Section 12 of the Exchange Act cannot be disparately reduced or restricted through any corporate action 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5" w:name="am_014"/>
      <w:bookmarkEnd w:id="65"/>
      <w:r>
        <w:rPr>
          <w:rFonts w:ascii="Times New Roman;Times;Serif" w:hAnsi="Times New Roman;Times;Serif"/>
          <w:b/>
          <w:i w:val="false"/>
          <w:caps w:val="false"/>
          <w:smallCaps w:val="false"/>
          <w:sz w:val="20"/>
        </w:rPr>
        <w:t>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2024, we had 14 full-time employees, 11 located in Milan, Italy and three (3) located in the U.S. We also rely on consultants, and several collaborators at SR-TIGET and OSR. Our full-time employees and consultants are engaged in clinical, research and development, product development, quality assurance, finance, accounting, and administrative activities. We consider our relationship with our employees to be good.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6" w:name="am_015"/>
      <w:bookmarkEnd w:id="66"/>
      <w:r>
        <w:rPr>
          <w:rFonts w:ascii="Times New Roman;Times;Serif" w:hAnsi="Times New Roman;Times;Serif"/>
          <w:b/>
          <w:i w:val="false"/>
          <w:caps w:val="false"/>
          <w:smallCaps w:val="false"/>
          <w:sz w:val="20"/>
        </w:rPr>
        <w:t>E. 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7.A. – Major Shareholders”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7" w:name="am_016"/>
      <w:bookmarkEnd w:id="67"/>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8" w:name="am_017"/>
      <w:bookmarkEnd w:id="68"/>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9" w:name="am_018"/>
      <w:bookmarkEnd w:id="69"/>
      <w:r>
        <w:rPr>
          <w:rFonts w:ascii="Times New Roman;Times;Serif" w:hAnsi="Times New Roman;Times;Serif"/>
          <w:b/>
          <w:i w:val="false"/>
          <w:caps w:val="false"/>
          <w:smallCaps w:val="false"/>
          <w:sz w:val="20"/>
        </w:rPr>
        <w:t>A. Major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our ordinary shares as of March 26, 2024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or group of affiliated persons, known to us to be the beneficial owner of more than 5% of our outstanding ordinary shares;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executive officers;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ownership is based on 18,216,958 ordinary shares (including ordinary shares represented by ADSs) outstanding on March 26, 2024. Beneficial ownership is determined in accordance with the rules of the SEC, which generally provide that a person has beneficial ownership of a security if he, she or it possesses sole or shared voting or investment power over that security or has the right to acquire a security, such as through the exercise of stock options, within 60 days. Shares subject to options that are currently exercisable or exercisable within 60 days of the date above are considered outstanding and beneficially owned by the person holding such options for the purpose of computing the percentage ownership of that person but are not treated as outstanding for the purpose of computing the percentage ownership of any other person.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footnotes to this table, we believe that the shareholders named in this table have sole voting and investment power with respect to all shares shown to be beneficially owned by them, based on information provided to us by such shareholders. Our major shareholders do not have different voting rights than other holders of our ordinary shares. The information is not necessarily indicative of beneficial ownership for any other purpose. Unless otherwise noted below, each beneficial owner’s address is: c/o Genenta Science S.p.A., Via Olgettina no. 58, 20132 Milan, Italy.</w:t>
      </w:r>
    </w:p>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5630"/>
        <w:gridCol w:w="60"/>
        <w:gridCol w:w="113"/>
        <w:gridCol w:w="1871"/>
        <w:gridCol w:w="60"/>
        <w:gridCol w:w="60"/>
        <w:gridCol w:w="173"/>
        <w:gridCol w:w="1631"/>
        <w:gridCol w:w="230"/>
      </w:tblGrid>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No. of Shares</w:t>
            </w:r>
          </w:p>
          <w:p>
            <w:pPr>
              <w:pStyle w:val="TableContents"/>
              <w:bidi w:val="0"/>
              <w:spacing w:before="0" w:after="283"/>
              <w:jc w:val="center"/>
              <w:rPr>
                <w:rFonts w:ascii="Times New Roman;Times;Serif" w:hAnsi="Times New Roman;Times;Serif"/>
                <w:b/>
              </w:rPr>
            </w:pPr>
            <w:r>
              <w:rPr>
                <w:rFonts w:ascii="Times New Roman;Times;Serif" w:hAnsi="Times New Roman;Times;Serif"/>
                <w:b/>
              </w:rPr>
              <w:t>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Owned</w:t>
            </w:r>
            <w:r>
              <w:rPr>
                <w:rFonts w:ascii="Times New Roman;Times;Serif" w:hAnsi="Times New Roman;Times;Serif"/>
                <w:b/>
                <w:position w:val="7"/>
                <w:sz w:val="16"/>
                <w:sz w:val="20"/>
              </w:rPr>
              <w:t>(1)</w:t>
            </w:r>
          </w:p>
        </w:tc>
        <w:tc>
          <w:tcPr>
            <w:tcW w:w="230"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executive officers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 Sirgo (2)</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Pierluigi Paracchi</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2,296,329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Roger Abravanel (3)</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Guido Guidi (4)</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Anthony Marucci (5)</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Richard B. Slansky (6)</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Carlo Russo</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Luigi Naldini</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1,386,145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Bernhard Gentner</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Stefania Mazzoleni (7)</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Barbara Regonini (8)</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All directors and executive officers as a group (11 persons)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5,391,280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 Shareholders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OSR - San Raffaele Hospital</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1,896,730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7"/>
        <w:gridCol w:w="9898"/>
      </w:tblGrid>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percentages shown are based on 18,216,958 ordinary shares issued and outstanding as of March 26, 2024.</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8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2,000 ADSs held directly by Mr. Sirgo and 49,200 ordinary shares underlying options to acquire ordinary shares of Genenta Science S.p.A. exercisable within 60 days of March 29, 2024.</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(3)</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76,179 ordinary shares held directly by Mr. Abravanel and 10,000 ordinary shares underlying options to acquire ordinary shares of Genenta Science S.p.A. exercisable within 60 days of March 29, 2024.</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(4)</w:t>
            </w:r>
          </w:p>
        </w:tc>
        <w:tc>
          <w:tcPr>
            <w:tcW w:w="9898" w:type="dxa"/>
            <w:tcBorders/>
            <w:vAlign w:val="center"/>
          </w:tcPr>
          <w:p>
            <w:pPr>
              <w:pStyle w:val="TableContents"/>
              <w:bidi w:val="0"/>
              <w:spacing w:before="0" w:after="283"/>
              <w:jc w:val="both"/>
              <w:rPr/>
            </w:pPr>
            <w:r>
              <w:rPr/>
              <w:t>Consists of 73,729 ordinary shares and 2,450 ADSs held directly by Dr. Guidi, and 10,000 ordinary shares underlying options to acquire ordinary shares of Genenta Science S.p.A. exercisable within 60 days of March 29, 2024.</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(5)</w:t>
            </w:r>
          </w:p>
        </w:tc>
        <w:tc>
          <w:tcPr>
            <w:tcW w:w="9898" w:type="dxa"/>
            <w:tcBorders/>
            <w:vAlign w:val="center"/>
          </w:tcPr>
          <w:p>
            <w:pPr>
              <w:pStyle w:val="TableContents"/>
              <w:bidi w:val="0"/>
              <w:spacing w:before="0" w:after="283"/>
              <w:jc w:val="both"/>
              <w:rPr/>
            </w:pPr>
            <w:r>
              <w:rPr/>
              <w:t>Consists of 30,000 ordinary shares underlying options to acquire ordinary shares of Genenta Science S.p.A. exercisable within 60 days of March 29, 2024.</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(6)</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19,947 ordinary shares held directly by Mr. Slansky and 82,239 ordinary shares underlying options to acquire ordinary shares of Genenta Science S.p.A. exercisable within 60 days of March 29, 2024.</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(7)</w:t>
            </w:r>
          </w:p>
        </w:tc>
        <w:tc>
          <w:tcPr>
            <w:tcW w:w="9898" w:type="dxa"/>
            <w:tcBorders/>
            <w:vAlign w:val="center"/>
          </w:tcPr>
          <w:p>
            <w:pPr>
              <w:pStyle w:val="TableContents"/>
              <w:bidi w:val="0"/>
              <w:spacing w:before="0" w:after="283"/>
              <w:jc w:val="both"/>
              <w:rPr/>
            </w:pPr>
            <w:r>
              <w:rPr/>
              <w:t>Consists of 30,321 ordinary shares held directly by Ms. Mazzoleni and 23,039 ordinary shares underlying options to acquire ordinary shares of Genenta Science S.p.A. exercisable within 60 days of March 29, 2024.</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both"/>
              <w:rPr/>
            </w:pPr>
            <w:r>
              <w:rPr/>
              <w:t>(8)</w:t>
            </w:r>
          </w:p>
        </w:tc>
        <w:tc>
          <w:tcPr>
            <w:tcW w:w="9898" w:type="dxa"/>
            <w:tcBorders/>
            <w:vAlign w:val="center"/>
          </w:tcPr>
          <w:p>
            <w:pPr>
              <w:pStyle w:val="TableContents"/>
              <w:bidi w:val="0"/>
              <w:spacing w:before="0" w:after="283"/>
              <w:jc w:val="both"/>
              <w:rPr/>
            </w:pPr>
            <w:r>
              <w:rPr/>
              <w:t>Consists of 23,039 ordinary shares underlying options to acquire ordinary shares of Genenta Science S.p.A. exercisable within 60 days of March 29,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Changes in Percentage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significant changes in the percentage ownership held by our major shareholders since the IPO in December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as of March 26, 2024, on the same basis of calculation as above, 42% of our total issued and outstanding ordinary shares were held by one record shareholder in the U.S., namely, The Bank of New York Mellon, the depositary of our ADS program, which held XXX ordinary shares represented by 7,643,343 ADSs, or XXX record holders. The actual number of holders is likely greater than these numbers of record holders and includes beneficial owners whose ordinary shares or ADSs are held in street name by brokers and other nominees. This number of holders of record also does not include holders whose shares may be held in trust by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above, we are not aware of any arrangement that may, at a subsequent date, result in a change of control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 w:name="am_019"/>
      <w:bookmarkEnd w:id="70"/>
      <w:r>
        <w:rPr>
          <w:rFonts w:ascii="Times New Roman;Times;Serif" w:hAnsi="Times New Roman;Times;Serif"/>
          <w:b/>
          <w:i w:val="false"/>
          <w:caps w:val="false"/>
          <w:smallCaps w:val="false"/>
          <w:sz w:val="20"/>
        </w:rPr>
        <w:t xml:space="preserve">B.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during the most recently completed financial year entered into transactions or loans with any (a) enterprises that are directly or indirectly controlled by or under common control with us; (b) our associates; (c) individuals directly or indirectly owning voting right which give them significant influence over us or close members of their respective families; (d) our directors, senior management or close members of their respective families; or, (e) enterprises in which a substantial interest in the voting power is held or significantly influenced by any of the foregoing individuals (a “Related Party”), except as indicated below: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with OSR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longstanding relationship with OSR. Beginning January 1, 2020, we entered into a six-year lease agreement for the use of office space in the OSR building. We paid OSR annual rent of approximately €15,000 in 2023 with a security deposit of €3,350.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we entered into an amended and restated license agreement (the “ARLA”) with OSR. The ARLA replaced the Company’s original license agreement originally entered into with OSR on December 15, 2014, as subsequently amended on March 16, 2017, February 1, 2019, December 23, 2020, September 28, 2021, January 22, 2022, September 29, 2022, and December 22, 2022 (the “Original OSR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ARLA was subject to Italy’s Law Decree No. 21 of March 15, 2012 (i.e., the Italian Golden Power regulations), as subsequently amended and supplemented, and would not become effective until the applicable Italian governmental authority consented to the ARLA. On April 20, 2023, such consent was received and the ARLA became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ARLA, OSR has granted us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based-hematopoietic stem and progenitor cells (“HSPC”) gene transfer with respect to: (a) any solid cancer indication (including glioblastoma and solid liver cancer) and/or (b) any lympho-hematopoietic indication for which we exercise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we entered into a Sponsored Research Agreement (“CP1 SRA”), which was contemplated under the ARLA, pursuant to which we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us and provide an estimate for completing the research. As of December 31, 2023, we have recorded and paid €250,000 for the CP1 SRA studies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2023, we entered into an amendment to the ARLA, whereby we and OSR agreed that we had fulfilled the obligations as set forth in the ARLA specific to Candidate Products 1 pursuant to the CP1 SRA. Furthermore, the amendment provides that we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 research agreement with regards to Candidate Products 2, OSR granted us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our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ALRA, CP1 SRA and the amendment to the ARLA, see “Item 4. Information on the Company—B. Business Overview—Collaboration / Licensing—Amended and Restated License Agreement with Ospedale San Raffaele” and “—Sponsored Research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new employment agreements with each of Mr. Paracchi, Dr. Russo, and Mr. Slansky effective upon the consummation of our IPO or, in the case of Mr. Slansky, November 1, 2021. The forms of such employment agreements have been filed as exhibits. Pursuant to such employment agreements, Mr. Paracchi, Dr. Russo and Mr. Slansky are entitled to gross annual base salaries of €420,000, $500,000 and $375,000, respectively. All these employment agreements are subject to annual review by and at the sole discretion of the Compensation, Nomination and Governance Committee of our board of directors. Mr. Paracchi is also eligible to receive an annual cash bonus of up to 40% of base salary, and Dr. Russo and Mr. Slansky are eligible to receive an annual cash bonus of up to 30% of base salary, provided that such individual achieves performance targets determined by the Compensation, Nomination and Governance Committee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agreements of Dr. Russo and Mr. Slansky, are governed by U.S. law and include the following terms and conditions,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employment agreement has a term commencing on the date of consummation of our IPO or, in the case of Mr. Slansky, November 1, 2021,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such individual is terminated three months prior to, or one year after, a Change of Control (as defined in the agreement) by the Company for any reason other than cause, or by such individual for good reason, then the executive shall be entitled to receive a cash payment equal to a multiple of such individual’s then-current annual base salary determined by the time elapsed since the commencement of the agreement (in the case of Dr. Russo) or two times such salary (in the case of Mr. Slansky). Such payment shall be in lieu of the severance payment described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of Mr. Paracchi is governed by Italian law and includes the following terms and conditions,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of general manager (</w:t>
            </w:r>
            <w:r>
              <w:rPr>
                <w:rFonts w:ascii="Times New Roman;Times;Serif" w:hAnsi="Times New Roman;Times;Serif"/>
                <w:b w:val="false"/>
                <w:i/>
                <w:caps w:val="false"/>
                <w:smallCaps w:val="false"/>
                <w:sz w:val="20"/>
              </w:rPr>
              <w:t>direttore generale</w:t>
            </w:r>
            <w:r>
              <w:rPr>
                <w:rFonts w:ascii="Times New Roman;Times;Serif" w:hAnsi="Times New Roman;Times;Serif"/>
                <w:b w:val="false"/>
                <w:i w:val="false"/>
                <w:caps w:val="false"/>
                <w:smallCaps w:val="false"/>
                <w:sz w:val="20"/>
              </w:rPr>
              <w:t>) with direct report to the board of directors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of reasonable expenses incurred in the performance of work duties, health benefits and, subject to the approval of the board of directors, a grant of an equity award under an equity incentive plan to be adopted after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Change of Control (as defined in the relevant agreement), in the event of termination not for “cause” by the Company or of resignation for “cause” by the executive (such terms as understood in accordance with Article 2119 of the Italian Civil Code), the executive shall be entitled to receive a cash payment equal to three times such individual’s then-current annual base salary (such indemnity will replace any indemnity provided for by the applicable National Collective Labour Agreement in case of termination);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non-competition and non-solicitation obligations of the executive for a 12 month period after the termination of the employment in consideration for compensation equal to 12 months after termination at the executive’s then-current monthly base salary for each obligation.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agreement has a term commencing on the date of consummation of our IPO and continuing until terminated, among other things: (a) upon death of the executive; (b) for just cause; (c) with objective or subjective reason; (d) by resignation of the executive; or, (e) voluntarily by mutual agreement between the parties.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Consultancy Agreements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 Naldini and Dr. Gentner have entered into consulting agreements in connection with their service on our Executive Scientific Board. The agreements provide for gross annual fees of €100,000 and €45,000, respectively. These agreements automatically renew each year.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Sirgo and Mr. Marucci have entered into consultancy agreements in connection with their appointment to the Board of Directors to support the development and growth of the Company. The agreements provide for gross compensations of $18,750 (Dr. Sirgo) and $11,875 (Mr. Marucci) per quarter (pro-rated for partial quarters). The consultant will be fully and solely responsible for the payment of all tax and/or social security charges and will not be entitled to expenses reimbursement. These agreements have a term of three years but are subject to termination at the option of either party by written notice given at least 15 days prior to each anniversary of the date of effectiveness of the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Messrs. Brad Loncar and Gaurav Shah have entered into consultancy agreements for the activity of support the development and the growth of the Company in the U.S. market. All agreements provide for a gross compensation of USD 30,000 for the 12-months’ period of duration of the agreements and a specific no-conflict clause towards the Company.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indemnification agreement with our directors and executive officers which requires us to indemnify our directors and executive officers to the fullest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Company; and (iii) officers and directors are held liable towards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 w:name="am_020"/>
      <w:bookmarkEnd w:id="71"/>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2" w:name="am_021"/>
      <w:bookmarkEnd w:id="72"/>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3" w:name="am_022"/>
      <w:bookmarkEnd w:id="73"/>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are stated in EUROs and are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for the 2023, 2022 and 2021 fiscal years as required under Item 17 are included immediately following the text of this Annual Report. The audit reports of the Company are included herein immediately preceding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Policy on Dividend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paid any dividends on its outstanding ordinary shares since its incorporation and does not anticipate that it will do so in the foreseeable future. The payment of dividends in the future, if any, is within the discretion of the Board of Directors and will depend upon our earnings, our capital requirements and financial condition and other relevant factors. We do not anticipate declaring or paying any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4" w:name="am_023"/>
      <w:bookmarkEnd w:id="74"/>
      <w:r>
        <w:rPr>
          <w:rFonts w:ascii="Times New Roman;Times;Serif" w:hAnsi="Times New Roman;Times;Serif"/>
          <w:b/>
          <w:i w:val="false"/>
          <w:caps w:val="false"/>
          <w:smallCaps w:val="false"/>
          <w:sz w:val="20"/>
        </w:rPr>
        <w:t>B. Significant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5" w:name="am_024"/>
      <w:bookmarkEnd w:id="75"/>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6" w:name="am_025"/>
      <w:bookmarkEnd w:id="76"/>
      <w:r>
        <w:rPr>
          <w:rFonts w:ascii="Times New Roman;Times;Serif" w:hAnsi="Times New Roman;Times;Serif"/>
          <w:b/>
          <w:i w:val="false"/>
          <w:caps w:val="false"/>
          <w:smallCaps w:val="false"/>
          <w:sz w:val="20"/>
        </w:rPr>
        <w:t>A. Offer and 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in the form of ADSs under the symbol “GNTA.” Neither the Company’s ordinary shares nor its ADSs are listed on a securities exchange outside the U.S. Bank of New York Mellon is the Company’s depositary for purposes of issuing ADSs. Trading in the ADSs on The Nasdaq Capital Market commenced on December 15,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7" w:name="am_026"/>
      <w:bookmarkEnd w:id="77"/>
      <w:r>
        <w:rPr>
          <w:rFonts w:ascii="Times New Roman;Times;Serif" w:hAnsi="Times New Roman;Times;Serif"/>
          <w:b/>
          <w:i w:val="false"/>
          <w:caps w:val="false"/>
          <w:smallCaps w:val="false"/>
          <w:sz w:val="20"/>
        </w:rPr>
        <w:t>B.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8" w:name="am_027"/>
      <w:bookmarkEnd w:id="78"/>
      <w:r>
        <w:rPr>
          <w:rFonts w:ascii="Times New Roman;Times;Serif" w:hAnsi="Times New Roman;Times;Serif"/>
          <w:b/>
          <w:i w:val="false"/>
          <w:caps w:val="false"/>
          <w:smallCaps w:val="false"/>
          <w:sz w:val="20"/>
        </w:rPr>
        <w:t>C.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9. The Offer and Listing—A. Offer and 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 w:name="am_028"/>
      <w:bookmarkEnd w:id="79"/>
      <w:r>
        <w:rPr>
          <w:rFonts w:ascii="Times New Roman;Times;Serif" w:hAnsi="Times New Roman;Times;Serif"/>
          <w:b/>
          <w:i w:val="false"/>
          <w:caps w:val="false"/>
          <w:smallCaps w:val="false"/>
          <w:sz w:val="20"/>
        </w:rPr>
        <w:t>D.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 w:name="am_029"/>
      <w:bookmarkEnd w:id="80"/>
      <w:r>
        <w:rPr>
          <w:rFonts w:ascii="Times New Roman;Times;Serif" w:hAnsi="Times New Roman;Times;Serif"/>
          <w:b/>
          <w:i w:val="false"/>
          <w:caps w:val="false"/>
          <w:smallCaps w:val="false"/>
          <w:sz w:val="20"/>
        </w:rPr>
        <w:t>E.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1" w:name="am_030"/>
      <w:bookmarkEnd w:id="81"/>
      <w:r>
        <w:rPr>
          <w:rFonts w:ascii="Times New Roman;Times;Serif" w:hAnsi="Times New Roman;Times;Serif"/>
          <w:b/>
          <w:i w:val="false"/>
          <w:caps w:val="false"/>
          <w:smallCaps w:val="false"/>
          <w:sz w:val="20"/>
        </w:rPr>
        <w:t>F. Expenses of the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2" w:name="am_031"/>
      <w:bookmarkEnd w:id="82"/>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3" w:name="am_032"/>
      <w:bookmarkEnd w:id="83"/>
      <w:r>
        <w:rPr>
          <w:rFonts w:ascii="Times New Roman;Times;Serif" w:hAnsi="Times New Roman;Times;Serif"/>
          <w:b/>
          <w:i w:val="false"/>
          <w:caps w:val="false"/>
          <w:smallCaps w:val="false"/>
          <w:sz w:val="20"/>
        </w:rPr>
        <w:t>A.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4" w:name="am_033"/>
      <w:bookmarkEnd w:id="84"/>
      <w:r>
        <w:rPr>
          <w:rFonts w:ascii="Times New Roman;Times;Serif" w:hAnsi="Times New Roman;Times;Serif"/>
          <w:b/>
          <w:i w:val="false"/>
          <w:caps w:val="false"/>
          <w:smallCaps w:val="false"/>
          <w:sz w:val="20"/>
        </w:rPr>
        <w:t>B.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certain terms and provisions of our bylaws is incorporated by reference to our Registration Statement filed on Form F-1 (File No. 333-260923) filed with the SEC and as declared effective on December 14,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shareholders’ meeting to be held in 2024, our Chief Executive Officer in his capacity as a shareholder will propose that our shareholders approve a proposed amendment to our bylaws (the “Bylaw Amendment”), which would establish a loyalty share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Bylaw Amendment is approved by our shareholders, each ordinary share held in registered form would entitle the shareholder to a double vote (i.e. two votes for each ordinary share) if the ordinary share has been held by the same shareholder for a continuous period of not less than twenty-four months from the date of its registration in the Special List (as defined below). An additional vote would also be granted upon the expiration of each 12-month period, following the expiration of the period referred to above, in which such ordinary share has been held by the shareholder, up to a total maximum of ten votes per ordinary share. Continuous ownership prior to the registration date in the special list would also be taken into account.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the loyalty share program, a special list (the “Special List”) would be maintained by us. To be added to the Special List, the registered shareholder would need to submit a specific application, enclosing a communication certifying the ordinary share ownership – which may also concern only part of the ordinary shares held by the registered shareholder – issued by the intermediary with whom the ordinary shares are deposited pursuant to the laws in force. In the case of entities other than individuals, the application would need to specify whether the entity is subject to direct or indirect control by third parties and the identification data of the controlling entity, if any. The Special List would be updated by us. Cancellation from the Special List would result from the following cases: renunciation of the interested party; communication of the interested party or of the intermediary proving the loss of the prerequisites for the increase of the voting right or the loss of the ownership of the right; ex officio, when we are informed of the occurrence of facts that entail the loss of the prerequisites for the increase of the voting right or the loss of the ownership of the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5" w:name="am_034"/>
      <w:bookmarkEnd w:id="85"/>
      <w:r>
        <w:rPr>
          <w:rFonts w:ascii="Times New Roman;Times;Serif" w:hAnsi="Times New Roman;Times;Serif"/>
          <w:b/>
          <w:i w:val="false"/>
          <w:caps w:val="false"/>
          <w:smallCaps w:val="false"/>
          <w:sz w:val="20"/>
        </w:rPr>
        <w:t>C.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or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6" w:name="am_035"/>
      <w:bookmarkEnd w:id="86"/>
      <w:r>
        <w:rPr>
          <w:rFonts w:ascii="Times New Roman;Times;Serif" w:hAnsi="Times New Roman;Times;Serif"/>
          <w:b/>
          <w:i w:val="false"/>
          <w:caps w:val="false"/>
          <w:smallCaps w:val="false"/>
          <w:sz w:val="20"/>
        </w:rPr>
        <w:t>D. 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there are no exchange control restrictions on investments in, or payments on, the Genenta ordinary shares. There are no special restrictions in the Genenta Articles of Association or Italian law that limit the right of shareholders who are not citizens or residents of Italy to hold or vote the Genenta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7" w:name="am_036"/>
      <w:bookmarkEnd w:id="87"/>
      <w:r>
        <w:rPr>
          <w:rFonts w:ascii="Times New Roman;Times;Serif" w:hAnsi="Times New Roman;Times;Serif"/>
          <w:b/>
          <w:i w:val="false"/>
          <w:caps w:val="false"/>
          <w:smallCaps w:val="false"/>
          <w:sz w:val="20"/>
        </w:rPr>
        <w:t>E.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Italian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w:t>
      </w:r>
      <w:r>
        <w:rPr>
          <w:rFonts w:ascii="Times New Roman;Times;Serif" w:hAnsi="Times New Roman;Times;Serif"/>
          <w:b w:val="false"/>
          <w:i w:val="false"/>
          <w:caps w:val="false"/>
          <w:smallCaps w:val="false"/>
          <w:sz w:val="20"/>
        </w:rPr>
        <w:t>. Under Italian law, financial instruments issued by an Italian company are subject to the same tax regime as are shares, provided that their 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Income Tax Withholding on Dividends</w:t>
      </w:r>
      <w:r>
        <w:rPr>
          <w:rFonts w:ascii="Times New Roman;Times;Serif" w:hAnsi="Times New Roman;Times;Serif"/>
          <w:b w:val="false"/>
          <w:i w:val="false"/>
          <w:caps w:val="false"/>
          <w:smallCaps w:val="false"/>
          <w:sz w:val="20"/>
        </w:rPr>
        <w:t>. We do not anticipate making any distributions on our ordinary shares in the foreseeable future. However, 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Notably, dividends paid to beneficial owners who are not Italian residents and do not have a permanent establishment in Italy are generally subject to a 26 percent substitute tax rate. Therefore, the amount of the dividends that the holders of American Depository Receipts (“ADRs”)or holders of equity shares not residing in Italy will initially receive will be net of such Italian substitute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U.S. owners can claim, in accordance with Presidential Decree No. 600 of October 16, 1973, Article 27(3), a refund of up to eleven-twenty-sixths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double tax treaty in force between Italy and the U.S.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or,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 entities subject to corporation tax and resident in States that are E.U.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on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gains from shares in Italian companies, under custody in Italy, could give rise to a taxable income for the non-resident transferor.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 gains exempt from taxation in Italy </w:t>
      </w:r>
      <w:r>
        <w:rPr>
          <w:rFonts w:ascii="Times New Roman;Times;Serif" w:hAnsi="Times New Roman;Times;Serif"/>
          <w:b w:val="false"/>
          <w:i w:val="false"/>
          <w:caps w:val="false"/>
          <w:smallCaps w:val="false"/>
          <w:sz w:val="20"/>
        </w:rPr>
        <w:t>- “Non-qualified shareholdings” are those which are below 2% of the voting rights and 5% of the capital of an exchange-listed company. Gains from the disposal of non-qualified share investments in Italian listed companies by non-Italian residents are not subject to Italian income tax under domestic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 gains subject to tax in Italy </w:t>
      </w:r>
      <w:r>
        <w:rPr>
          <w:rFonts w:ascii="Times New Roman;Times;Serif" w:hAnsi="Times New Roman;Times;Serif"/>
          <w:b w:val="false"/>
          <w:i w:val="false"/>
          <w:caps w:val="false"/>
          <w:smallCaps w:val="false"/>
          <w:sz w:val="20"/>
        </w:rPr>
        <w:t>- “Qualified shareholdings” in a listed company are those representing more than the 2% of the voting rights or more than the 5% of the capital of an exchange-listed company. Capital gains from the disposal of a qualified shareholding in a listed company are subject to a withholding tax of 26% under the domestic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Consequently,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 anti-double treaty tax convention states a taxation criterion in line with the above. In the light of the above and upon conditions that all the requirements relevant for the application of the Italy – U.S. anti-double treaty tax convention are met, an U.S. investor may benefit from the fully exemption of taxation in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Estate and Gift Tax</w:t>
      </w:r>
      <w:r>
        <w:rPr>
          <w:rFonts w:ascii="Times New Roman;Times;Serif" w:hAnsi="Times New Roman;Times;Serif"/>
          <w:b w:val="false"/>
          <w:i w:val="false"/>
          <w:caps w:val="false"/>
          <w:smallCaps w:val="false"/>
          <w:sz w:val="20"/>
        </w:rPr>
        <w:t>. Inheritance and gift taxes, which were abolished in 2001, have been re-introduced in the Italian system by Law Decree No. 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 (a) 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tax</w:t>
      </w:r>
      <w:r>
        <w:rPr>
          <w:rFonts w:ascii="Times New Roman;Times;Serif" w:hAnsi="Times New Roman;Times;Serif"/>
          <w:b w:val="false"/>
          <w:i w:val="false"/>
          <w:caps w:val="false"/>
          <w:smallCaps w:val="false"/>
          <w:sz w:val="20"/>
        </w:rPr>
        <w:t>. In connection with the Italian stamp duty tax on the transfer of shares, according to article 37 of Law No. 248 of December 31, 2007, converted with amendments into Law No. 31 of February 28, 2008, the stamp duty has been abolished regarding contracts having as their object the transfer of shares. In certain cases, the relevant transfer acts would be subject to the registration tax at a flat amount equal to €200.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Communications Stamp Duty</w:t>
      </w:r>
      <w:r>
        <w:rPr>
          <w:rFonts w:ascii="Times New Roman;Times;Serif" w:hAnsi="Times New Roman;Times;Serif"/>
          <w:b w:val="false"/>
          <w:i w:val="false"/>
          <w:caps w:val="false"/>
          <w:smallCaps w:val="false"/>
          <w:sz w:val="20"/>
        </w:rPr>
        <w:t xml:space="preserve">. A stamp duty has been introduced under article 19 of Law Decree No. 201 of December 6, 2011, converted into 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Times New Roman;Times;Serif" w:hAnsi="Times New Roman;Times;Serif"/>
          <w:b w:val="false"/>
          <w:i/>
          <w:caps w:val="false"/>
          <w:smallCaps w:val="false"/>
          <w:sz w:val="20"/>
        </w:rPr>
        <w:t>pro-rata temporis</w:t>
      </w:r>
      <w:r>
        <w:rPr>
          <w:rFonts w:ascii="Times New Roman;Times;Serif" w:hAnsi="Times New Roman;Times;Serif"/>
          <w:b w:val="false"/>
          <w:i w:val="false"/>
          <w:caps w:val="false"/>
          <w:smallCaps w:val="false"/>
          <w:sz w:val="20"/>
        </w:rPr>
        <w:t xml:space="preserve"> basis (from January 1 up to December 31). The minimum amount is fixed of €34.20 up to a maximum amount of €14,000 for persons other than individuals. The communication is deemed to be sent to clients at least once a year, even where there is no obligation to issue any such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Transaction Tax</w:t>
      </w:r>
      <w:r>
        <w:rPr>
          <w:rFonts w:ascii="Times New Roman;Times;Serif" w:hAnsi="Times New Roman;Times;Serif"/>
          <w:b w:val="false"/>
          <w:i w:val="false"/>
          <w:caps w:val="false"/>
          <w:smallCaps w:val="false"/>
          <w:sz w:val="20"/>
        </w:rPr>
        <w:t>. Law 228 of December 24, 2012, Article 1(491 – 500) introduced the Italian Financial Transaction Tax applicable: (i) to 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and, (v) to over-the-counter transactions with a full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ADRs, Global Depository Receipts and any other certificate of deposit, where the underlying securities are Italian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transaction is determined based on the net balance of the transactions settled daily, calculated for each taxpayer with reference to the number of securities traded under the transactions settled in the same day and relating to the same financial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is made by the financial intermediary responsible for the payment of the tax, i.e., the one receiving the order to execute the transaction directly from the purchaser or final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Italian Financial Transaction Tax is due by the person in whose favor the transfer of ownership of the Qualifying Equities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rate applicable is 0.20% while the reduced rate for transactions on “regulated markets and on multilateral trading facilities” is 0.10%.</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shall be paid by the 16th day of the month following the one in which the relevant triggering event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 Federal Income Taxation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U.S., including an alien individual who is a lawful permanent resident of the U.S.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U.S. or the District of Columbia or any political subdivision thereof; (3) an estate, the income of which is includable in gross income for U.S. federal income tax purposes regardless of source; (4) a trust if a court within the U.S.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for general information purposes only and does not purport to be a comprehensive description of all the U.S. federal income tax considerations that may be relevant to a decision to invest in or dispose of the ADSs. This summary generally considers only U.S. Holders that will own the ADSs as capital assets and who will not hold the ADSs as part of a permanent establishment in Italy.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regarding the U.S. federal income tax treatment of an investment in the ADSs by U.S. Holders and, therefore, can provide no assurances that the IRS will agree with the conclusions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the aspects of U.S. federal income taxation that may be relevant to a particular U.S. holder based on such holder’s particular circumstances and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U.S. federal income tax treatment of partnerships (or other pass-through entities) or persons who hold securities through a partnership or other pass-through entity are not addressed. If a partnership (including any entity treated as a partnership for U.S. federal income tax purposes) holds ADSs, the U.S. federal income tax consequences to the partners of such partnership will depend on the activities of the partnership and the status of the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Paid on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U.S. dollar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as capital gain. We do not expect to maintain calculations of our earnings and profits under U.S. federal income tax principles and, therefore, U.S. Holders should expect that the entire amount of any distribution generally will be reported as dividend income. Any dividends we pay with respect to the ADSs, or ordinary shares are expected to constitute foreign source income for foreign tax credit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U.S. which includes an exchange of information program. The IRS has stated that the Italy/U.S. Tax Treaty satisfies this requirement and we believe we are eligible for the benefits of that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dividends will be qualified dividend income if our ordinary shares are readily tradable on Nasdaq or another established securities market in the U.S.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Italian withholding tax, if any, paid in connection with any distribution with respect to ADSs may be claimed as a credit against a U.S. Holder’s U.S. federal income tax liability if the U.S. Holder elects not to take a deduction for any non-U.S. income taxes for that taxable year; otherwise, such Italian withholding tax may be taken as a deduction. If a U.S. Holder is eligible for benefits under the Treaty or is otherwise entitled to a refund for the taxes withheld, the U.S. Holder will not be entitled to a foreign tax credit or deduction for the amount of any Italian taxes withheld in excess of the maximum rate under the Treaty or for the taxes with respect to which the U.S. Holder can obtain a refund from the Italian taxing authorities. As the relevant rules are very complex, U.S. Holders should consult their own tax advisors concerning the availability and utilization of the foreign tax credit or deductions for non-U.S. taxes in their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the Disposition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U.S. federal income tax laws apply to U.S. taxpayers who own shares of a corporation that is a PFIC. We will be treated as a PFIC for U.S. federal income tax purposes for any taxable year that either: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or more of our gross income (including our pro rata share of gross income for any company, in which we are considered to own 25% or more of the shares by value), in a taxable year is passive;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purpose, passive income generally consists of dividends, interest, rents, royalties, annuities, and income from certain commodities transactions and from notional principal contracts. Cash is treated as generating passive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PFIC will depend on the nature and composition of our income and the nature, composition and value of our assets. Our status may also depend, in part, on how quickly we utilize cash proceeds received from previous offerings of our ADSs or ordinary shares in our business. Based on preliminary analysis, we believe that we were likely classified as a PFIC in 2023, and we may be classified as a PFIC for 2024 and future years. In particular, so long as we do not generate revenue from operations for any taxable year and do not receive any research and development grants, or even if we receive a research and development grant, if such grant does not constitute gross income for United States federal income tax purposes, we likely will be classified as a PFIC in any taxable year due to the gross income from investment of cash reserves and other passive sources that we derive.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currently are or become a PFIC during the holding period of a U.S. Holder, the U.S. Holder would be subject to potentially materially greater amounts of tax and subject to additional U.S. tax form filing requirements. In addition, a non-corporate U.S. Holder will not be eligible for qualified dividend income treatment on dividends received from us if we are treated as a PFIC for the taxable year in which the dividends are received or for the preceding taxable year. Specifically,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However, we provide no assurance as to whether we will calculate our “ordinary earnings” or “net capital gain” under U.S. tax principles or supply U.S. Holders with the required “PFIC Annual Information Statement.” If we do not provide this information for any reason, it generally will not be possible for a U.S. Holder to make a QEF election if we are, or if we become, a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 hold our ordinary shares during a period when we are a PFIC will be subject to the foregoing rules, even if we cease to be a PFIC. U.S. Holders are strongly urged to consult their tax advisors about the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on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income tax law requires certain U.S. investors to disclose information relating to investments in securities of a non-U.S. issuer. Failure to comply with applicable disclosure requirements could result in the imposition of substantial penalties. U.S. Holders should consult their own tax advisors regarding any disclosure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8" w:name="nja_001"/>
      <w:bookmarkEnd w:id="88"/>
      <w:r>
        <w:rPr>
          <w:rFonts w:ascii="Times New Roman;Times;Serif" w:hAnsi="Times New Roman;Times;Serif"/>
          <w:b/>
          <w:i w:val="false"/>
          <w:caps w:val="false"/>
          <w:smallCaps w:val="false"/>
          <w:sz w:val="20"/>
        </w:rPr>
        <w:t>F. Dividends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9" w:name="nja_002"/>
      <w:bookmarkEnd w:id="89"/>
      <w:r>
        <w:rPr>
          <w:rFonts w:ascii="Times New Roman;Times;Serif" w:hAnsi="Times New Roman;Times;Serif"/>
          <w:b/>
          <w:i w:val="false"/>
          <w:caps w:val="false"/>
          <w:smallCaps w:val="false"/>
          <w:sz w:val="20"/>
        </w:rPr>
        <w:t>G. Statement by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0" w:name="nja_003"/>
      <w:bookmarkEnd w:id="90"/>
      <w:r>
        <w:rPr>
          <w:rFonts w:ascii="Times New Roman;Times;Serif" w:hAnsi="Times New Roman;Times;Serif"/>
          <w:b/>
          <w:i w:val="false"/>
          <w:caps w:val="false"/>
          <w:smallCaps w:val="false"/>
          <w:sz w:val="20"/>
        </w:rPr>
        <w:t>H. Documents on Display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concerning us that are referred to in this document may be inspected at our office at Via Olgettina No. 58, 20132 Milan,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The Commission maintains a web site that contains reports and other information regarding registrants (including us) that file electronically with the Commission which can be assessed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1" w:name="nja_004"/>
      <w:bookmarkEnd w:id="91"/>
      <w:r>
        <w:rPr>
          <w:rFonts w:ascii="Times New Roman;Times;Serif" w:hAnsi="Times New Roman;Times;Serif"/>
          <w:b/>
          <w:i w:val="false"/>
          <w:caps w:val="false"/>
          <w:smallCaps w:val="false"/>
          <w:sz w:val="20"/>
        </w:rPr>
        <w:t>I. Subsidiary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2" w:name="nja_005"/>
      <w:bookmarkEnd w:id="92"/>
      <w:r>
        <w:rPr>
          <w:rFonts w:ascii="Times New Roman;Times;Serif" w:hAnsi="Times New Roman;Times;Serif"/>
          <w:b/>
          <w:i w:val="false"/>
          <w:caps w:val="false"/>
          <w:smallCaps w:val="false"/>
          <w:sz w:val="20"/>
        </w:rPr>
        <w:t>J. Annual Report to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3" w:name="nja_006"/>
      <w:bookmarkEnd w:id="93"/>
      <w:r>
        <w:rPr>
          <w:rFonts w:ascii="Times New Roman;Times;Serif" w:hAnsi="Times New Roman;Times;Serif"/>
          <w:b/>
          <w:i w:val="false"/>
          <w:caps w:val="false"/>
          <w:smallCaps w:val="false"/>
          <w:sz w:val="20"/>
        </w:rPr>
        <w:t>ITEM 11. 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Genenta’s activities expose it to a variety of financial risks: market risk (including foreign currency risk and interest rate risk), credit risk, and liquidity risk. The overall risk management strategy focuses on the unpredictability of the finance markets and seeks to minimize the potential adverse effects on the financial performance. Genenta uses different methods to measure different types of risk to which it is exposed. These methods include sensitivity analysis in the case of interest rate, foreign exchange, and other price risks, aging analysis for credit risk and beta analysis in respect of investment portfolios to determine market risk. Risk management is carried out under the direction of the Board. Please see Note 1 – Nature of business and history - to our audited consolidated financial statements for further information with respect to certain of these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4" w:name="nja_007"/>
      <w:bookmarkEnd w:id="94"/>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5" w:name="nja_008"/>
      <w:bookmarkEnd w:id="95"/>
      <w:r>
        <w:rPr>
          <w:rFonts w:ascii="Times New Roman;Times;Serif" w:hAnsi="Times New Roman;Times;Serif"/>
          <w:b/>
          <w:i w:val="false"/>
          <w:caps w:val="false"/>
          <w:smallCaps w:val="false"/>
          <w:sz w:val="20"/>
        </w:rPr>
        <w:t>A.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6" w:name="nja_009"/>
      <w:bookmarkEnd w:id="96"/>
      <w:r>
        <w:rPr>
          <w:rFonts w:ascii="Times New Roman;Times;Serif" w:hAnsi="Times New Roman;Times;Serif"/>
          <w:b/>
          <w:i w:val="false"/>
          <w:caps w:val="false"/>
          <w:smallCaps w:val="false"/>
          <w:sz w:val="20"/>
        </w:rPr>
        <w:t>B. Warrants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 w:name="nja_010"/>
      <w:bookmarkEnd w:id="97"/>
      <w:r>
        <w:rPr>
          <w:rFonts w:ascii="Times New Roman;Times;Serif" w:hAnsi="Times New Roman;Times;Serif"/>
          <w:b/>
          <w:i w:val="false"/>
          <w:caps w:val="false"/>
          <w:smallCaps w:val="false"/>
          <w:sz w:val="20"/>
        </w:rPr>
        <w:t>C.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8" w:name="nja_011"/>
      <w:bookmarkEnd w:id="98"/>
      <w:r>
        <w:rPr>
          <w:rFonts w:ascii="Times New Roman;Times;Serif" w:hAnsi="Times New Roman;Times;Serif"/>
          <w:b/>
          <w:i w:val="false"/>
          <w:caps w:val="false"/>
          <w:smallCaps w:val="false"/>
          <w:sz w:val="20"/>
        </w:rPr>
        <w:t>D.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95"/>
        <w:gridCol w:w="60"/>
        <w:gridCol w:w="3650"/>
      </w:tblGrid>
      <w:tr>
        <w:trPr/>
        <w:tc>
          <w:tcPr>
            <w:tcW w:w="6495" w:type="dxa"/>
            <w:tcBorders>
              <w:bottom w:val="single" w:sz="12"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Persons depositing or withdrawing shares or ADS holders must pay:</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3650" w:type="dxa"/>
            <w:tcBorders>
              <w:bottom w:val="single" w:sz="12"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t>
            </w:r>
          </w:p>
        </w:tc>
      </w:tr>
      <w:tr>
        <w:trPr/>
        <w:tc>
          <w:tcPr>
            <w:tcW w:w="64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4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(or less) per 100 ADSs (or portion of 100 ADSs).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 Cancellation of ADSs for the purpose of withdrawal, including if the deposit agreement terminates.</w:t>
            </w:r>
          </w:p>
        </w:tc>
      </w:tr>
      <w:tr>
        <w:trPr/>
        <w:tc>
          <w:tcPr>
            <w:tcW w:w="64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495" w:type="dxa"/>
            <w:tcBorders/>
            <w:tcMar>
              <w:bottom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 (or less) per ADS.</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equivalent to the fee that would be payable if securities distributed to you had been shares and the shares had been deposited for issuance of ADSs.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 to ADS holders distribution of securities distributed to holders of deposited securities (including rights) that are distributed by the depositary to ADS holders depositary services.</w:t>
            </w:r>
          </w:p>
        </w:tc>
      </w:tr>
      <w:tr>
        <w:trPr/>
        <w:tc>
          <w:tcPr>
            <w:tcW w:w="64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495"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 (or less) per ADS per calendar year.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or transfer fees.</w:t>
            </w:r>
          </w:p>
          <w:p>
            <w:pPr>
              <w:pStyle w:val="TableContents"/>
              <w:bidi w:val="0"/>
              <w:spacing w:before="0" w:after="0"/>
              <w:ind w:left="2460" w:right="24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of the depositary.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50" w:type="dxa"/>
            <w:tcBorders/>
            <w:tcMar>
              <w:bottom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and registration of shares on our share register to or from the name of the depositary or its agent when you deposit or withdraw shares.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(including SWIFT) and facsimile transmissions (when expressly provided in the deposit agreement) Converting foreign currency to U.S. dollars, as necessary.</w:t>
            </w:r>
          </w:p>
        </w:tc>
      </w:tr>
      <w:tr>
        <w:trPr/>
        <w:tc>
          <w:tcPr>
            <w:tcW w:w="64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4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other governmental charges the depositary or the custodian has to pay on any ADSs or shares underlying ADSs, such as stock transfer taxes, stamp duty or withholding taxes. Any charges incurred by the depositary or its agents for servicing the deposited securities.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For the fiscal year ended December 31, 2022, we were entitled to receive approximately $30,000 reimbursement from the depositary for our expenses incurred in connection with establishment and maintenance of the ADS program. This amount has been fully paid to us.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9" w:name="nja_012"/>
      <w:bookmarkEnd w:id="99"/>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 w:name="nja_013"/>
      <w:bookmarkEnd w:id="100"/>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 w:name="nja_014"/>
      <w:bookmarkEnd w:id="101"/>
      <w:r>
        <w:rPr>
          <w:rFonts w:ascii="Times New Roman;Times;Serif" w:hAnsi="Times New Roman;Times;Serif"/>
          <w:b/>
          <w:i w:val="false"/>
          <w:caps w:val="false"/>
          <w:smallCaps w:val="false"/>
          <w:sz w:val="20"/>
        </w:rPr>
        <w:t>ITEM 14. MATERIAL MODIFICATIONS TO THE RIGHTS OF SECURITY HOLDERS AND USE OF PROCEEDS Material Modifications to the Rights of Security Holders</w:t>
      </w:r>
    </w:p>
    <w:p>
      <w:pPr>
        <w:pStyle w:val="TextBody"/>
        <w:bidi w:val="0"/>
        <w:spacing w:before="0" w:after="0"/>
        <w:ind w:left="2100" w:right="210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securities holders, which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2" w:name="nja_015"/>
      <w:bookmarkEnd w:id="102"/>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designed to ensure that information required to be disclosed by us in reports filed or submitted under the Securities Exchange Act of 1934, as amended (the “Exchange Act”), is recorded, processed, summarized and reported within the time periods specified in the SEC’s rules and forms. Disclosure controls include, without limitation, controls and procedures designed to ensure that information required to be disclosed under the Exchange Act is accumulated and communicated to management, including principal executive and financial officers,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carried out an evaluation, under the supervision of our chief executive officer and chief financial officer, of the effectiveness of our disclosure controls and procedures as such term is defined under Rule 13a-15(e) promulgated under the Exchange Act as of December 31, 2022. Based on that evaluation, our management, including our chief executive officer and chief financial officer, has concluded that the Company’s disclosure controls and procedures were effective as of December 31,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Management’s Annual Report on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internal control over financial reporting is a process designed under the supervision of the chief executive officer and chief financial officer to provide reasonable assurance as to the reliability of the Company’s financial reporting and the preparation of its consolidated financial statements for external purposes in accordance with generally accepted accounting principles. Our management is responsible for establishing and maintaining adequate internal control over financial reporting, as such term is defined in Rule 13a-15(f)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control over financial reporting is a process designed to provide reasonable assurance regarding the reliability of financial reporting and the preparation of consolidated financial statements in accordance with U.S. GAAP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a system of internal control over financial reporting can provide only reasonable assurance with respect to consolidated financial statements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the effectiveness of our internal control over financial reporting as of December 31, 2023 and concluded our internal control over financial reporting was effective as of December 31, 2023. In making this evaluation, management used the framework established in Internal Control — Integrated Framework (2013) issued by the Committee of Sponsoring Organizations of the Treadway Commission (“COSO”). The COSO framework summarizes each of the components of a company’s internal control system, including the control environment, risk assessment, control activities, information and communication, and monitoring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Remediation of Previously Disclosed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Item 15 “Controls and Procedures” of our prior Annual Reports on Form 20-F, management previously identified and disclosed material weaknesses in internal control over financial reporting, including but not limited to our lack of adequate staff to: (i) process financial information in a timely manner; (ii) analyze and account for complex, non-routine transactions - including those subject to the Company’s critical accounting policies; and (iii) maintain adequate segregation of duties; and, the lack of documentation related to the Company’s internal control over financial reporting including its policy over related party relationships and transactions. During the quarter ended December 31, 2023, we remediated our previously reported material weaknesses related to these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our management, with oversight from our board of statutory auditors, executed a remediation plan, in order to fully remediate the historical causes of the material weaknesses. As of December 31, 2023, the Company had taken the following steps to address the internal control deficiencies that contributed to the material weaknesses in prior periods, including, but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56"/>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new hires of additional finance and accounting personnel with high professional skills, prior experience working for finance departments, and technical accounting experience, supplemented by third-party resources, maintain the overall control over the relevant operating activities, having in place incremental and compensating controls;</w:t>
      </w:r>
    </w:p>
    <w:p>
      <w:pPr>
        <w:pStyle w:val="TextBody"/>
        <w:bidi w:val="0"/>
        <w:spacing w:before="0" w:after="0"/>
        <w:ind w:left="0" w:right="0" w:firstLine="656"/>
        <w:jc w:val="both"/>
        <w:rPr>
          <w:caps w:val="false"/>
          <w:smallCaps w:val="false"/>
        </w:rPr>
      </w:pPr>
      <w:r>
        <w:rPr>
          <w:caps w:val="false"/>
          <w:smallCaps w:val="false"/>
        </w:rPr>
        <w:t> </w:t>
      </w:r>
    </w:p>
    <w:p>
      <w:pPr>
        <w:pStyle w:val="TextBody"/>
        <w:bidi w:val="0"/>
        <w:spacing w:before="0" w:after="0"/>
        <w:ind w:left="0" w:right="0" w:firstLine="656"/>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implementation of a new accounting and reporting system - cloud-based ERP system - with controlled access, approval workflow and segregation of duties to avoid to rely on third party service provider for the accounting and financial reporting closing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56"/>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improvement of the documentation and formally assessed our accounting and financial reporting policies and procedures;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56"/>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increase in the use of third-party consultants in assessing significant accounting transactions and other technical accounting and financial reporting issues, preparing accounting memoranda addressing these issues and maintaining these memoranda in our corporate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under “—Management’s Annual Report on Internal Control over Financial Reporting—Remediation of Previously Disclosed Material Weaknesses,” there were no changes in our internal control over financial reporting (as defined in Rule 13a-15(f) of the Exchange Act, as amended) that occurred during the quarter ended December 31, 2023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3" w:name="nja_016"/>
      <w:bookmarkEnd w:id="103"/>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4" w:name="nja_017"/>
      <w:bookmarkEnd w:id="104"/>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because of the existence and nature of its board of statutory auditors, it qualifies for an exemption provided by Rule 10A-3(c)(3) of the Exchange Act from many of the Rule 10A-3 audit committee requirements. The board of statutory auditors has determined that each of its members is an “audit committee financial expert” as defined in Item 16A of Form 20-F. For the names of the members of the board of statutory auditors, see “Item 6. Directors, Senior Management and Employees—Statutory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audit committee financial experts is independent under the Nasdaq Independence Standards that would apply to audit committee members in the absence of our reliance on the exemption in Rule 10A-3(c)(3).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5" w:name="nja_018"/>
      <w:bookmarkEnd w:id="105"/>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Conduct that applies to its Chief Executive Officer and all of its directors, officers and employees, or persons performing similar functions. A copy of our Code of Conduct is available at its website. Any future changes to the Code of Conduct will be posted on the Company’s website or filed as an exhibit to a report filed with the SEC within five business days of the change being effective.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6" w:name="nja_019"/>
      <w:bookmarkEnd w:id="106"/>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aggregate fees billed to the Company for fiscal years ended December 31, 2023 and 2022 by Dannible &amp; McKee, LLP (“Dannible &amp; McKee” or “DM”), the Company’s principal accounting firm, and Mayer, Hoffman McCann P.C. (“MHM”), the Company’s former principal accounting firm.</w:t>
      </w:r>
    </w:p>
    <w:p>
      <w:pPr>
        <w:pStyle w:val="TextBody"/>
        <w:bidi w:val="0"/>
        <w:spacing w:before="0" w:after="0"/>
        <w:ind w:left="0" w:right="0" w:hanging="0"/>
        <w:jc w:val="both"/>
        <w:rPr>
          <w:caps w:val="false"/>
          <w:smallCaps w:val="false"/>
        </w:rPr>
      </w:pPr>
      <w:r>
        <w:rPr>
          <w:caps w:val="false"/>
          <w:smallCaps w:val="false"/>
        </w:rPr>
        <w:t> </w:t>
      </w:r>
    </w:p>
    <w:tbl>
      <w:tblPr>
        <w:tblW w:w="5335" w:type="dxa"/>
        <w:jc w:val="left"/>
        <w:tblInd w:w="0" w:type="dxa"/>
        <w:tblLayout w:type="fixed"/>
        <w:tblCellMar>
          <w:top w:w="0" w:type="dxa"/>
          <w:left w:w="0" w:type="dxa"/>
          <w:bottom w:w="28" w:type="dxa"/>
          <w:right w:w="0" w:type="dxa"/>
        </w:tblCellMar>
      </w:tblPr>
      <w:tblGrid>
        <w:gridCol w:w="3410"/>
        <w:gridCol w:w="60"/>
        <w:gridCol w:w="140"/>
        <w:gridCol w:w="695"/>
        <w:gridCol w:w="60"/>
        <w:gridCol w:w="60"/>
        <w:gridCol w:w="140"/>
        <w:gridCol w:w="695"/>
        <w:gridCol w:w="75"/>
      </w:tblGrid>
      <w:tr>
        <w:trPr/>
        <w:tc>
          <w:tcPr>
            <w:tcW w:w="341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Accountant Fees and Services (in Euros)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433,884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264,620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95"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433,884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95"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264,620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2023, Dannible &amp; McKee billed €312,629, while MHM billed €121,255.</w:t>
      </w:r>
    </w:p>
    <w:p>
      <w:pPr>
        <w:pStyle w:val="TextBody"/>
        <w:bidi w:val="0"/>
        <w:spacing w:before="0" w:after="0"/>
        <w:ind w:left="8"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2022, MHM billed €258,057, and Dannible &amp; McKee billed €6,563.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fees for the years ended December 31, 2023 and 2022 respectively, were paid for professional services rendered for the audits of our consolidated financial statements, half year reviews, consents, and assistance with review of documents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Company reported the dismissal of MHM as the Company’s principal accounting firm, effective December 12, 2022, and the appointment of Dannible &amp; McKee as the Company’s principal accounting firm, effective December 12, 2022 and for the fiscal year ended December 31, 2022. For the fiscal year ended December 31, 2023, Dannible &amp; McKee’s engagement was 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engaging , Dannible &amp; McKee to perform audit services, our Board obtains an estimate for the service to be performed. All of the services described above were approved by the members of the board of statutory auditors in accordance with its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7" w:name="nja_020"/>
      <w:bookmarkEnd w:id="107"/>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is relying on the exemption from listing standards for audit committees provided by Exchange Act Rule 10A-3(c)(3). The basis for this reliance is that Genenta’s board of statutory auditors meets the following requirements set forth in Exchange Act Rule 10A-3(c)(3):</w:t>
      </w:r>
    </w:p>
    <w:p>
      <w:pPr>
        <w:pStyle w:val="TextBody"/>
        <w:bidi w:val="0"/>
        <w:spacing w:before="0" w:after="0"/>
        <w:ind w:left="0" w:right="0" w:hanging="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established and selected pursuant to Italian law expressly permitting such a board;</w:t>
            </w:r>
          </w:p>
        </w:tc>
      </w:tr>
    </w:tbl>
    <w:p>
      <w:pPr>
        <w:pStyle w:val="TextBody"/>
        <w:bidi w:val="0"/>
        <w:spacing w:before="0" w:after="0"/>
        <w:ind w:left="0" w:right="0" w:hanging="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required under Italian law to be separate from Genenta’s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not elected by management of Genenta and no executive officer of Genenta is a member of the board of statutory auditors;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provides for standards for the independence of the board of statutory auditors from Genenta and its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in accordance with applicable Italian law and Genenta’s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Genenta,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Italian law, the audit committee requirements of paragraphs (b)(3), (b)(4) and (b)(5) of Rule 10A-3 apply to the board of statutory auditors.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 w:right="3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reliance on Rule 10A-3(c)(3) does not, in its opinion, materially adversely affect the ability of its board of statutory auditors to act independently and to satisfy the other requirements of Rule 10A-3.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8" w:name="nja_021"/>
      <w:bookmarkEnd w:id="108"/>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9" w:name="nja_022"/>
      <w:bookmarkEnd w:id="109"/>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0" w:name="nja_023"/>
      <w:bookmarkEnd w:id="110"/>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 – C. Board Practices – Differences between Italian Laws and Nasdaq Requirements.”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1" w:name="nja_024"/>
      <w:bookmarkEnd w:id="111"/>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2" w:name="nja_025"/>
      <w:bookmarkEnd w:id="112"/>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3" w:name="nja_026"/>
      <w:bookmarkEnd w:id="113"/>
      <w:r>
        <w:rPr>
          <w:rFonts w:ascii="Times New Roman;Times;Serif" w:hAnsi="Times New Roman;Times;Serif"/>
          <w:b/>
          <w:i w:val="false"/>
          <w:caps w:val="false"/>
          <w:smallCaps w:val="false"/>
          <w:sz w:val="20"/>
        </w:rPr>
        <w:t>ITEM 16K. CYBERSECURITY.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critical importance of maintaining the trust and confidence of our patients, business partners, employees and other stakeholders. As a result, cybersecurity risk management is an integral part of our overall risk management and compliance program. While we are in the process of fully implementing a comprehensive cybersecurity risk management program, our current cybersecurity risk management processes are modeled after industry best practices, such as the National Institute of Standards and Technology Cybersecurity Framework, for handling cybersecurity threats and incidents, including threats and incidents associated with the use of applications developed by third-party service providers, and facilitate coordination across different departments of our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overall oversight responsibility for our cybersecurity risk management; however, it delegates cybersecurity risk management oversight to our management and board of statutory auditors. Our management and board of statutory auditors is responsible for ensuring that we have processes in place designed to identify and evaluate cybersecurity risks to which we are exposed and implement processes and programs to manage cybersecurity risks and mitigate cybersecurity incidents.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processes include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board of directors of material cybersecurity threats and incidents. Our information technology consultant is responsible for assessing our cybersecurity risk management program, and we currently do not engage other third parties for such assessment.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program is under the direction of our Chief Financial Officer and Finance Director, who receive reports from our information technology consultant and monitors the prevention, detection, mitigation, and remediation of cybersecurity incidents. Our Chief Financial Officer and Finance Director together have over 50 years of information technology experience in various roles of increasing importance. Their experience includes overseeing and supervising information technology risk management processes. Among their other duties as Chief Financial Officer and Finance Director, respectively, they manage our cybersecurity consultant, who is a certified and experienced information security professional, and he has been instrumental in the implementation and monitoring of our various cybersecurity systems and tools.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deploying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comprehensive incident response and recovery plans that fully address our response to a cybersecurity incident, and such plans are tested and evaluated on a regular basis;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regular, mandatory training for personnel regarding cybersecurity threats as a means to equip our personnel with effective tools to address cybersecurity threats, and to communicate our evolving information security policies, standards, processes and practices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including our Chief Financial Officer and Finance Director, regularly update our board of statutory auditors on our cybersecurity processes, material cybersecurity risks and mitigation strategies. Our board of statutory auditors reports all material cybersecurity risks to our board of directors.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augmenting our current program to be a more comprehensive cybersecurity risk management program. Our roadmap for the future is centered on the maturation of our cybersecurity risk management program to align to international IT frameworks that will strengthen our defenses, enhance our threat detection capabilities, and ensure the confidentiality, integrity, and availability of our critical systems and data.</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subject to ongoing and evolving cybersecurity threats, we are not aware of any material risks from cybersecurity threats in 2023 that have materially affected or are reasonably likely to materially affect us, including our business strategy, results of operations or financial condition. For more information on our cybersecurity risks, see “Risk Factors — Our internal information technology systems, or those of our third party vendors, collaborators, or other contractors or consultants, may fail or suffer cyber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4" w:name="nja_027"/>
      <w:bookmarkEnd w:id="114"/>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5" w:name="nja_028"/>
      <w:bookmarkEnd w:id="115"/>
      <w:r>
        <w:rPr>
          <w:rFonts w:ascii="Times New Roman;Times;Serif" w:hAnsi="Times New Roman;Times;Serif"/>
          <w:b/>
          <w:i w:val="false"/>
          <w:caps w:val="false"/>
          <w:smallCaps w:val="false"/>
          <w:sz w:val="20"/>
        </w:rPr>
        <w:t>ITEM 17.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Consolidated Financial Statements are included as the “F” pages attached 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consolidated financial statements in this Annual Report, unless otherwise stated, are presented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6" w:name="nja_029"/>
      <w:bookmarkEnd w:id="116"/>
      <w:r>
        <w:rPr>
          <w:rFonts w:ascii="Times New Roman;Times;Serif" w:hAnsi="Times New Roman;Times;Serif"/>
          <w:b/>
          <w:i w:val="false"/>
          <w:caps w:val="false"/>
          <w:smallCaps w:val="false"/>
          <w:sz w:val="20"/>
        </w:rPr>
        <w:t>ITEM 18.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provide consolidated financial statements pursuant to ITEM 17.</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7" w:name="nja_030"/>
      <w:bookmarkEnd w:id="117"/>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5"/>
        <w:gridCol w:w="60"/>
        <w:gridCol w:w="9270"/>
      </w:tblGrid>
      <w:tr>
        <w:trPr/>
        <w:tc>
          <w:tcPr>
            <w:tcW w:w="87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Description of Securities</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Deed of Incorporation of Genenta Science S.p.A.</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18">
              <w:r>
                <w:rPr>
                  <w:rStyle w:val="InternetLink"/>
                  <w:caps w:val="false"/>
                  <w:smallCaps w:val="false"/>
                </w:rPr>
                <w:t>‌</w:t>
              </w:r>
            </w:hyperlink>
            <w:hyperlink r:id="rId19">
              <w:r>
                <w:rPr>
                  <w:rStyle w:val="InternetLink"/>
                  <w:rFonts w:ascii="Times New Roman;Times;Serif" w:hAnsi="Times New Roman;Times;Serif"/>
                  <w:b w:val="false"/>
                  <w:i w:val="false"/>
                  <w:caps w:val="false"/>
                  <w:smallCaps w:val="false"/>
                  <w:sz w:val="20"/>
                </w:rPr>
                <w:t>Amended and Restated Bylaws of Genenta Science S.p.A.</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Deposit Agreement dated December 17, 2021 between the Company and The Bank of New York Mellon, as depositary.</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American Depositary Receipt (included in exhibit 4.1)</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Underwriter Warrants dated December 17, 2021</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w:anchor="ex8-1.htm">
              <w:r>
                <w:rPr>
                  <w:rStyle w:val="InternetLink"/>
                  <w:rFonts w:ascii="Times New Roman;Times;Serif" w:hAnsi="Times New Roman;Times;Serif"/>
                  <w:b w:val="false"/>
                  <w:i w:val="false"/>
                  <w:caps w:val="false"/>
                  <w:smallCaps w:val="false"/>
                  <w:sz w:val="20"/>
                </w:rPr>
                <w:t>List of subsidiaries of the registrant</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Amended and Restated License Agreement between Genenta Science S.p.A. and Ospedale San Raffaele S.r.l. (“OSR”) dated March 23, 2023 (the “ARLA”)</w:t>
              </w:r>
            </w:hyperlink>
          </w:p>
        </w:tc>
      </w:tr>
      <w:tr>
        <w:trPr/>
        <w:tc>
          <w:tcPr>
            <w:tcW w:w="87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10.2</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Amendment to ARLA dated September 28, 2023</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Sponsored Research Agreement with OSR dated August 1, 2023</w:t>
              </w:r>
            </w:hyperlink>
          </w:p>
        </w:tc>
      </w:tr>
      <w:tr>
        <w:trPr/>
        <w:tc>
          <w:tcPr>
            <w:tcW w:w="87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10.4</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Sponsored Research Agreement with OSR dated February 12, 2021</w:t>
              </w:r>
            </w:hyperlink>
          </w:p>
        </w:tc>
      </w:tr>
      <w:tr>
        <w:trPr/>
        <w:tc>
          <w:tcPr>
            <w:tcW w:w="87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10.5</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Know-How License Agreement with Fondazione Telethon dated February 2, 2016</w:t>
              </w:r>
            </w:hyperlink>
          </w:p>
        </w:tc>
      </w:tr>
      <w:tr>
        <w:trPr/>
        <w:tc>
          <w:tcPr>
            <w:tcW w:w="87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10.6</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Master Service Agreement dated March 6, 2019, between Molecular Medicine S.p.A. and Genenta Science S.p.A.</w:t>
              </w:r>
            </w:hyperlink>
          </w:p>
        </w:tc>
      </w:tr>
      <w:tr>
        <w:trPr/>
        <w:tc>
          <w:tcPr>
            <w:tcW w:w="87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10.7</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2021-2025 Genenta Science Employee Share Option Plan with Chairman Sub-Plan</w:t>
              </w:r>
            </w:hyperlink>
          </w:p>
        </w:tc>
      </w:tr>
      <w:tr>
        <w:trPr/>
        <w:tc>
          <w:tcPr>
            <w:tcW w:w="87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10.9</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Employment Agreement of Pierluigi Paracchi</w:t>
              </w:r>
            </w:hyperlink>
          </w:p>
        </w:tc>
      </w:tr>
      <w:tr>
        <w:trPr/>
        <w:tc>
          <w:tcPr>
            <w:tcW w:w="87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10.0</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Employment Agreement of Carlo Russo</w:t>
              </w:r>
            </w:hyperlink>
          </w:p>
        </w:tc>
      </w:tr>
      <w:tr>
        <w:trPr/>
        <w:tc>
          <w:tcPr>
            <w:tcW w:w="87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10.10</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Employment Agreement of Richard B. Slansky</w:t>
              </w:r>
            </w:hyperlink>
          </w:p>
        </w:tc>
      </w:tr>
      <w:tr>
        <w:trPr/>
        <w:tc>
          <w:tcPr>
            <w:tcW w:w="87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10.14</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Development and Manufacturing Services Agreement dated January 20, 2023 between AGC Biologics S.p.A. and Genenta Science S.p.A.</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Code of Business Conduct and Ethics of the Registrant</w:t>
              </w:r>
            </w:hyperlink>
          </w:p>
        </w:tc>
      </w:tr>
      <w:tr>
        <w:trPr/>
        <w:tc>
          <w:tcPr>
            <w:tcW w:w="875" w:type="dxa"/>
            <w:tcBorders/>
            <w:tcMar>
              <w:bottom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Certification of the Chief Executive Officer (Principal Executive Officer) pursuant to Rule 13a-14(a) of the Securities Exchange Act, as amended</w:t>
              </w:r>
            </w:hyperlink>
          </w:p>
        </w:tc>
      </w:tr>
      <w:tr>
        <w:trPr/>
        <w:tc>
          <w:tcPr>
            <w:tcW w:w="875" w:type="dxa"/>
            <w:tcBorders/>
            <w:tcMar>
              <w:bottom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Certification of the Chief Financial Officer (Principal Financial Officer) pursuant to Rule 13a-14(a) of the Securities Exchange Act, as amended</w:t>
              </w:r>
            </w:hyperlink>
          </w:p>
        </w:tc>
      </w:tr>
      <w:tr>
        <w:trPr/>
        <w:tc>
          <w:tcPr>
            <w:tcW w:w="875" w:type="dxa"/>
            <w:tcBorders/>
            <w:tcMar>
              <w:bottom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Certification of the Chief Executive Officer and Chief Financial Officer pursuant to 18 U.S.C. 1350, as adopted pursuant to Section 906 of the Sarbanes-Oxley Act of 2002</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w:anchor="ex97-1.htm">
              <w:r>
                <w:rPr>
                  <w:rStyle w:val="InternetLink"/>
                  <w:rFonts w:ascii="Times New Roman;Times;Serif" w:hAnsi="Times New Roman;Times;Serif"/>
                  <w:b w:val="false"/>
                  <w:i w:val="false"/>
                  <w:caps w:val="false"/>
                  <w:smallCaps w:val="false"/>
                  <w:sz w:val="20"/>
                </w:rPr>
                <w:t>Compensation Recovery Policy of Registrant</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140"/>
        <w:gridCol w:w="875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registration statement on Form F-1 of the Registrant (File No. 333-260923).</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245"/>
        <w:gridCol w:w="819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Annual Report on Form 20-F of the Registrant filed on May 2, 2022.</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350"/>
        <w:gridCol w:w="6890"/>
      </w:tblGrid>
      <w:tr>
        <w:trPr/>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6-K of the Registrant filed on October 3, 2022.</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455"/>
        <w:gridCol w:w="8345"/>
      </w:tblGrid>
      <w:tr>
        <w:trPr/>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Annual Report on Form 20-F of the Registrant filed on April 21,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December 22, 2022.</w:t>
      </w:r>
    </w:p>
    <w:p>
      <w:pPr>
        <w:pStyle w:val="TextBody"/>
        <w:bidi w:val="0"/>
        <w:spacing w:before="0" w:after="0"/>
        <w:ind w:left="3579" w:right="3579"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February 1, 2023.</w:t>
      </w:r>
    </w:p>
    <w:p>
      <w:pPr>
        <w:pStyle w:val="TextBody"/>
        <w:bidi w:val="0"/>
        <w:spacing w:before="0" w:after="0"/>
        <w:ind w:left="3579" w:right="3579"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October 20,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Portions of these exhibits (indicated with markouts) have been redacted in accordance with Item 601(b)(10)(iv).</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8" w:name="nja_031"/>
      <w:bookmarkEnd w:id="118"/>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0"/>
        <w:gridCol w:w="3931"/>
        <w:gridCol w:w="60"/>
        <w:gridCol w:w="565"/>
        <w:gridCol w:w="5069"/>
      </w:tblGrid>
      <w:tr>
        <w:trPr/>
        <w:tc>
          <w:tcPr>
            <w:tcW w:w="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393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Pierluigi Paracchi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50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Richard B. Slansky</w:t>
            </w:r>
          </w:p>
        </w:tc>
      </w:tr>
      <w:tr>
        <w:trPr/>
        <w:tc>
          <w:tcPr>
            <w:tcW w:w="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39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Pierluigi Paracchi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50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B. Slansky</w:t>
            </w:r>
          </w:p>
        </w:tc>
      </w:tr>
      <w:tr>
        <w:trPr/>
        <w:tc>
          <w:tcPr>
            <w:tcW w:w="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39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(Principal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50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(Principal Financial and Accounting Officer)</w:t>
            </w:r>
          </w:p>
        </w:tc>
      </w:tr>
      <w:tr>
        <w:trPr/>
        <w:tc>
          <w:tcPr>
            <w:tcW w:w="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39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29,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50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29, 2024</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6530"/>
        <w:gridCol w:w="875"/>
      </w:tblGrid>
      <w:tr>
        <w:trPr/>
        <w:tc>
          <w:tcPr>
            <w:tcW w:w="653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53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30" w:type="dxa"/>
            <w:tcBorders/>
            <w:shd w:fill="CCEEFF" w:val="clear"/>
            <w:vAlign w:val="center"/>
          </w:tcPr>
          <w:p>
            <w:pPr>
              <w:pStyle w:val="TableContents"/>
              <w:bidi w:val="0"/>
              <w:spacing w:before="0" w:after="283"/>
              <w:jc w:val="left"/>
              <w:rPr/>
            </w:pPr>
            <w:hyperlink w:anchor="ja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w:t>
            </w:r>
            <w:bookmarkStart w:id="119" w:name="xdx_90F_edei--AuditorFirmId_c20230101__2"/>
            <w:bookmarkEnd w:id="119"/>
            <w:r>
              <w:rPr>
                <w:rFonts w:ascii="Times New Roman;Times;Serif" w:hAnsi="Times New Roman;Times;Serif"/>
                <w:b w:val="false"/>
                <w:i w:val="false"/>
                <w:caps w:val="false"/>
                <w:smallCaps w:val="false"/>
                <w:sz w:val="20"/>
              </w:rPr>
              <w:t>528)</w:t>
            </w:r>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6530" w:type="dxa"/>
            <w:tcBorders/>
            <w:shd w:fill="FFFFFF" w:val="clear"/>
            <w:vAlign w:val="center"/>
          </w:tcPr>
          <w:p>
            <w:pPr>
              <w:pStyle w:val="TableContents"/>
              <w:bidi w:val="0"/>
              <w:spacing w:before="0" w:after="283"/>
              <w:jc w:val="left"/>
              <w:rPr/>
            </w:pPr>
            <w:hyperlink w:anchor="ja_002">
              <w:r>
                <w:rPr>
                  <w:rStyle w:val="InternetLink"/>
                  <w:rFonts w:ascii="Times New Roman;Times;Serif" w:hAnsi="Times New Roman;Times;Serif"/>
                  <w:b w:val="false"/>
                  <w:i w:val="false"/>
                  <w:caps w:val="false"/>
                  <w:smallCaps w:val="false"/>
                  <w:sz w:val="20"/>
                </w:rPr>
                <w:t xml:space="preserve">Consolidated Statements of Operations and Comprehensive Loss </w:t>
              </w:r>
            </w:hyperlink>
          </w:p>
        </w:tc>
        <w:tc>
          <w:tcPr>
            <w:tcW w:w="8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6530" w:type="dxa"/>
            <w:tcBorders/>
            <w:shd w:fill="CCEEFF" w:val="clear"/>
            <w:vAlign w:val="center"/>
          </w:tcPr>
          <w:p>
            <w:pPr>
              <w:pStyle w:val="TableContents"/>
              <w:bidi w:val="0"/>
              <w:spacing w:before="0" w:after="283"/>
              <w:jc w:val="left"/>
              <w:rPr/>
            </w:pPr>
            <w:hyperlink w:anchor="ja_003">
              <w:r>
                <w:rPr>
                  <w:rStyle w:val="InternetLink"/>
                  <w:rFonts w:ascii="Times New Roman;Times;Serif" w:hAnsi="Times New Roman;Times;Serif"/>
                  <w:b w:val="false"/>
                  <w:i w:val="false"/>
                  <w:caps w:val="false"/>
                  <w:smallCaps w:val="false"/>
                  <w:sz w:val="20"/>
                </w:rPr>
                <w:t>Consolidated Balance Sheets</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530" w:type="dxa"/>
            <w:tcBorders/>
            <w:shd w:fill="FFFFFF" w:val="clear"/>
            <w:vAlign w:val="center"/>
          </w:tcPr>
          <w:p>
            <w:pPr>
              <w:pStyle w:val="TableContents"/>
              <w:bidi w:val="0"/>
              <w:spacing w:before="0" w:after="283"/>
              <w:jc w:val="left"/>
              <w:rPr/>
            </w:pPr>
            <w:hyperlink w:anchor="ja_004">
              <w:r>
                <w:rPr>
                  <w:rStyle w:val="InternetLink"/>
                  <w:rFonts w:ascii="Times New Roman;Times;Serif" w:hAnsi="Times New Roman;Times;Serif"/>
                  <w:b w:val="false"/>
                  <w:i w:val="false"/>
                  <w:caps w:val="false"/>
                  <w:smallCaps w:val="false"/>
                  <w:sz w:val="20"/>
                </w:rPr>
                <w:t>Consolidated Statements of Changes in Quotaholders’ and Shareholders’ Equity</w:t>
              </w:r>
            </w:hyperlink>
          </w:p>
        </w:tc>
        <w:tc>
          <w:tcPr>
            <w:tcW w:w="8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6530" w:type="dxa"/>
            <w:tcBorders/>
            <w:shd w:fill="CCEEFF" w:val="clear"/>
            <w:vAlign w:val="center"/>
          </w:tcPr>
          <w:p>
            <w:pPr>
              <w:pStyle w:val="TableContents"/>
              <w:bidi w:val="0"/>
              <w:spacing w:before="0" w:after="283"/>
              <w:jc w:val="left"/>
              <w:rPr/>
            </w:pPr>
            <w:hyperlink w:anchor="ja_005">
              <w:r>
                <w:rPr>
                  <w:rStyle w:val="InternetLink"/>
                  <w:rFonts w:ascii="Times New Roman;Times;Serif" w:hAnsi="Times New Roman;Times;Serif"/>
                  <w:b w:val="false"/>
                  <w:i w:val="false"/>
                  <w:caps w:val="false"/>
                  <w:smallCaps w:val="false"/>
                  <w:sz w:val="20"/>
                </w:rPr>
                <w:t>Consolidated Statements of Cash Flows</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6530" w:type="dxa"/>
            <w:tcBorders/>
            <w:shd w:fill="FFFFFF" w:val="clear"/>
            <w:vAlign w:val="center"/>
          </w:tcPr>
          <w:p>
            <w:pPr>
              <w:pStyle w:val="TableContents"/>
              <w:bidi w:val="0"/>
              <w:spacing w:before="0" w:after="283"/>
              <w:jc w:val="left"/>
              <w:rPr/>
            </w:pPr>
            <w:hyperlink w:anchor="ja_006">
              <w:r>
                <w:rPr>
                  <w:rStyle w:val="InternetLink"/>
                  <w:rFonts w:ascii="Times New Roman;Times;Serif" w:hAnsi="Times New Roman;Times;Serif"/>
                  <w:b w:val="false"/>
                  <w:i w:val="false"/>
                  <w:caps w:val="false"/>
                  <w:smallCaps w:val="false"/>
                  <w:sz w:val="20"/>
                </w:rPr>
                <w:t>Notes to the Consolidated Financial Statements</w:t>
              </w:r>
            </w:hyperlink>
          </w:p>
        </w:tc>
        <w:tc>
          <w:tcPr>
            <w:tcW w:w="8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 – F-31</w:t>
            </w:r>
          </w:p>
        </w:tc>
      </w:tr>
    </w:tbl>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0" w:name="ja_001"/>
      <w:bookmarkEnd w:id="12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Genenta Science 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Genenta Science S.p.A. (the “Company”) as of December 31, 2023, 2022, and 2021 and the related consolidated statements of operations and comprehensive loss, changes in quotaholders’ and shareholders’ equity, and cash flows for the three years then ended and the related notes (collectively referred to as the “consolidated financial statements”). In our opinion, the financial statements present fairly, in all material respects, the financial position of the Company as of December 31, 2023, 2022, and 2021, and the results of their operations and their cash flows for each of the three years in the year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121" w:name="xdx_90F_edei--AuditorName_c20230101__202"/>
      <w:bookmarkEnd w:id="121"/>
      <w:r>
        <w:rPr>
          <w:rFonts w:ascii="Times New Roman;Times;Serif" w:hAnsi="Times New Roman;Times;Serif"/>
          <w:b w:val="false"/>
          <w:i w:val="false"/>
          <w:caps w:val="false"/>
          <w:smallCaps w:val="false"/>
          <w:sz w:val="20"/>
        </w:rPr>
        <w:t>Dannible &amp; McKee,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22" w:name="xdx_903_edei--AuditorLocation_c20230101_"/>
      <w:bookmarkEnd w:id="122"/>
      <w:r>
        <w:rPr>
          <w:rFonts w:ascii="Times New Roman;Times;Serif" w:hAnsi="Times New Roman;Times;Serif"/>
          <w:b w:val="false"/>
          <w:i w:val="false"/>
          <w:caps w:val="false"/>
          <w:smallCaps w:val="false"/>
          <w:sz w:val="20"/>
        </w:rPr>
        <w:t>Syracuse,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 w:right="0" w:hanging="0"/>
        <w:jc w:val="center"/>
        <w:rPr>
          <w:rFonts w:ascii="Times New Roman;Times;Serif" w:hAnsi="Times New Roman;Times;Serif"/>
          <w:b/>
          <w:i w:val="false"/>
          <w:caps w:val="false"/>
          <w:smallCaps w:val="false"/>
          <w:sz w:val="20"/>
        </w:rPr>
      </w:pPr>
      <w:bookmarkStart w:id="123" w:name="ja_002"/>
      <w:bookmarkEnd w:id="123"/>
      <w:r>
        <w:rPr>
          <w:rFonts w:ascii="Times New Roman;Times;Serif" w:hAnsi="Times New Roman;Times;Serif"/>
          <w:b/>
          <w:i w:val="false"/>
          <w:caps w:val="false"/>
          <w:smallCaps w:val="false"/>
          <w:sz w:val="20"/>
        </w:rPr>
        <w:t>Genenta Science S.p.A.</w:t>
      </w:r>
    </w:p>
    <w:p>
      <w:pPr>
        <w:pStyle w:val="TextBody"/>
        <w:bidi w:val="0"/>
        <w:spacing w:before="0" w:after="0"/>
        <w:ind w:left="7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(formerly, Genenta Science S.r.l.)</w:t>
      </w:r>
    </w:p>
    <w:p>
      <w:pPr>
        <w:pStyle w:val="TextBody"/>
        <w:bidi w:val="0"/>
        <w:spacing w:before="0" w:after="0"/>
        <w:ind w:left="7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4" w:name="xdx_300_113_zT0GvpKpRoF4"/>
      <w:bookmarkStart w:id="125" w:name="xdx_300_113_zT0GvpKpRoF4"/>
      <w:bookmarkEnd w:id="125"/>
    </w:p>
    <w:tbl>
      <w:tblPr>
        <w:tblW w:w="10205" w:type="dxa"/>
        <w:jc w:val="left"/>
        <w:tblInd w:w="0" w:type="dxa"/>
        <w:tblLayout w:type="fixed"/>
        <w:tblCellMar>
          <w:top w:w="0" w:type="dxa"/>
          <w:left w:w="0" w:type="dxa"/>
          <w:bottom w:w="0" w:type="dxa"/>
          <w:right w:w="0" w:type="dxa"/>
        </w:tblCellMar>
      </w:tblPr>
      <w:tblGrid>
        <w:gridCol w:w="5690"/>
        <w:gridCol w:w="60"/>
        <w:gridCol w:w="140"/>
        <w:gridCol w:w="1175"/>
        <w:gridCol w:w="95"/>
        <w:gridCol w:w="60"/>
        <w:gridCol w:w="140"/>
        <w:gridCol w:w="1175"/>
        <w:gridCol w:w="95"/>
        <w:gridCol w:w="60"/>
        <w:gridCol w:w="140"/>
        <w:gridCol w:w="1100"/>
        <w:gridCol w:w="275"/>
      </w:tblGrid>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98_20230101__20231231_z0kiXqZ3Ud1g"/>
            <w:bookmarkEnd w:id="126"/>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92_20220101__20221231_zpBESObhp9b4"/>
            <w:bookmarkEnd w:id="127"/>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98_20210101__20211231_z46b38ujnUNb"/>
            <w:bookmarkEnd w:id="128"/>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275"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8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275"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275"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8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275" w:type="dxa"/>
            <w:tcBorders/>
            <w:vAlign w:val="center"/>
          </w:tcPr>
          <w:p>
            <w:pPr>
              <w:pStyle w:val="TableContents"/>
              <w:bidi w:val="0"/>
              <w:spacing w:before="0" w:after="283"/>
              <w:jc w:val="left"/>
              <w:rPr/>
            </w:pPr>
            <w:r>
              <w:rPr/>
              <w:t> </w:t>
            </w:r>
            <w:bookmarkStart w:id="129" w:name="xdx_404_eus-gaap--OperatingExpensesAbstr"/>
            <w:bookmarkEnd w:id="129"/>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bookmarkStart w:id="130" w:name="xdx_402_eus-gaap--ResearchAndDevelopment"/>
            <w:bookmarkEnd w:id="130"/>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6,474,441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5,338,962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3,390,677</w:t>
            </w:r>
          </w:p>
        </w:tc>
        <w:tc>
          <w:tcPr>
            <w:tcW w:w="275" w:type="dxa"/>
            <w:tcBorders/>
            <w:shd w:fill="FFFFFF" w:val="clear"/>
            <w:vAlign w:val="center"/>
          </w:tcPr>
          <w:p>
            <w:pPr>
              <w:pStyle w:val="TableContents"/>
              <w:bidi w:val="0"/>
              <w:spacing w:before="0" w:after="283"/>
              <w:ind w:left="0" w:right="0" w:firstLine="200"/>
              <w:jc w:val="left"/>
              <w:rPr/>
            </w:pPr>
            <w:r>
              <w:rPr/>
              <w:t> </w:t>
            </w:r>
            <w:bookmarkStart w:id="131" w:name="xdx_40F_eus-gaap--GeneralAndAdministrati"/>
            <w:bookmarkEnd w:id="131"/>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5,258,501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5,705,030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2,296,596</w:t>
            </w:r>
          </w:p>
        </w:tc>
        <w:tc>
          <w:tcPr>
            <w:tcW w:w="275" w:type="dxa"/>
            <w:tcBorders/>
            <w:shd w:fill="CCEEFF" w:val="clear"/>
            <w:vAlign w:val="center"/>
          </w:tcPr>
          <w:p>
            <w:pPr>
              <w:pStyle w:val="TableContents"/>
              <w:bidi w:val="0"/>
              <w:spacing w:before="0" w:after="283"/>
              <w:jc w:val="left"/>
              <w:rPr/>
            </w:pPr>
            <w:r>
              <w:rPr/>
              <w:t> </w:t>
            </w:r>
            <w:bookmarkStart w:id="132" w:name="xdx_405_eus-gaap--OperatingExpenses_i01T"/>
            <w:bookmarkEnd w:id="132"/>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11,732,942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11,043,992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5,687,273</w:t>
            </w:r>
          </w:p>
        </w:tc>
        <w:tc>
          <w:tcPr>
            <w:tcW w:w="275"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33" w:name="xdx_40E_eus-gaap--OperatingIncomeLoss_iT"/>
            <w:bookmarkEnd w:id="133"/>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(11,732,942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(11,043,992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(5,687,273</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34" w:name="xdx_402_eus-gaap--NonoperatingIncomeExpe"/>
            <w:bookmarkEnd w:id="134"/>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firstLine="200"/>
              <w:jc w:val="left"/>
              <w:rPr/>
            </w:pPr>
            <w:r>
              <w:rPr/>
              <w:t> </w:t>
            </w:r>
            <w:bookmarkStart w:id="135" w:name="xdx_404_eus-gaap--OtherNonoperatingIncom"/>
            <w:bookmarkEnd w:id="135"/>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19,657</w:t>
            </w:r>
          </w:p>
        </w:tc>
        <w:tc>
          <w:tcPr>
            <w:tcW w:w="275" w:type="dxa"/>
            <w:tcBorders/>
            <w:shd w:fill="CCEEFF" w:val="clear"/>
            <w:vAlign w:val="center"/>
          </w:tcPr>
          <w:p>
            <w:pPr>
              <w:pStyle w:val="TableContents"/>
              <w:bidi w:val="0"/>
              <w:spacing w:before="0" w:after="283"/>
              <w:ind w:left="0" w:right="0" w:firstLine="200"/>
              <w:jc w:val="left"/>
              <w:rPr/>
            </w:pPr>
            <w:r>
              <w:rPr/>
              <w:t> </w:t>
            </w:r>
            <w:bookmarkStart w:id="136" w:name="xdx_409_ecustom--FinanceIncomeExpenses_i"/>
            <w:bookmarkEnd w:id="136"/>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(11,716</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7" w:name="xdx_408_eus-gaap--ForeignCurrencyTransac"/>
            <w:bookmarkEnd w:id="137"/>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exchange rate gain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2,286,690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275" w:type="dxa"/>
            <w:tcBorders/>
            <w:shd w:fill="CCEEFF" w:val="clear"/>
            <w:vAlign w:val="center"/>
          </w:tcPr>
          <w:p>
            <w:pPr>
              <w:pStyle w:val="TableContents"/>
              <w:bidi w:val="0"/>
              <w:spacing w:before="0" w:after="283"/>
              <w:jc w:val="left"/>
              <w:rPr/>
            </w:pPr>
            <w:r>
              <w:rPr/>
              <w:t> </w:t>
            </w:r>
            <w:bookmarkStart w:id="138" w:name="xdx_408_ecustom--AwardsAndSubsidies_i01_"/>
            <w:bookmarkEnd w:id="138"/>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Awards and Subsidies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275" w:type="dxa"/>
            <w:tcBorders/>
            <w:shd w:fill="FFFFFF" w:val="clear"/>
            <w:vAlign w:val="center"/>
          </w:tcPr>
          <w:p>
            <w:pPr>
              <w:pStyle w:val="TableContents"/>
              <w:bidi w:val="0"/>
              <w:spacing w:before="0" w:after="283"/>
              <w:jc w:val="left"/>
              <w:rPr/>
            </w:pPr>
            <w:r>
              <w:rPr/>
              <w:t> </w:t>
            </w:r>
            <w:bookmarkStart w:id="139" w:name="xdx_403_eus-gaap--NonoperatingIncomeExpe"/>
            <w:bookmarkEnd w:id="139"/>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157,941</w:t>
            </w:r>
          </w:p>
        </w:tc>
        <w:tc>
          <w:tcPr>
            <w:tcW w:w="275"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bookmarkStart w:id="140" w:name="xdx_402_eus-gaap--IncomeLossFromContinui"/>
            <w:bookmarkEnd w:id="140"/>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(11,645,455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(8,477,763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(5,529,332</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1" w:name="xdx_40B_eus-gaap--IncomeTaxExpenseBenefi"/>
            <w:bookmarkEnd w:id="141"/>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75" w:type="dxa"/>
            <w:tcBorders/>
            <w:shd w:fill="FFFFFF" w:val="clear"/>
            <w:vAlign w:val="center"/>
          </w:tcPr>
          <w:p>
            <w:pPr>
              <w:pStyle w:val="TableContents"/>
              <w:bidi w:val="0"/>
              <w:spacing w:before="0" w:after="283"/>
              <w:jc w:val="left"/>
              <w:rPr/>
            </w:pPr>
            <w:r>
              <w:rPr/>
              <w:t> </w:t>
            </w:r>
            <w:bookmarkStart w:id="142" w:name="xdx_40C_eus-gaap--NetIncomeLoss_iT_pp0p0"/>
            <w:bookmarkEnd w:id="142"/>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(11,645,455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(8,477,763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(5,529,332</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43" w:name="xdx_90E_eus-gaap--EarningsPerShareDilute"/>
            <w:bookmarkStart w:id="144" w:name="xdx_906_eus-gaap--EarningsPerShareBasic_"/>
            <w:bookmarkEnd w:id="143"/>
            <w:bookmarkEnd w:id="144"/>
            <w:r>
              <w:rPr>
                <w:rFonts w:ascii="Times New Roman;Times;Serif" w:hAnsi="Times New Roman;Times;Serif"/>
              </w:rPr>
              <w:t>(0.64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45" w:name="xdx_904_eus-gaap--EarningsPerShareDilute"/>
            <w:bookmarkStart w:id="146" w:name="xdx_90C_eus-gaap--EarningsPerShareBasic_"/>
            <w:bookmarkEnd w:id="145"/>
            <w:bookmarkEnd w:id="146"/>
            <w:r>
              <w:rPr>
                <w:rFonts w:ascii="Times New Roman;Times;Serif" w:hAnsi="Times New Roman;Times;Serif"/>
              </w:rPr>
              <w:t>(0.47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47" w:name="xdx_90A_eus-gaap--EarningsPerShareDilute"/>
            <w:bookmarkStart w:id="148" w:name="xdx_907_eus-gaap--EarningsPerShareBasic_"/>
            <w:bookmarkEnd w:id="147"/>
            <w:bookmarkEnd w:id="148"/>
            <w:r>
              <w:rPr>
                <w:rFonts w:ascii="Times New Roman;Times;Serif" w:hAnsi="Times New Roman;Times;Serif"/>
              </w:rPr>
              <w:t>(0.37</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49" w:name="xdx_90F_eus-gaap--WeightedAverageNumberO"/>
            <w:bookmarkStart w:id="150" w:name="xdx_908_eus-gaap--WeightedAverageNumberO"/>
            <w:bookmarkEnd w:id="149"/>
            <w:bookmarkEnd w:id="150"/>
            <w:r>
              <w:rPr>
                <w:rFonts w:ascii="Times New Roman;Times;Serif" w:hAnsi="Times New Roman;Times;Serif"/>
              </w:rPr>
              <w:t>18,216,907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51" w:name="xdx_904_eus-gaap--WeightedAverageNumberO"/>
            <w:bookmarkStart w:id="152" w:name="xdx_90F_eus-gaap--WeightedAverageNumberO"/>
            <w:bookmarkEnd w:id="151"/>
            <w:bookmarkEnd w:id="152"/>
            <w:r>
              <w:rPr>
                <w:rFonts w:ascii="Times New Roman;Times;Serif" w:hAnsi="Times New Roman;Times;Serif"/>
              </w:rPr>
              <w:t>18,216,858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53" w:name="xdx_90E_eus-gaap--WeightedAverageNumberO"/>
            <w:bookmarkStart w:id="154" w:name="xdx_904_eus-gaap--WeightedAverageNumberO"/>
            <w:bookmarkEnd w:id="153"/>
            <w:bookmarkEnd w:id="154"/>
            <w:r>
              <w:rPr>
                <w:rFonts w:ascii="Times New Roman;Times;Serif" w:hAnsi="Times New Roman;Times;Serif"/>
              </w:rPr>
              <w:t>15,083,825</w:t>
            </w:r>
          </w:p>
        </w:tc>
        <w:tc>
          <w:tcPr>
            <w:tcW w:w="275" w:type="dxa"/>
            <w:tcBorders/>
            <w:shd w:fill="CCEEFF" w:val="clear"/>
            <w:vAlign w:val="center"/>
          </w:tcPr>
          <w:p>
            <w:pPr>
              <w:pStyle w:val="TableContents"/>
              <w:bidi w:val="0"/>
              <w:spacing w:before="0" w:after="283"/>
              <w:jc w:val="left"/>
              <w:rPr/>
            </w:pPr>
            <w:r>
              <w:rPr/>
              <w:t> </w:t>
            </w:r>
            <w:bookmarkStart w:id="155" w:name="xdx_402_eus-gaap--OtherComprehensiveInco"/>
            <w:bookmarkEnd w:id="155"/>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firstLine="200"/>
              <w:jc w:val="left"/>
              <w:rPr/>
            </w:pPr>
            <w:r>
              <w:rPr/>
              <w:t> </w:t>
            </w:r>
            <w:bookmarkStart w:id="156" w:name="xdx_401_ecustom--OtherComprehensiveIncom"/>
            <w:bookmarkEnd w:id="156"/>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marketable debt securities Fair Value Measurement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75" w:type="dxa"/>
            <w:tcBorders/>
            <w:shd w:fill="CCEEFF" w:val="clear"/>
            <w:vAlign w:val="center"/>
          </w:tcPr>
          <w:p>
            <w:pPr>
              <w:pStyle w:val="TableContents"/>
              <w:bidi w:val="0"/>
              <w:spacing w:before="0" w:after="283"/>
              <w:jc w:val="left"/>
              <w:rPr/>
            </w:pPr>
            <w:r>
              <w:rPr/>
              <w:t> </w:t>
            </w:r>
            <w:bookmarkStart w:id="157" w:name="xdx_409_eus-gaap--OtherComprehensiveInco"/>
            <w:bookmarkEnd w:id="157"/>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75" w:type="dxa"/>
            <w:tcBorders/>
            <w:shd w:fill="FFFFFF" w:val="clear"/>
            <w:vAlign w:val="center"/>
          </w:tcPr>
          <w:p>
            <w:pPr>
              <w:pStyle w:val="TableContents"/>
              <w:bidi w:val="0"/>
              <w:spacing w:before="0" w:after="283"/>
              <w:jc w:val="left"/>
              <w:rPr/>
            </w:pPr>
            <w:r>
              <w:rPr/>
              <w:t> </w:t>
            </w:r>
            <w:bookmarkStart w:id="158" w:name="xdx_40C_eus-gaap--OtherComprehensiveInco"/>
            <w:bookmarkEnd w:id="158"/>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bookmarkStart w:id="159" w:name="xdx_406_eus-gaap--ComprehensiveIncomeNet"/>
            <w:bookmarkEnd w:id="159"/>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(11,446,324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(8,477,763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(5,529,332</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 w:right="0" w:hanging="0"/>
        <w:jc w:val="center"/>
        <w:rPr>
          <w:rFonts w:ascii="Times New Roman;Times;Serif" w:hAnsi="Times New Roman;Times;Serif"/>
          <w:b/>
          <w:i w:val="false"/>
          <w:caps w:val="false"/>
          <w:smallCaps w:val="false"/>
          <w:sz w:val="20"/>
        </w:rPr>
      </w:pPr>
      <w:bookmarkStart w:id="160" w:name="ja_003"/>
      <w:bookmarkEnd w:id="160"/>
      <w:r>
        <w:rPr>
          <w:rFonts w:ascii="Times New Roman;Times;Serif" w:hAnsi="Times New Roman;Times;Serif"/>
          <w:b/>
          <w:i w:val="false"/>
          <w:caps w:val="false"/>
          <w:smallCaps w:val="false"/>
          <w:sz w:val="20"/>
        </w:rPr>
        <w:t>Genenta Science S.p.A.</w:t>
      </w:r>
    </w:p>
    <w:p>
      <w:pPr>
        <w:pStyle w:val="TextBody"/>
        <w:bidi w:val="0"/>
        <w:spacing w:before="0" w:after="0"/>
        <w:ind w:left="7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1" w:name="xdx_302_111_zPSoySLdfp1k"/>
      <w:bookmarkStart w:id="162" w:name="xdx_302_111_zPSoySLdfp1k"/>
      <w:bookmarkEnd w:id="162"/>
    </w:p>
    <w:tbl>
      <w:tblPr>
        <w:tblW w:w="10205" w:type="dxa"/>
        <w:jc w:val="left"/>
        <w:tblInd w:w="0" w:type="dxa"/>
        <w:tblLayout w:type="fixed"/>
        <w:tblCellMar>
          <w:top w:w="0" w:type="dxa"/>
          <w:left w:w="0" w:type="dxa"/>
          <w:bottom w:w="0" w:type="dxa"/>
          <w:right w:w="0" w:type="dxa"/>
        </w:tblCellMar>
      </w:tblPr>
      <w:tblGrid>
        <w:gridCol w:w="5321"/>
        <w:gridCol w:w="60"/>
        <w:gridCol w:w="149"/>
        <w:gridCol w:w="1252"/>
        <w:gridCol w:w="95"/>
        <w:gridCol w:w="60"/>
        <w:gridCol w:w="149"/>
        <w:gridCol w:w="1252"/>
        <w:gridCol w:w="95"/>
        <w:gridCol w:w="60"/>
        <w:gridCol w:w="149"/>
        <w:gridCol w:w="1252"/>
        <w:gridCol w:w="311"/>
      </w:tblGrid>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95_20231231_zog1DiwaQAAk"/>
            <w:bookmarkEnd w:id="163"/>
          </w:p>
        </w:tc>
        <w:tc>
          <w:tcPr>
            <w:tcW w:w="140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96_20221231_zILS9tDWjXek"/>
            <w:bookmarkEnd w:id="164"/>
          </w:p>
        </w:tc>
        <w:tc>
          <w:tcPr>
            <w:tcW w:w="140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98_20211231_zhRNVqiZL5H1"/>
            <w:bookmarkEnd w:id="165"/>
          </w:p>
        </w:tc>
        <w:tc>
          <w:tcPr>
            <w:tcW w:w="140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311" w:type="dxa"/>
            <w:tcBorders/>
            <w:vAlign w:val="center"/>
          </w:tcPr>
          <w:p>
            <w:pPr>
              <w:pStyle w:val="TableContents"/>
              <w:bidi w:val="0"/>
              <w:spacing w:before="0" w:after="283"/>
              <w:jc w:val="left"/>
              <w:rPr/>
            </w:pPr>
            <w:r>
              <w:rPr/>
              <w:t> </w:t>
            </w:r>
          </w:p>
        </w:tc>
      </w:tr>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311" w:type="dxa"/>
            <w:tcBorders/>
            <w:vAlign w:val="center"/>
          </w:tcPr>
          <w:p>
            <w:pPr>
              <w:pStyle w:val="TableContents"/>
              <w:bidi w:val="0"/>
              <w:spacing w:before="0" w:after="283"/>
              <w:jc w:val="left"/>
              <w:rPr/>
            </w:pPr>
            <w:r>
              <w:rPr/>
              <w:t> </w:t>
            </w:r>
          </w:p>
        </w:tc>
      </w:tr>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3"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311" w:type="dxa"/>
            <w:tcBorders/>
            <w:vAlign w:val="center"/>
          </w:tcPr>
          <w:p>
            <w:pPr>
              <w:pStyle w:val="TableContents"/>
              <w:bidi w:val="0"/>
              <w:spacing w:before="0" w:after="283"/>
              <w:jc w:val="left"/>
              <w:rPr/>
            </w:pPr>
            <w:r>
              <w:rPr/>
              <w:t> </w:t>
            </w:r>
            <w:bookmarkStart w:id="166" w:name="xdx_40B_eus-gaap--AssetsAbstract_iB_zwql"/>
            <w:bookmarkEnd w:id="166"/>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bookmarkStart w:id="167" w:name="xdx_404_eus-gaap--AssetsCurrentAbstract_"/>
            <w:bookmarkEnd w:id="167"/>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200"/>
              <w:jc w:val="left"/>
              <w:rPr/>
            </w:pPr>
            <w:r>
              <w:rPr/>
              <w:t> </w:t>
            </w:r>
            <w:bookmarkStart w:id="168" w:name="xdx_402_eus-gaap--CashAndCashEquivalents"/>
            <w:bookmarkEnd w:id="168"/>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37,240,162</w:t>
            </w:r>
          </w:p>
        </w:tc>
        <w:tc>
          <w:tcPr>
            <w:tcW w:w="311" w:type="dxa"/>
            <w:tcBorders/>
            <w:shd w:fill="CCEEFF" w:val="clear"/>
            <w:vAlign w:val="center"/>
          </w:tcPr>
          <w:p>
            <w:pPr>
              <w:pStyle w:val="TableContents"/>
              <w:bidi w:val="0"/>
              <w:spacing w:before="0" w:after="283"/>
              <w:ind w:left="0" w:right="0" w:firstLine="200"/>
              <w:jc w:val="left"/>
              <w:rPr/>
            </w:pPr>
            <w:r>
              <w:rPr/>
              <w:t> </w:t>
            </w:r>
            <w:bookmarkStart w:id="169" w:name="xdx_40F_eus-gaap--MarketableSecuritiesCu"/>
            <w:bookmarkEnd w:id="169"/>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Marketable securities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15,084,284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11" w:type="dxa"/>
            <w:tcBorders/>
            <w:shd w:fill="FFFFFF" w:val="clear"/>
            <w:vAlign w:val="center"/>
          </w:tcPr>
          <w:p>
            <w:pPr>
              <w:pStyle w:val="TableContents"/>
              <w:bidi w:val="0"/>
              <w:spacing w:before="0" w:after="283"/>
              <w:ind w:left="0" w:right="0" w:firstLine="200"/>
              <w:jc w:val="left"/>
              <w:rPr/>
            </w:pPr>
            <w:r>
              <w:rPr/>
              <w:t> </w:t>
            </w:r>
            <w:bookmarkStart w:id="170" w:name="xdx_40E_eus-gaap--PrepaidExpenseAndOther"/>
            <w:bookmarkEnd w:id="170"/>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2,480,554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1,519,023</w:t>
            </w:r>
          </w:p>
        </w:tc>
        <w:tc>
          <w:tcPr>
            <w:tcW w:w="311" w:type="dxa"/>
            <w:tcBorders/>
            <w:shd w:fill="CCEEFF" w:val="clear"/>
            <w:vAlign w:val="center"/>
          </w:tcPr>
          <w:p>
            <w:pPr>
              <w:pStyle w:val="TableContents"/>
              <w:bidi w:val="0"/>
              <w:spacing w:before="0" w:after="283"/>
              <w:jc w:val="left"/>
              <w:rPr/>
            </w:pPr>
            <w:r>
              <w:rPr/>
              <w:t> </w:t>
            </w:r>
            <w:bookmarkStart w:id="171" w:name="xdx_40C_eus-gaap--AssetsCurrent_i02TI_pp"/>
            <w:bookmarkEnd w:id="171"/>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Total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21,256,258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31,721,368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38,759,185</w:t>
            </w:r>
          </w:p>
        </w:tc>
        <w:tc>
          <w:tcPr>
            <w:tcW w:w="311" w:type="dxa"/>
            <w:tcBorders/>
            <w:shd w:fill="FFFFFF" w:val="clear"/>
            <w:vAlign w:val="center"/>
          </w:tcPr>
          <w:p>
            <w:pPr>
              <w:pStyle w:val="TableContents"/>
              <w:bidi w:val="0"/>
              <w:spacing w:before="0" w:after="283"/>
              <w:jc w:val="left"/>
              <w:rPr/>
            </w:pPr>
            <w:r>
              <w:rPr/>
              <w:t> </w:t>
            </w:r>
          </w:p>
        </w:tc>
      </w:tr>
      <w:tr>
        <w:trPr/>
        <w:tc>
          <w:tcPr>
            <w:tcW w:w="53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bookmarkStart w:id="172" w:name="xdx_401_eus-gaap--AssetsNoncurrentAbstra"/>
            <w:bookmarkEnd w:id="172"/>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53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ind w:left="0" w:right="0" w:firstLine="200"/>
              <w:jc w:val="left"/>
              <w:rPr/>
            </w:pPr>
            <w:r>
              <w:rPr/>
              <w:t> </w:t>
            </w:r>
            <w:bookmarkStart w:id="173" w:name="xdx_40A_eus-gaap--PropertyPlantAndEquipm"/>
            <w:bookmarkEnd w:id="173"/>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23,090</w:t>
            </w:r>
          </w:p>
        </w:tc>
        <w:tc>
          <w:tcPr>
            <w:tcW w:w="311" w:type="dxa"/>
            <w:tcBorders/>
            <w:shd w:fill="FFFFFF" w:val="clear"/>
            <w:vAlign w:val="center"/>
          </w:tcPr>
          <w:p>
            <w:pPr>
              <w:pStyle w:val="TableContents"/>
              <w:bidi w:val="0"/>
              <w:spacing w:before="0" w:after="283"/>
              <w:ind w:left="0" w:right="0" w:firstLine="200"/>
              <w:jc w:val="left"/>
              <w:rPr/>
            </w:pPr>
            <w:r>
              <w:rPr/>
              <w:t> </w:t>
            </w:r>
            <w:bookmarkStart w:id="174" w:name="xdx_401_eus-gaap--OtherAssetsNoncurrent_"/>
            <w:bookmarkEnd w:id="174"/>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1,241,215</w:t>
            </w:r>
          </w:p>
        </w:tc>
        <w:tc>
          <w:tcPr>
            <w:tcW w:w="311" w:type="dxa"/>
            <w:tcBorders/>
            <w:shd w:fill="CCEEFF" w:val="clear"/>
            <w:vAlign w:val="center"/>
          </w:tcPr>
          <w:p>
            <w:pPr>
              <w:pStyle w:val="TableContents"/>
              <w:bidi w:val="0"/>
              <w:spacing w:before="0" w:after="283"/>
              <w:ind w:left="0" w:right="0" w:firstLine="200"/>
              <w:jc w:val="left"/>
              <w:rPr/>
            </w:pPr>
            <w:r>
              <w:rPr/>
              <w:t> </w:t>
            </w:r>
            <w:bookmarkStart w:id="175" w:name="xdx_40B_eus-gaap--OtherAssetsNoncurrent_"/>
            <w:bookmarkEnd w:id="175"/>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 - related party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3,350</w:t>
            </w:r>
          </w:p>
        </w:tc>
        <w:tc>
          <w:tcPr>
            <w:tcW w:w="311" w:type="dxa"/>
            <w:tcBorders/>
            <w:shd w:fill="FFFFFF" w:val="clear"/>
            <w:vAlign w:val="center"/>
          </w:tcPr>
          <w:p>
            <w:pPr>
              <w:pStyle w:val="TableContents"/>
              <w:bidi w:val="0"/>
              <w:spacing w:before="0" w:after="283"/>
              <w:ind w:left="0" w:right="0" w:firstLine="200"/>
              <w:jc w:val="left"/>
              <w:rPr/>
            </w:pPr>
            <w:r>
              <w:rPr/>
              <w:t> </w:t>
            </w:r>
            <w:bookmarkStart w:id="176" w:name="xdx_408_eus-gaap--OtherAssetsNoncurrent_"/>
            <w:bookmarkEnd w:id="176"/>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3,350</w:t>
            </w:r>
          </w:p>
        </w:tc>
        <w:tc>
          <w:tcPr>
            <w:tcW w:w="311" w:type="dxa"/>
            <w:tcBorders/>
            <w:shd w:fill="FFFFFF" w:val="clear"/>
            <w:vAlign w:val="center"/>
          </w:tcPr>
          <w:p>
            <w:pPr>
              <w:pStyle w:val="TableContents"/>
              <w:bidi w:val="0"/>
              <w:spacing w:before="0" w:after="283"/>
              <w:jc w:val="left"/>
              <w:rPr/>
            </w:pPr>
            <w:r>
              <w:rPr/>
              <w:t> </w:t>
            </w:r>
            <w:bookmarkStart w:id="177" w:name="xdx_40D_eus-gaap--AssetsNoncurrent_i02TI"/>
            <w:bookmarkEnd w:id="177"/>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Total non-current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1,090,887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1,267,655</w:t>
            </w:r>
          </w:p>
        </w:tc>
        <w:tc>
          <w:tcPr>
            <w:tcW w:w="311" w:type="dxa"/>
            <w:tcBorders/>
            <w:shd w:fill="CCEEFF" w:val="clear"/>
            <w:vAlign w:val="center"/>
          </w:tcPr>
          <w:p>
            <w:pPr>
              <w:pStyle w:val="TableContents"/>
              <w:bidi w:val="0"/>
              <w:spacing w:before="0" w:after="283"/>
              <w:jc w:val="left"/>
              <w:rPr/>
            </w:pPr>
            <w:r>
              <w:rPr/>
              <w:t> </w:t>
            </w:r>
            <w:bookmarkStart w:id="178" w:name="xdx_409_eus-gaap--Assets_i01TI_pp0p0_mtA"/>
            <w:bookmarkEnd w:id="178"/>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22,347,145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33,437,860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40,026,840</w:t>
            </w:r>
          </w:p>
        </w:tc>
        <w:tc>
          <w:tcPr>
            <w:tcW w:w="311" w:type="dxa"/>
            <w:tcBorders/>
            <w:shd w:fill="FFFFFF" w:val="clear"/>
            <w:vAlign w:val="center"/>
          </w:tcPr>
          <w:p>
            <w:pPr>
              <w:pStyle w:val="TableContents"/>
              <w:bidi w:val="0"/>
              <w:spacing w:before="0" w:after="283"/>
              <w:jc w:val="left"/>
              <w:rPr/>
            </w:pPr>
            <w:r>
              <w:rPr/>
              <w:t> </w:t>
            </w:r>
          </w:p>
        </w:tc>
      </w:tr>
      <w:tr>
        <w:trPr/>
        <w:tc>
          <w:tcPr>
            <w:tcW w:w="53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bookmarkStart w:id="179" w:name="xdx_40F_eus-gaap--LiabilitiesAndStockhol"/>
            <w:bookmarkEnd w:id="179"/>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bookmarkStart w:id="180" w:name="xdx_409_eus-gaap--LiabilitiesCurrentAbst"/>
            <w:bookmarkEnd w:id="180"/>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ind w:left="0" w:right="0" w:firstLine="200"/>
              <w:jc w:val="left"/>
              <w:rPr/>
            </w:pPr>
            <w:r>
              <w:rPr/>
              <w:t> </w:t>
            </w:r>
            <w:bookmarkStart w:id="181" w:name="xdx_40C_eus-gaap--AccountsPayableCurrent"/>
            <w:bookmarkEnd w:id="181"/>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1,042,054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164,819</w:t>
            </w:r>
          </w:p>
        </w:tc>
        <w:tc>
          <w:tcPr>
            <w:tcW w:w="311" w:type="dxa"/>
            <w:tcBorders/>
            <w:shd w:fill="FFFFFF" w:val="clear"/>
            <w:vAlign w:val="center"/>
          </w:tcPr>
          <w:p>
            <w:pPr>
              <w:pStyle w:val="TableContents"/>
              <w:bidi w:val="0"/>
              <w:spacing w:before="0" w:after="283"/>
              <w:ind w:left="0" w:right="0" w:firstLine="200"/>
              <w:jc w:val="left"/>
              <w:rPr/>
            </w:pPr>
            <w:r>
              <w:rPr/>
              <w:t> </w:t>
            </w:r>
            <w:bookmarkStart w:id="182" w:name="xdx_404_eus-gaap--AccountsPayableCurrent"/>
            <w:bookmarkEnd w:id="182"/>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 related party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25,047</w:t>
            </w:r>
          </w:p>
        </w:tc>
        <w:tc>
          <w:tcPr>
            <w:tcW w:w="311" w:type="dxa"/>
            <w:tcBorders/>
            <w:shd w:fill="CCEEFF" w:val="clear"/>
            <w:vAlign w:val="center"/>
          </w:tcPr>
          <w:p>
            <w:pPr>
              <w:pStyle w:val="TableContents"/>
              <w:bidi w:val="0"/>
              <w:spacing w:before="0" w:after="283"/>
              <w:ind w:left="0" w:right="0" w:firstLine="200"/>
              <w:jc w:val="left"/>
              <w:rPr/>
            </w:pPr>
            <w:r>
              <w:rPr/>
              <w:t> </w:t>
            </w:r>
            <w:bookmarkStart w:id="183" w:name="xdx_400_eus-gaap--AccountsPayableCurrent"/>
            <w:bookmarkEnd w:id="183"/>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25,047</w:t>
            </w:r>
          </w:p>
        </w:tc>
        <w:tc>
          <w:tcPr>
            <w:tcW w:w="311" w:type="dxa"/>
            <w:tcBorders/>
            <w:shd w:fill="CCEEFF" w:val="clear"/>
            <w:vAlign w:val="center"/>
          </w:tcPr>
          <w:p>
            <w:pPr>
              <w:pStyle w:val="TableContents"/>
              <w:bidi w:val="0"/>
              <w:spacing w:before="0" w:after="283"/>
              <w:ind w:left="0" w:right="0" w:firstLine="200"/>
              <w:jc w:val="left"/>
              <w:rPr/>
            </w:pPr>
            <w:r>
              <w:rPr/>
              <w:t> </w:t>
            </w:r>
            <w:bookmarkStart w:id="184" w:name="xdx_408_eus-gaap--AccruedLiabilitiesCurr"/>
            <w:bookmarkEnd w:id="184"/>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712,313</w:t>
            </w:r>
          </w:p>
        </w:tc>
        <w:tc>
          <w:tcPr>
            <w:tcW w:w="311" w:type="dxa"/>
            <w:tcBorders/>
            <w:shd w:fill="FFFFFF" w:val="clear"/>
            <w:vAlign w:val="center"/>
          </w:tcPr>
          <w:p>
            <w:pPr>
              <w:pStyle w:val="TableContents"/>
              <w:bidi w:val="0"/>
              <w:spacing w:before="0" w:after="283"/>
              <w:ind w:left="0" w:right="0" w:firstLine="200"/>
              <w:jc w:val="left"/>
              <w:rPr/>
            </w:pPr>
            <w:r>
              <w:rPr/>
              <w:t> </w:t>
            </w:r>
            <w:bookmarkStart w:id="185" w:name="xdx_40E_eus-gaap--AccruedLiabilitiesCurr"/>
            <w:bookmarkEnd w:id="185"/>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 related party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132,141</w:t>
            </w:r>
          </w:p>
        </w:tc>
        <w:tc>
          <w:tcPr>
            <w:tcW w:w="311" w:type="dxa"/>
            <w:tcBorders/>
            <w:shd w:fill="CCEEFF" w:val="clear"/>
            <w:vAlign w:val="center"/>
          </w:tcPr>
          <w:p>
            <w:pPr>
              <w:pStyle w:val="TableContents"/>
              <w:bidi w:val="0"/>
              <w:spacing w:before="0" w:after="283"/>
              <w:ind w:left="0" w:right="0" w:firstLine="200"/>
              <w:jc w:val="left"/>
              <w:rPr/>
            </w:pPr>
            <w:r>
              <w:rPr/>
              <w:t> </w:t>
            </w:r>
            <w:bookmarkStart w:id="186" w:name="xdx_40F_eus-gaap--AccruedLiabilitiesCurr"/>
            <w:bookmarkEnd w:id="186"/>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132,141</w:t>
            </w:r>
          </w:p>
        </w:tc>
        <w:tc>
          <w:tcPr>
            <w:tcW w:w="311" w:type="dxa"/>
            <w:tcBorders/>
            <w:shd w:fill="CCEEFF" w:val="clear"/>
            <w:vAlign w:val="center"/>
          </w:tcPr>
          <w:p>
            <w:pPr>
              <w:pStyle w:val="TableContents"/>
              <w:bidi w:val="0"/>
              <w:spacing w:before="0" w:after="283"/>
              <w:ind w:left="0" w:right="0" w:firstLine="200"/>
              <w:jc w:val="left"/>
              <w:rPr/>
            </w:pPr>
            <w:r>
              <w:rPr/>
              <w:t> </w:t>
            </w:r>
            <w:bookmarkStart w:id="187" w:name="xdx_402_eus-gaap--OtherLiabilitiesCurren"/>
            <w:bookmarkEnd w:id="187"/>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255,062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100,719</w:t>
            </w:r>
          </w:p>
        </w:tc>
        <w:tc>
          <w:tcPr>
            <w:tcW w:w="311" w:type="dxa"/>
            <w:tcBorders/>
            <w:shd w:fill="FFFFFF" w:val="clear"/>
            <w:vAlign w:val="center"/>
          </w:tcPr>
          <w:p>
            <w:pPr>
              <w:pStyle w:val="TableContents"/>
              <w:bidi w:val="0"/>
              <w:spacing w:before="0" w:after="283"/>
              <w:jc w:val="left"/>
              <w:rPr/>
            </w:pPr>
            <w:r>
              <w:rPr/>
              <w:t> </w:t>
            </w:r>
            <w:bookmarkStart w:id="188" w:name="xdx_40E_eus-gaap--LiabilitiesCurrent_i02"/>
            <w:bookmarkEnd w:id="188"/>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Total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1,735,639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2,183,513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1,135,039</w:t>
            </w:r>
          </w:p>
        </w:tc>
        <w:tc>
          <w:tcPr>
            <w:tcW w:w="311" w:type="dxa"/>
            <w:tcBorders/>
            <w:shd w:fill="CCEEFF" w:val="clear"/>
            <w:vAlign w:val="center"/>
          </w:tcPr>
          <w:p>
            <w:pPr>
              <w:pStyle w:val="TableContents"/>
              <w:bidi w:val="0"/>
              <w:spacing w:before="0" w:after="283"/>
              <w:jc w:val="left"/>
              <w:rPr/>
            </w:pPr>
            <w:r>
              <w:rPr/>
              <w:t> </w:t>
            </w:r>
          </w:p>
        </w:tc>
      </w:tr>
      <w:tr>
        <w:trPr/>
        <w:tc>
          <w:tcPr>
            <w:tcW w:w="53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bookmarkStart w:id="189" w:name="xdx_406_eus-gaap--LiabilitiesNoncurrentA"/>
            <w:bookmarkEnd w:id="189"/>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ind w:left="0" w:right="0" w:firstLine="200"/>
              <w:jc w:val="left"/>
              <w:rPr/>
            </w:pPr>
            <w:r>
              <w:rPr/>
              <w:t> </w:t>
            </w:r>
            <w:bookmarkStart w:id="190" w:name="xdx_40E_eus-gaap--OtherLiabilitiesNoncur"/>
            <w:bookmarkEnd w:id="190"/>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11" w:type="dxa"/>
            <w:tcBorders/>
            <w:shd w:fill="FFFFFF" w:val="clear"/>
            <w:vAlign w:val="center"/>
          </w:tcPr>
          <w:p>
            <w:pPr>
              <w:pStyle w:val="TableContents"/>
              <w:bidi w:val="0"/>
              <w:spacing w:before="0" w:after="283"/>
              <w:ind w:left="0" w:right="0" w:firstLine="200"/>
              <w:jc w:val="left"/>
              <w:rPr/>
            </w:pPr>
            <w:r>
              <w:rPr/>
              <w:t> </w:t>
            </w:r>
            <w:bookmarkStart w:id="191" w:name="xdx_407_ecustom--RetirementBenefitObliga"/>
            <w:bookmarkEnd w:id="191"/>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Retirement benefit obligation</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30,618</w:t>
            </w:r>
          </w:p>
        </w:tc>
        <w:tc>
          <w:tcPr>
            <w:tcW w:w="311" w:type="dxa"/>
            <w:tcBorders/>
            <w:shd w:fill="CCEEFF" w:val="clear"/>
            <w:vAlign w:val="center"/>
          </w:tcPr>
          <w:p>
            <w:pPr>
              <w:pStyle w:val="TableContents"/>
              <w:bidi w:val="0"/>
              <w:spacing w:before="0" w:after="283"/>
              <w:jc w:val="left"/>
              <w:rPr/>
            </w:pPr>
            <w:r>
              <w:rPr/>
              <w:t> </w:t>
            </w:r>
            <w:bookmarkStart w:id="192" w:name="xdx_405_eus-gaap--LiabilitiesNoncurrent_"/>
            <w:bookmarkEnd w:id="192"/>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Total long-term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30,618</w:t>
            </w:r>
          </w:p>
        </w:tc>
        <w:tc>
          <w:tcPr>
            <w:tcW w:w="311" w:type="dxa"/>
            <w:tcBorders/>
            <w:shd w:fill="FFFFFF" w:val="clear"/>
            <w:vAlign w:val="center"/>
          </w:tcPr>
          <w:p>
            <w:pPr>
              <w:pStyle w:val="TableContents"/>
              <w:bidi w:val="0"/>
              <w:spacing w:before="0" w:after="283"/>
              <w:jc w:val="left"/>
              <w:rPr/>
            </w:pPr>
            <w:r>
              <w:rPr/>
              <w:t> </w:t>
            </w:r>
          </w:p>
        </w:tc>
      </w:tr>
      <w:tr>
        <w:trPr/>
        <w:tc>
          <w:tcPr>
            <w:tcW w:w="53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bookmarkStart w:id="193" w:name="xdx_404_eus-gaap--CommitmentsAndContinge"/>
            <w:bookmarkEnd w:id="193"/>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11" w:type="dxa"/>
            <w:tcBorders/>
            <w:shd w:fill="FFFFFF" w:val="clear"/>
            <w:vAlign w:val="center"/>
          </w:tcPr>
          <w:p>
            <w:pPr>
              <w:pStyle w:val="TableContents"/>
              <w:bidi w:val="0"/>
              <w:spacing w:before="0" w:after="283"/>
              <w:jc w:val="left"/>
              <w:rPr/>
            </w:pPr>
            <w:r>
              <w:rPr/>
              <w:t> </w:t>
            </w:r>
          </w:p>
        </w:tc>
      </w:tr>
      <w:tr>
        <w:trPr/>
        <w:tc>
          <w:tcPr>
            <w:tcW w:w="53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bookmarkStart w:id="194" w:name="xdx_40F_eus-gaap--StockholdersEquityAbst"/>
            <w:bookmarkEnd w:id="194"/>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Shareholders’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bookmarkStart w:id="195" w:name="xdx_40F_eus-gaap--CommonStockValue_i02I_"/>
            <w:bookmarkEnd w:id="195"/>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Ordinary shares, </w:t>
            </w:r>
            <w:bookmarkStart w:id="196" w:name="xdx_903_eus-gaap--CommonStockParOrStated"/>
            <w:bookmarkStart w:id="197" w:name="xdx_90E_eus-gaap--CommonStockParOrStated"/>
            <w:bookmarkEnd w:id="196"/>
            <w:bookmarkEnd w:id="197"/>
            <w:r>
              <w:rPr>
                <w:rFonts w:ascii="Times New Roman;Times;Serif" w:hAnsi="Times New Roman;Times;Serif"/>
              </w:rPr>
              <w:t xml:space="preserve">no par value, </w:t>
            </w:r>
            <w:bookmarkStart w:id="198" w:name="xdx_902_eus-gaap--CommonStockSharesAutho"/>
            <w:bookmarkStart w:id="199" w:name="xdx_901_eus-gaap--CommonStockSharesAutho"/>
            <w:bookmarkEnd w:id="198"/>
            <w:bookmarkEnd w:id="199"/>
            <w:r>
              <w:rPr>
                <w:rFonts w:ascii="Times New Roman;Times;Serif" w:hAnsi="Times New Roman;Times;Serif"/>
              </w:rPr>
              <w:t xml:space="preserve">59,700,000 shares authorized at December 31, 2023 and 2022, respectively; </w:t>
            </w:r>
            <w:bookmarkStart w:id="200" w:name="xdx_907_eus-gaap--CommonStockSharesOutst"/>
            <w:bookmarkStart w:id="201" w:name="xdx_900_eus-gaap--CommonStockSharesIssue"/>
            <w:bookmarkEnd w:id="200"/>
            <w:bookmarkEnd w:id="201"/>
            <w:r>
              <w:rPr>
                <w:rFonts w:ascii="Times New Roman;Times;Serif" w:hAnsi="Times New Roman;Times;Serif"/>
              </w:rPr>
              <w:t xml:space="preserve">18,216,958 and </w:t>
            </w:r>
            <w:bookmarkStart w:id="202" w:name="xdx_904_eus-gaap--CommonStockSharesOutst"/>
            <w:bookmarkStart w:id="203" w:name="xdx_901_eus-gaap--CommonStockSharesIssue"/>
            <w:bookmarkEnd w:id="202"/>
            <w:bookmarkEnd w:id="203"/>
            <w:r>
              <w:rPr>
                <w:rFonts w:ascii="Times New Roman;Times;Serif" w:hAnsi="Times New Roman;Times;Serif"/>
              </w:rPr>
              <w:t>18,216,858 shares issued and outstanding at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67,344,140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66,603,725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65,880,990</w:t>
            </w:r>
          </w:p>
        </w:tc>
        <w:tc>
          <w:tcPr>
            <w:tcW w:w="311" w:type="dxa"/>
            <w:tcBorders/>
            <w:shd w:fill="CCEEFF" w:val="clear"/>
            <w:vAlign w:val="center"/>
          </w:tcPr>
          <w:p>
            <w:pPr>
              <w:pStyle w:val="TableContents"/>
              <w:bidi w:val="0"/>
              <w:spacing w:before="0" w:after="283"/>
              <w:ind w:left="0" w:right="0" w:firstLine="200"/>
              <w:jc w:val="left"/>
              <w:rPr/>
            </w:pPr>
            <w:r>
              <w:rPr/>
              <w:t> </w:t>
            </w:r>
            <w:bookmarkStart w:id="204" w:name="xdx_402_eus-gaap--RetainedEarningsAccumu"/>
            <w:bookmarkEnd w:id="204"/>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(47,143,025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(35,465,559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(27,019,807</w:t>
            </w:r>
          </w:p>
        </w:tc>
        <w:tc>
          <w:tcPr>
            <w:tcW w:w="311" w:type="dxa"/>
            <w:tcBorders/>
            <w:shd w:fill="FFFFFF" w:val="clear"/>
            <w:vAlign w:val="center"/>
          </w:tcPr>
          <w:p>
            <w:pPr>
              <w:pStyle w:val="TableContents"/>
              <w:bidi w:val="0"/>
              <w:spacing w:before="0" w:after="283"/>
              <w:ind w:left="0" w:right="0" w:firstLine="200"/>
              <w:jc w:val="left"/>
              <w:rPr>
                <w:rFonts w:ascii="Times New Roman;Times;Serif" w:hAnsi="Times New Roman;Times;Serif"/>
              </w:rPr>
            </w:pPr>
            <w:r>
              <w:rPr>
                <w:rFonts w:ascii="Times New Roman;Times;Serif" w:hAnsi="Times New Roman;Times;Serif"/>
              </w:rPr>
              <w:t>)</w:t>
            </w:r>
            <w:bookmarkStart w:id="205" w:name="xdx_407_eus-gaap--AccumulatedOtherCompre"/>
            <w:bookmarkEnd w:id="205"/>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11" w:type="dxa"/>
            <w:tcBorders/>
            <w:shd w:fill="CCEEFF" w:val="clear"/>
            <w:vAlign w:val="center"/>
          </w:tcPr>
          <w:p>
            <w:pPr>
              <w:pStyle w:val="TableContents"/>
              <w:bidi w:val="0"/>
              <w:spacing w:before="0" w:after="283"/>
              <w:jc w:val="left"/>
              <w:rPr/>
            </w:pPr>
            <w:r>
              <w:rPr/>
              <w:t> </w:t>
            </w:r>
            <w:bookmarkStart w:id="206" w:name="xdx_400_eus-gaap--StockholdersEquity_i02"/>
            <w:bookmarkEnd w:id="206"/>
          </w:p>
        </w:tc>
      </w:tr>
      <w:tr>
        <w:trPr/>
        <w:tc>
          <w:tcPr>
            <w:tcW w:w="53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quotaholders’ and shareholders’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20,432,257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31,138,166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38,861,183</w:t>
            </w:r>
          </w:p>
        </w:tc>
        <w:tc>
          <w:tcPr>
            <w:tcW w:w="311" w:type="dxa"/>
            <w:tcBorders/>
            <w:shd w:fill="FFFFFF" w:val="clear"/>
            <w:vAlign w:val="center"/>
          </w:tcPr>
          <w:p>
            <w:pPr>
              <w:pStyle w:val="TableContents"/>
              <w:bidi w:val="0"/>
              <w:spacing w:before="0" w:after="283"/>
              <w:jc w:val="left"/>
              <w:rPr/>
            </w:pPr>
            <w:r>
              <w:rPr/>
              <w:t> </w:t>
            </w:r>
            <w:bookmarkStart w:id="207" w:name="xdx_40A_eus-gaap--LiabilitiesAndStockhol"/>
            <w:bookmarkEnd w:id="207"/>
          </w:p>
        </w:tc>
      </w:tr>
      <w:tr>
        <w:trPr/>
        <w:tc>
          <w:tcPr>
            <w:tcW w:w="532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22,347,145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33,437,860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40,026,840</w:t>
            </w:r>
          </w:p>
        </w:tc>
        <w:tc>
          <w:tcPr>
            <w:tcW w:w="3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8" w:name="ja_004"/>
      <w:bookmarkEnd w:id="208"/>
      <w:r>
        <w:rPr>
          <w:rFonts w:ascii="Times New Roman;Times;Serif" w:hAnsi="Times New Roman;Times;Serif"/>
          <w:b/>
          <w:i w:val="false"/>
          <w:caps w:val="false"/>
          <w:smallCaps w:val="false"/>
          <w:sz w:val="20"/>
        </w:rPr>
        <w:t>Genenta Science S.p.A.</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(formerly, Genenta Science S.r.l.)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Changes in Quotaholders’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9" w:name="xdx_309_114_z03BuE1wzEE7"/>
      <w:bookmarkStart w:id="210" w:name="xdx_309_114_z03BuE1wzEE7"/>
      <w:bookmarkEnd w:id="210"/>
    </w:p>
    <w:tbl>
      <w:tblPr>
        <w:tblW w:w="11290" w:type="dxa"/>
        <w:jc w:val="left"/>
        <w:tblInd w:w="0" w:type="dxa"/>
        <w:tblLayout w:type="fixed"/>
        <w:tblCellMar>
          <w:top w:w="0" w:type="dxa"/>
          <w:left w:w="0" w:type="dxa"/>
          <w:bottom w:w="0" w:type="dxa"/>
          <w:right w:w="0" w:type="dxa"/>
        </w:tblCellMar>
      </w:tblPr>
      <w:tblGrid>
        <w:gridCol w:w="1460"/>
        <w:gridCol w:w="60"/>
        <w:gridCol w:w="150"/>
        <w:gridCol w:w="815"/>
        <w:gridCol w:w="95"/>
        <w:gridCol w:w="60"/>
        <w:gridCol w:w="140"/>
        <w:gridCol w:w="1175"/>
        <w:gridCol w:w="95"/>
        <w:gridCol w:w="60"/>
        <w:gridCol w:w="140"/>
        <w:gridCol w:w="1100"/>
        <w:gridCol w:w="60"/>
        <w:gridCol w:w="60"/>
        <w:gridCol w:w="140"/>
        <w:gridCol w:w="1100"/>
        <w:gridCol w:w="60"/>
        <w:gridCol w:w="60"/>
        <w:gridCol w:w="140"/>
        <w:gridCol w:w="1175"/>
        <w:gridCol w:w="95"/>
        <w:gridCol w:w="60"/>
        <w:gridCol w:w="215"/>
        <w:gridCol w:w="1230"/>
        <w:gridCol w:w="60"/>
        <w:gridCol w:w="60"/>
        <w:gridCol w:w="140"/>
        <w:gridCol w:w="1175"/>
        <w:gridCol w:w="110"/>
      </w:tblGrid>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1" w:name="xdx_4BA_us-gaap--StatementEquityComponen"/>
            <w:bookmarkEnd w:id="211"/>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Corporate 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2" w:name="xdx_4BC_us-gaap--StatementEquityComponen"/>
            <w:bookmarkEnd w:id="212"/>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Additional paid-in 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3" w:name="xdx_4B1_us-gaap--StatementEquityComponen"/>
            <w:bookmarkEnd w:id="213"/>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stock, no par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4" w:name="xdx_4BA_us-gaap--StatementEquityComponen"/>
            <w:bookmarkEnd w:id="214"/>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Accumulated 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5" w:name="xdx_4B5_us-gaap--StatementEquityComponen"/>
            <w:bookmarkEnd w:id="215"/>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Accumulated other comprehensive 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6" w:name="xdx_4B8_zNCAfO72Gmki"/>
            <w:bookmarkEnd w:id="216"/>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110" w:type="dxa"/>
            <w:tcBorders/>
            <w:vAlign w:val="center"/>
          </w:tcPr>
          <w:p>
            <w:pPr>
              <w:pStyle w:val="TableContents"/>
              <w:bidi w:val="0"/>
              <w:spacing w:before="0" w:after="283"/>
              <w:jc w:val="center"/>
              <w:rPr/>
            </w:pPr>
            <w:r>
              <w:rPr/>
              <w:t> </w:t>
            </w:r>
            <w:bookmarkStart w:id="217" w:name="xdx_433_c20210101__20211231_eus-gaap--St"/>
            <w:bookmarkEnd w:id="217"/>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January 1, 2021</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36,604,728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218" w:name="xdx_98B_eus-gaap--SharesOutstanding_iS_c"/>
            <w:bookmarkEnd w:id="218"/>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(21,490,475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15,151,309</w:t>
            </w:r>
          </w:p>
        </w:tc>
        <w:tc>
          <w:tcPr>
            <w:tcW w:w="110" w:type="dxa"/>
            <w:tcBorders/>
            <w:shd w:fill="CCEEFF" w:val="clear"/>
            <w:vAlign w:val="center"/>
          </w:tcPr>
          <w:p>
            <w:pPr>
              <w:pStyle w:val="TableContents"/>
              <w:bidi w:val="0"/>
              <w:spacing w:before="0" w:after="283"/>
              <w:jc w:val="left"/>
              <w:rPr/>
            </w:pPr>
            <w:r>
              <w:rPr/>
              <w:t> </w:t>
            </w:r>
            <w:bookmarkStart w:id="219" w:name="xdx_402_eus-gaap--StockIssuedDuringPerio"/>
            <w:bookmarkEnd w:id="219"/>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 increase from exercise of options on Quota B</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w:t>
            </w:r>
          </w:p>
        </w:tc>
        <w:tc>
          <w:tcPr>
            <w:tcW w:w="110" w:type="dxa"/>
            <w:tcBorders/>
            <w:shd w:fill="FFFFFF" w:val="clear"/>
            <w:vAlign w:val="center"/>
          </w:tcPr>
          <w:p>
            <w:pPr>
              <w:pStyle w:val="TableContents"/>
              <w:bidi w:val="0"/>
              <w:spacing w:before="0" w:after="283"/>
              <w:jc w:val="left"/>
              <w:rPr/>
            </w:pPr>
            <w:r>
              <w:rPr/>
              <w:t> </w:t>
            </w:r>
            <w:bookmarkStart w:id="220" w:name="xdx_406_eus-gaap--AdjustmentsToAdditiona"/>
            <w:bookmarkEnd w:id="220"/>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497,104</w:t>
            </w:r>
          </w:p>
        </w:tc>
        <w:tc>
          <w:tcPr>
            <w:tcW w:w="110" w:type="dxa"/>
            <w:tcBorders/>
            <w:shd w:fill="CCEEFF" w:val="clear"/>
            <w:vAlign w:val="center"/>
          </w:tcPr>
          <w:p>
            <w:pPr>
              <w:pStyle w:val="TableContents"/>
              <w:bidi w:val="0"/>
              <w:spacing w:before="0" w:after="283"/>
              <w:jc w:val="left"/>
              <w:rPr/>
            </w:pPr>
            <w:r>
              <w:rPr/>
              <w:t> </w:t>
            </w:r>
            <w:bookmarkStart w:id="221" w:name="xdx_40C_eus-gaap--StockRepurchasedDuring"/>
            <w:bookmarkEnd w:id="221"/>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Quota B repurchased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2" w:name="xdx_40D_ecustom--CorporateCapitalAdjustm"/>
            <w:bookmarkEnd w:id="222"/>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capital adjustment from Srl to Spa</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23" w:name="xdx_98F_ecustom--CorporateCapitalAdjustm"/>
            <w:bookmarkEnd w:id="22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11,279,700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24" w:name="xdx_407_ecustom--CapitalIncreaseRelatedT"/>
            <w:bookmarkEnd w:id="224"/>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 increase related to SpA</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5" w:name="xdx_981_ecustom--CapitalIncreaseRelatedT"/>
            <w:bookmarkEnd w:id="225"/>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26" w:name="xdx_401_eus-gaap--StockIssuedDuringPerio"/>
            <w:bookmarkEnd w:id="226"/>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adjustment from Srl to SpA</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(37,089,431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37,089,431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27" w:name="xdx_40F_ecustom--CapitalIncreaseFromIpoN"/>
            <w:bookmarkEnd w:id="227"/>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 increase from IPO, net of issuance costs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8" w:name="xdx_988_ecustom--CapitalIncreaseFromIpoN"/>
            <w:bookmarkEnd w:id="22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3,216,858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28,741,559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28,741,559</w:t>
            </w:r>
          </w:p>
        </w:tc>
        <w:tc>
          <w:tcPr>
            <w:tcW w:w="110" w:type="dxa"/>
            <w:tcBorders/>
            <w:shd w:fill="FFFFFF" w:val="clear"/>
            <w:vAlign w:val="center"/>
          </w:tcPr>
          <w:p>
            <w:pPr>
              <w:pStyle w:val="TableContents"/>
              <w:bidi w:val="0"/>
              <w:spacing w:before="0" w:after="283"/>
              <w:jc w:val="left"/>
              <w:rPr/>
            </w:pPr>
            <w:r>
              <w:rPr/>
              <w:t> </w:t>
            </w:r>
            <w:bookmarkStart w:id="229" w:name="xdx_40C_eus-gaap--NetIncomeLoss_zDjRCuvW"/>
            <w:bookmarkEnd w:id="229"/>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(5,529,332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(5,529,332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0" w:name="xdx_43A_c20220101__20221231_eus-gaap--St"/>
            <w:bookmarkEnd w:id="230"/>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2021</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231" w:name="xdx_985_eus-gaap--SharesOutstanding_iS_c"/>
            <w:bookmarkEnd w:id="231"/>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18,216,858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65,880,990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(27,019,807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38,861,183</w:t>
            </w:r>
          </w:p>
        </w:tc>
        <w:tc>
          <w:tcPr>
            <w:tcW w:w="110" w:type="dxa"/>
            <w:tcBorders/>
            <w:shd w:fill="FFFFFF" w:val="clear"/>
            <w:vAlign w:val="center"/>
          </w:tcPr>
          <w:p>
            <w:pPr>
              <w:pStyle w:val="TableContents"/>
              <w:bidi w:val="0"/>
              <w:spacing w:before="0" w:after="283"/>
              <w:jc w:val="left"/>
              <w:rPr/>
            </w:pPr>
            <w:r>
              <w:rPr/>
              <w:t> </w:t>
            </w:r>
            <w:bookmarkStart w:id="232" w:name="xdx_406_eus-gaap--AdjustmentsToAdditiona"/>
            <w:bookmarkEnd w:id="232"/>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722,735</w:t>
            </w:r>
          </w:p>
        </w:tc>
        <w:tc>
          <w:tcPr>
            <w:tcW w:w="110" w:type="dxa"/>
            <w:tcBorders/>
            <w:shd w:fill="CCEEFF" w:val="clear"/>
            <w:vAlign w:val="center"/>
          </w:tcPr>
          <w:p>
            <w:pPr>
              <w:pStyle w:val="TableContents"/>
              <w:bidi w:val="0"/>
              <w:spacing w:before="0" w:after="283"/>
              <w:jc w:val="left"/>
              <w:rPr/>
            </w:pPr>
            <w:r>
              <w:rPr/>
              <w:t> </w:t>
            </w:r>
            <w:bookmarkStart w:id="233" w:name="xdx_402_eus-gaap--ForeignCurrencyTransac"/>
            <w:bookmarkEnd w:id="233"/>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32,011</w:t>
            </w:r>
          </w:p>
        </w:tc>
        <w:tc>
          <w:tcPr>
            <w:tcW w:w="110" w:type="dxa"/>
            <w:tcBorders/>
            <w:shd w:fill="FFFFFF" w:val="clear"/>
            <w:vAlign w:val="center"/>
          </w:tcPr>
          <w:p>
            <w:pPr>
              <w:pStyle w:val="TableContents"/>
              <w:bidi w:val="0"/>
              <w:spacing w:before="0" w:after="283"/>
              <w:jc w:val="left"/>
              <w:rPr/>
            </w:pPr>
            <w:r>
              <w:rPr/>
              <w:t> </w:t>
            </w:r>
            <w:bookmarkStart w:id="234" w:name="xdx_40C_eus-gaap--NetIncomeLoss_zTLwBNuv"/>
            <w:bookmarkEnd w:id="234"/>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(8,477,763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(8,477,763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5" w:name="xdx_43B_c20230101__20231231_eus-gaap--St"/>
            <w:bookmarkEnd w:id="235"/>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2022</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236" w:name="xdx_981_eus-gaap--SharesOutstanding_iS_c"/>
            <w:bookmarkEnd w:id="236"/>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18,216,858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66,603,725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(35,465,559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31,138,166</w:t>
            </w:r>
          </w:p>
        </w:tc>
        <w:tc>
          <w:tcPr>
            <w:tcW w:w="110" w:type="dxa"/>
            <w:tcBorders/>
            <w:shd w:fill="FFFFFF" w:val="clear"/>
            <w:vAlign w:val="center"/>
          </w:tcPr>
          <w:p>
            <w:pPr>
              <w:pStyle w:val="TableContents"/>
              <w:bidi w:val="0"/>
              <w:spacing w:before="0" w:after="283"/>
              <w:jc w:val="left"/>
              <w:rPr/>
            </w:pPr>
            <w:r>
              <w:rPr/>
              <w:t> </w:t>
            </w:r>
            <w:bookmarkStart w:id="237" w:name="xdx_430_c20230101__20231231_eus-gaap--St"/>
            <w:bookmarkEnd w:id="237"/>
          </w:p>
        </w:tc>
      </w:tr>
      <w:tr>
        <w:trPr/>
        <w:tc>
          <w:tcPr>
            <w:tcW w:w="1460" w:type="dxa"/>
            <w:tcBorders/>
            <w:shd w:fill="FFFFFF" w:val="clear"/>
            <w:vAlign w:val="center"/>
          </w:tcPr>
          <w:p>
            <w:pPr>
              <w:pStyle w:val="TableContents"/>
              <w:bidi w:val="0"/>
              <w:spacing w:before="0" w:after="283"/>
              <w:jc w:val="left"/>
              <w:rPr/>
            </w:pPr>
            <w:r>
              <w:rPr/>
              <w:t xml:space="preserve">Balance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238" w:name="xdx_98C_eus-gaap--SharesOutstanding_iS_c"/>
            <w:bookmarkEnd w:id="238"/>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18,216,858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66,603,725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(35,465,559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31,138,166</w:t>
            </w:r>
          </w:p>
        </w:tc>
        <w:tc>
          <w:tcPr>
            <w:tcW w:w="110" w:type="dxa"/>
            <w:tcBorders/>
            <w:shd w:fill="FFFFFF" w:val="clear"/>
            <w:vAlign w:val="center"/>
          </w:tcPr>
          <w:p>
            <w:pPr>
              <w:pStyle w:val="TableContents"/>
              <w:bidi w:val="0"/>
              <w:spacing w:before="0" w:after="283"/>
              <w:jc w:val="left"/>
              <w:rPr/>
            </w:pPr>
            <w:r>
              <w:rPr/>
              <w:t> </w:t>
            </w:r>
            <w:bookmarkStart w:id="239" w:name="xdx_406_eus-gaap--AdjustmentsToAdditiona"/>
            <w:bookmarkEnd w:id="239"/>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739,884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739,884</w:t>
            </w:r>
          </w:p>
        </w:tc>
        <w:tc>
          <w:tcPr>
            <w:tcW w:w="110" w:type="dxa"/>
            <w:tcBorders/>
            <w:shd w:fill="CCEEFF" w:val="clear"/>
            <w:vAlign w:val="center"/>
          </w:tcPr>
          <w:p>
            <w:pPr>
              <w:pStyle w:val="TableContents"/>
              <w:bidi w:val="0"/>
              <w:spacing w:before="0" w:after="283"/>
              <w:jc w:val="left"/>
              <w:rPr/>
            </w:pPr>
            <w:r>
              <w:rPr/>
              <w:t> </w:t>
            </w:r>
            <w:bookmarkStart w:id="240" w:name="xdx_409_ecustom--CapitalIncreaseAtmProgr"/>
            <w:bookmarkEnd w:id="240"/>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Capital increase ATM Offering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41" w:name="xdx_981_ecustom--CapitalIncreaseAtmProgr"/>
            <w:bookmarkEnd w:id="241"/>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110" w:type="dxa"/>
            <w:tcBorders/>
            <w:shd w:fill="FFFFFF" w:val="clear"/>
            <w:vAlign w:val="center"/>
          </w:tcPr>
          <w:p>
            <w:pPr>
              <w:pStyle w:val="TableContents"/>
              <w:bidi w:val="0"/>
              <w:spacing w:before="0" w:after="283"/>
              <w:jc w:val="left"/>
              <w:rPr/>
            </w:pPr>
            <w:r>
              <w:rPr/>
              <w:t> </w:t>
            </w:r>
            <w:bookmarkStart w:id="242" w:name="xdx_407_eus-gaap--OtherComprehensiveInco"/>
            <w:bookmarkEnd w:id="242"/>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199,131</w:t>
            </w:r>
          </w:p>
        </w:tc>
        <w:tc>
          <w:tcPr>
            <w:tcW w:w="110" w:type="dxa"/>
            <w:tcBorders/>
            <w:shd w:fill="CCEEFF" w:val="clear"/>
            <w:vAlign w:val="center"/>
          </w:tcPr>
          <w:p>
            <w:pPr>
              <w:pStyle w:val="TableContents"/>
              <w:bidi w:val="0"/>
              <w:spacing w:before="0" w:after="283"/>
              <w:jc w:val="left"/>
              <w:rPr/>
            </w:pPr>
            <w:r>
              <w:rPr/>
              <w:t> </w:t>
            </w:r>
            <w:bookmarkStart w:id="243" w:name="xdx_40C_eus-gaap--NetIncomeLoss_zMhPvNfz"/>
            <w:bookmarkEnd w:id="243"/>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(11,645,455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(11,645,455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4" w:name="xdx_43A_c20230101__20231231_eus-gaap--St"/>
            <w:bookmarkEnd w:id="244"/>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2023</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245" w:name="xdx_988_eus-gaap--SharesOutstanding_iE_c"/>
            <w:bookmarkEnd w:id="245"/>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18,216,958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67,344,140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(47,143,025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20,432,257</w:t>
            </w:r>
          </w:p>
        </w:tc>
        <w:tc>
          <w:tcPr>
            <w:tcW w:w="110" w:type="dxa"/>
            <w:tcBorders/>
            <w:shd w:fill="CCEEFF" w:val="clear"/>
            <w:vAlign w:val="center"/>
          </w:tcPr>
          <w:p>
            <w:pPr>
              <w:pStyle w:val="TableContents"/>
              <w:bidi w:val="0"/>
              <w:spacing w:before="0" w:after="283"/>
              <w:jc w:val="left"/>
              <w:rPr/>
            </w:pPr>
            <w:r>
              <w:rPr/>
              <w:t> </w:t>
            </w:r>
            <w:bookmarkStart w:id="246" w:name="xdx_431_c20230101__20231231_eus-gaap--St"/>
            <w:bookmarkEnd w:id="246"/>
          </w:p>
        </w:tc>
      </w:tr>
      <w:tr>
        <w:trPr/>
        <w:tc>
          <w:tcPr>
            <w:tcW w:w="146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247" w:name="xdx_989_eus-gaap--SharesOutstanding_iE_c"/>
            <w:bookmarkEnd w:id="247"/>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18,216,958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67,344,140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(47,143,025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20,432,257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8" w:name="ja_005"/>
      <w:bookmarkEnd w:id="248"/>
      <w:r>
        <w:rPr>
          <w:rFonts w:ascii="Times New Roman;Times;Serif" w:hAnsi="Times New Roman;Times;Serif"/>
          <w:b/>
          <w:i w:val="false"/>
          <w:caps w:val="false"/>
          <w:smallCaps w:val="false"/>
          <w:sz w:val="20"/>
        </w:rPr>
        <w:t>Genenta Science S.p.A.</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(formerly, Genenta Science S.r.l.)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9" w:name="xdx_30E_112_zB1QP88ATEUk"/>
      <w:bookmarkStart w:id="250" w:name="xdx_30E_112_zB1QP88ATEUk"/>
      <w:bookmarkEnd w:id="250"/>
    </w:p>
    <w:tbl>
      <w:tblPr>
        <w:tblW w:w="10205" w:type="dxa"/>
        <w:jc w:val="left"/>
        <w:tblInd w:w="0" w:type="dxa"/>
        <w:tblLayout w:type="fixed"/>
        <w:tblCellMar>
          <w:top w:w="0" w:type="dxa"/>
          <w:left w:w="0" w:type="dxa"/>
          <w:bottom w:w="0" w:type="dxa"/>
          <w:right w:w="0" w:type="dxa"/>
        </w:tblCellMar>
      </w:tblPr>
      <w:tblGrid>
        <w:gridCol w:w="5730"/>
        <w:gridCol w:w="60"/>
        <w:gridCol w:w="140"/>
        <w:gridCol w:w="1175"/>
        <w:gridCol w:w="95"/>
        <w:gridCol w:w="60"/>
        <w:gridCol w:w="140"/>
        <w:gridCol w:w="1100"/>
        <w:gridCol w:w="95"/>
        <w:gridCol w:w="60"/>
        <w:gridCol w:w="140"/>
        <w:gridCol w:w="1100"/>
        <w:gridCol w:w="310"/>
      </w:tblGrid>
      <w:tr>
        <w:trPr/>
        <w:tc>
          <w:tcPr>
            <w:tcW w:w="5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51" w:name="xdx_49A_20230101__20231231_zeGNekpHeK17"/>
            <w:bookmarkEnd w:id="251"/>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2" w:name="xdx_494_20220101__20221231_zQdK21Ltfpp8"/>
            <w:bookmarkEnd w:id="252"/>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3" w:name="xdx_49B_20210101__20211231_zDzWSZgjeZGj"/>
            <w:bookmarkEnd w:id="253"/>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310" w:type="dxa"/>
            <w:tcBorders/>
            <w:vAlign w:val="center"/>
          </w:tcPr>
          <w:p>
            <w:pPr>
              <w:pStyle w:val="TableContents"/>
              <w:bidi w:val="0"/>
              <w:spacing w:before="0" w:after="283"/>
              <w:jc w:val="left"/>
              <w:rPr/>
            </w:pPr>
            <w:r>
              <w:rPr/>
              <w:t> </w:t>
            </w:r>
          </w:p>
        </w:tc>
      </w:tr>
      <w:tr>
        <w:trPr/>
        <w:tc>
          <w:tcPr>
            <w:tcW w:w="5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0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310" w:type="dxa"/>
            <w:tcBorders/>
            <w:vAlign w:val="center"/>
          </w:tcPr>
          <w:p>
            <w:pPr>
              <w:pStyle w:val="TableContents"/>
              <w:bidi w:val="0"/>
              <w:spacing w:before="0" w:after="283"/>
              <w:jc w:val="left"/>
              <w:rPr/>
            </w:pPr>
            <w:r>
              <w:rPr/>
              <w:t> </w:t>
            </w:r>
          </w:p>
        </w:tc>
      </w:tr>
      <w:tr>
        <w:trPr/>
        <w:tc>
          <w:tcPr>
            <w:tcW w:w="5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310" w:type="dxa"/>
            <w:tcBorders/>
            <w:vAlign w:val="center"/>
          </w:tcPr>
          <w:p>
            <w:pPr>
              <w:pStyle w:val="TableContents"/>
              <w:bidi w:val="0"/>
              <w:spacing w:before="0" w:after="283"/>
              <w:jc w:val="left"/>
              <w:rPr/>
            </w:pPr>
            <w:r>
              <w:rPr/>
              <w:t> </w:t>
            </w:r>
          </w:p>
        </w:tc>
      </w:tr>
      <w:tr>
        <w:trPr/>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5"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310" w:type="dxa"/>
            <w:tcBorders/>
            <w:vAlign w:val="center"/>
          </w:tcPr>
          <w:p>
            <w:pPr>
              <w:pStyle w:val="TableContents"/>
              <w:bidi w:val="0"/>
              <w:spacing w:before="0" w:after="283"/>
              <w:jc w:val="left"/>
              <w:rPr/>
            </w:pPr>
            <w:r>
              <w:rPr/>
              <w:t> </w:t>
            </w:r>
            <w:bookmarkStart w:id="254" w:name="xdx_409_eus-gaap--NetCashProvidedByUsedI"/>
            <w:bookmarkEnd w:id="254"/>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bookmarkStart w:id="255" w:name="xdx_404_eus-gaap--NetIncomeLoss_i01_pp0p"/>
            <w:bookmarkEnd w:id="255"/>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(11,645,455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(8,477,763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(5,529,332</w:t>
            </w:r>
          </w:p>
        </w:tc>
        <w:tc>
          <w:tcPr>
            <w:tcW w:w="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6" w:name="xdx_40D_eus-gaap--AdjustmentsToReconcile"/>
            <w:bookmarkEnd w:id="256"/>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ind w:left="0" w:right="0" w:firstLine="200"/>
              <w:jc w:val="left"/>
              <w:rPr/>
            </w:pPr>
            <w:r>
              <w:rPr/>
              <w:t> </w:t>
            </w:r>
            <w:bookmarkStart w:id="257" w:name="xdx_400_eus-gaap--ForeignCurrencyTransac"/>
            <w:bookmarkEnd w:id="257"/>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exchange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10" w:type="dxa"/>
            <w:tcBorders/>
            <w:shd w:fill="FFFFFF" w:val="clear"/>
            <w:vAlign w:val="center"/>
          </w:tcPr>
          <w:p>
            <w:pPr>
              <w:pStyle w:val="TableContents"/>
              <w:bidi w:val="0"/>
              <w:spacing w:before="0" w:after="283"/>
              <w:ind w:left="0" w:right="0" w:firstLine="200"/>
              <w:jc w:val="left"/>
              <w:rPr/>
            </w:pPr>
            <w:r>
              <w:rPr/>
              <w:t> </w:t>
            </w:r>
            <w:bookmarkStart w:id="258" w:name="xdx_409_eus-gaap--DepreciationDepletionA"/>
            <w:bookmarkEnd w:id="258"/>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4,889</w:t>
            </w:r>
          </w:p>
        </w:tc>
        <w:tc>
          <w:tcPr>
            <w:tcW w:w="310" w:type="dxa"/>
            <w:tcBorders/>
            <w:shd w:fill="CCEEFF" w:val="clear"/>
            <w:vAlign w:val="center"/>
          </w:tcPr>
          <w:p>
            <w:pPr>
              <w:pStyle w:val="TableContents"/>
              <w:bidi w:val="0"/>
              <w:spacing w:before="0" w:after="283"/>
              <w:ind w:left="0" w:right="0" w:firstLine="200"/>
              <w:jc w:val="left"/>
              <w:rPr/>
            </w:pPr>
            <w:r>
              <w:rPr/>
              <w:t> </w:t>
            </w:r>
            <w:bookmarkStart w:id="259" w:name="xdx_40A_eus-gaap--PensionAndOtherPostret"/>
            <w:bookmarkEnd w:id="259"/>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Retirement benefit obligation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13,231</w:t>
            </w:r>
          </w:p>
        </w:tc>
        <w:tc>
          <w:tcPr>
            <w:tcW w:w="310" w:type="dxa"/>
            <w:tcBorders/>
            <w:shd w:fill="FFFFFF" w:val="clear"/>
            <w:vAlign w:val="center"/>
          </w:tcPr>
          <w:p>
            <w:pPr>
              <w:pStyle w:val="TableContents"/>
              <w:bidi w:val="0"/>
              <w:spacing w:before="0" w:after="283"/>
              <w:ind w:left="0" w:right="0" w:firstLine="200"/>
              <w:jc w:val="left"/>
              <w:rPr/>
            </w:pPr>
            <w:r>
              <w:rPr/>
              <w:t> </w:t>
            </w:r>
            <w:bookmarkStart w:id="260" w:name="xdx_40B_eus-gaap--ShareBasedCompensation"/>
            <w:bookmarkEnd w:id="260"/>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739,884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497,104</w:t>
            </w:r>
          </w:p>
        </w:tc>
        <w:tc>
          <w:tcPr>
            <w:tcW w:w="310" w:type="dxa"/>
            <w:tcBorders/>
            <w:shd w:fill="CCEEFF" w:val="clear"/>
            <w:vAlign w:val="center"/>
          </w:tcPr>
          <w:p>
            <w:pPr>
              <w:pStyle w:val="TableContents"/>
              <w:bidi w:val="0"/>
              <w:spacing w:before="0" w:after="283"/>
              <w:jc w:val="left"/>
              <w:rPr/>
            </w:pPr>
            <w:r>
              <w:rPr/>
              <w:t> </w:t>
            </w:r>
            <w:bookmarkStart w:id="261" w:name="xdx_408_eus-gaap--IncreaseDecreaseInOper"/>
            <w:bookmarkEnd w:id="261"/>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ind w:left="0" w:right="0" w:firstLine="200"/>
              <w:jc w:val="left"/>
              <w:rPr/>
            </w:pPr>
            <w:r>
              <w:rPr/>
              <w:t> </w:t>
            </w:r>
            <w:bookmarkStart w:id="262" w:name="xdx_403_eus-gaap--IncreaseDecreaseInPrep"/>
            <w:bookmarkEnd w:id="262"/>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(554,042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(407,489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(450,090</w:t>
            </w:r>
          </w:p>
        </w:tc>
        <w:tc>
          <w:tcPr>
            <w:tcW w:w="310" w:type="dxa"/>
            <w:tcBorders/>
            <w:shd w:fill="CCEEFF" w:val="clear"/>
            <w:vAlign w:val="center"/>
          </w:tcPr>
          <w:p>
            <w:pPr>
              <w:pStyle w:val="TableContents"/>
              <w:bidi w:val="0"/>
              <w:spacing w:before="0" w:after="283"/>
              <w:ind w:left="0" w:right="0" w:firstLine="200"/>
              <w:jc w:val="left"/>
              <w:rPr>
                <w:rFonts w:ascii="Times New Roman;Times;Serif" w:hAnsi="Times New Roman;Times;Serif"/>
              </w:rPr>
            </w:pPr>
            <w:r>
              <w:rPr>
                <w:rFonts w:ascii="Times New Roman;Times;Serif" w:hAnsi="Times New Roman;Times;Serif"/>
              </w:rPr>
              <w:t>)</w:t>
            </w:r>
            <w:bookmarkStart w:id="263" w:name="xdx_402_eus-gaap--IncreaseDecreaseInOthe"/>
            <w:bookmarkEnd w:id="263"/>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(427,906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(295,597</w:t>
            </w:r>
          </w:p>
        </w:tc>
        <w:tc>
          <w:tcPr>
            <w:tcW w:w="310" w:type="dxa"/>
            <w:tcBorders/>
            <w:shd w:fill="FFFFFF" w:val="clear"/>
            <w:vAlign w:val="center"/>
          </w:tcPr>
          <w:p>
            <w:pPr>
              <w:pStyle w:val="TableContents"/>
              <w:bidi w:val="0"/>
              <w:spacing w:before="0" w:after="283"/>
              <w:ind w:left="0" w:right="0" w:firstLine="200"/>
              <w:jc w:val="left"/>
              <w:rPr>
                <w:rFonts w:ascii="Times New Roman;Times;Serif" w:hAnsi="Times New Roman;Times;Serif"/>
              </w:rPr>
            </w:pPr>
            <w:r>
              <w:rPr>
                <w:rFonts w:ascii="Times New Roman;Times;Serif" w:hAnsi="Times New Roman;Times;Serif"/>
              </w:rPr>
              <w:t>)</w:t>
            </w:r>
            <w:bookmarkStart w:id="264" w:name="xdx_40D_eus-gaap--IncreaseDecreaseInAcco"/>
            <w:bookmarkEnd w:id="264"/>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(747,079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(380,169</w:t>
            </w:r>
          </w:p>
        </w:tc>
        <w:tc>
          <w:tcPr>
            <w:tcW w:w="310" w:type="dxa"/>
            <w:tcBorders/>
            <w:shd w:fill="CCEEFF" w:val="clear"/>
            <w:vAlign w:val="center"/>
          </w:tcPr>
          <w:p>
            <w:pPr>
              <w:pStyle w:val="TableContents"/>
              <w:bidi w:val="0"/>
              <w:spacing w:before="0" w:after="283"/>
              <w:ind w:left="0" w:right="0" w:firstLine="200"/>
              <w:jc w:val="left"/>
              <w:rPr>
                <w:rFonts w:ascii="Times New Roman;Times;Serif" w:hAnsi="Times New Roman;Times;Serif"/>
              </w:rPr>
            </w:pPr>
            <w:r>
              <w:rPr>
                <w:rFonts w:ascii="Times New Roman;Times;Serif" w:hAnsi="Times New Roman;Times;Serif"/>
              </w:rPr>
              <w:t>)</w:t>
            </w:r>
            <w:bookmarkStart w:id="265" w:name="xdx_407_ecustom--IncreaseDecreaseInAccou"/>
            <w:bookmarkEnd w:id="265"/>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15,020</w:t>
            </w:r>
          </w:p>
        </w:tc>
        <w:tc>
          <w:tcPr>
            <w:tcW w:w="310" w:type="dxa"/>
            <w:tcBorders/>
            <w:shd w:fill="FFFFFF" w:val="clear"/>
            <w:vAlign w:val="center"/>
          </w:tcPr>
          <w:p>
            <w:pPr>
              <w:pStyle w:val="TableContents"/>
              <w:bidi w:val="0"/>
              <w:spacing w:before="0" w:after="283"/>
              <w:ind w:left="0" w:right="0" w:firstLine="200"/>
              <w:jc w:val="left"/>
              <w:rPr/>
            </w:pPr>
            <w:r>
              <w:rPr/>
              <w:t> </w:t>
            </w:r>
            <w:bookmarkStart w:id="266" w:name="xdx_404_eus-gaap--IncreaseDecreaseInAccr"/>
            <w:bookmarkEnd w:id="266"/>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(509,924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346,344</w:t>
            </w:r>
          </w:p>
        </w:tc>
        <w:tc>
          <w:tcPr>
            <w:tcW w:w="310" w:type="dxa"/>
            <w:tcBorders/>
            <w:shd w:fill="CCEEFF" w:val="clear"/>
            <w:vAlign w:val="center"/>
          </w:tcPr>
          <w:p>
            <w:pPr>
              <w:pStyle w:val="TableContents"/>
              <w:bidi w:val="0"/>
              <w:spacing w:before="0" w:after="283"/>
              <w:ind w:left="0" w:right="0" w:firstLine="200"/>
              <w:jc w:val="left"/>
              <w:rPr/>
            </w:pPr>
            <w:r>
              <w:rPr/>
              <w:t> </w:t>
            </w:r>
            <w:bookmarkStart w:id="267" w:name="xdx_400_ecustom--IncreaseDecreaseInAccru"/>
            <w:bookmarkEnd w:id="267"/>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(1,227,050</w:t>
            </w:r>
          </w:p>
        </w:tc>
        <w:tc>
          <w:tcPr>
            <w:tcW w:w="310" w:type="dxa"/>
            <w:tcBorders/>
            <w:shd w:fill="FFFFFF" w:val="clear"/>
            <w:vAlign w:val="center"/>
          </w:tcPr>
          <w:p>
            <w:pPr>
              <w:pStyle w:val="TableContents"/>
              <w:bidi w:val="0"/>
              <w:spacing w:before="0" w:after="283"/>
              <w:ind w:left="0" w:right="0" w:firstLine="200"/>
              <w:jc w:val="left"/>
              <w:rPr>
                <w:rFonts w:ascii="Times New Roman;Times;Serif" w:hAnsi="Times New Roman;Times;Serif"/>
              </w:rPr>
            </w:pPr>
            <w:r>
              <w:rPr>
                <w:rFonts w:ascii="Times New Roman;Times;Serif" w:hAnsi="Times New Roman;Times;Serif"/>
              </w:rPr>
              <w:t>)</w:t>
            </w:r>
            <w:bookmarkStart w:id="268" w:name="xdx_40D_eus-gaap--IncreaseDecreaseInOthe"/>
            <w:bookmarkEnd w:id="268"/>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47,476</w:t>
            </w:r>
          </w:p>
        </w:tc>
        <w:tc>
          <w:tcPr>
            <w:tcW w:w="310" w:type="dxa"/>
            <w:tcBorders/>
            <w:shd w:fill="CCEEFF" w:val="clear"/>
            <w:vAlign w:val="center"/>
          </w:tcPr>
          <w:p>
            <w:pPr>
              <w:pStyle w:val="TableContents"/>
              <w:bidi w:val="0"/>
              <w:spacing w:before="0" w:after="283"/>
              <w:ind w:left="0" w:right="0" w:firstLine="200"/>
              <w:jc w:val="left"/>
              <w:rPr/>
            </w:pPr>
            <w:r>
              <w:rPr/>
              <w:t> </w:t>
            </w:r>
            <w:bookmarkStart w:id="269" w:name="xdx_408_eus-gaap--IncreaseDecreaseInOthe"/>
            <w:bookmarkEnd w:id="269"/>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10" w:type="dxa"/>
            <w:tcBorders/>
            <w:shd w:fill="FFFFFF" w:val="clear"/>
            <w:vAlign w:val="center"/>
          </w:tcPr>
          <w:p>
            <w:pPr>
              <w:pStyle w:val="TableContents"/>
              <w:bidi w:val="0"/>
              <w:spacing w:before="0" w:after="283"/>
              <w:jc w:val="left"/>
              <w:rPr/>
            </w:pPr>
            <w:r>
              <w:rPr/>
              <w:t> </w:t>
            </w:r>
            <w:bookmarkStart w:id="270" w:name="xdx_40D_eus-gaap--NetCashProvidedByUsedI"/>
            <w:bookmarkEnd w:id="270"/>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(11,205,023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(7,418,236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(6,958,174</w:t>
            </w:r>
          </w:p>
        </w:tc>
        <w:tc>
          <w:tcPr>
            <w:tcW w:w="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1" w:name="xdx_403_eus-gaap--NetCashProvidedByUsedI"/>
            <w:bookmarkEnd w:id="271"/>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ind w:left="0" w:right="0" w:firstLine="200"/>
              <w:jc w:val="left"/>
              <w:rPr/>
            </w:pPr>
            <w:r>
              <w:rPr/>
              <w:t> </w:t>
            </w:r>
            <w:bookmarkStart w:id="272" w:name="xdx_40D_eus-gaap--PaymentsToAcquireMarke"/>
            <w:bookmarkEnd w:id="272"/>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(14,878,875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10" w:type="dxa"/>
            <w:tcBorders/>
            <w:shd w:fill="CCEEFF" w:val="clear"/>
            <w:vAlign w:val="center"/>
          </w:tcPr>
          <w:p>
            <w:pPr>
              <w:pStyle w:val="TableContents"/>
              <w:bidi w:val="0"/>
              <w:spacing w:before="0" w:after="283"/>
              <w:ind w:left="0" w:right="0" w:firstLine="200"/>
              <w:jc w:val="left"/>
              <w:rPr/>
            </w:pPr>
            <w:r>
              <w:rPr/>
              <w:t> </w:t>
            </w:r>
            <w:bookmarkStart w:id="273" w:name="xdx_403_eus-gaap--PaymentsToAcquirePrope"/>
            <w:bookmarkEnd w:id="273"/>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(9,009</w:t>
            </w:r>
          </w:p>
        </w:tc>
        <w:tc>
          <w:tcPr>
            <w:tcW w:w="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4" w:name="xdx_405_eus-gaap--NetCashProvidedByUsedI"/>
            <w:bookmarkEnd w:id="274"/>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(14,892,666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(9,009</w:t>
            </w:r>
          </w:p>
        </w:tc>
        <w:tc>
          <w:tcPr>
            <w:tcW w:w="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5" w:name="xdx_400_eus-gaap--NetCashProvidedByUsedI"/>
            <w:bookmarkEnd w:id="275"/>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bookmarkStart w:id="276" w:name="xdx_40B_eus-gaap--ProceedsFromIssuanceIn"/>
            <w:bookmarkEnd w:id="276"/>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proceeds from IPO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28,741,559</w:t>
            </w:r>
          </w:p>
        </w:tc>
        <w:tc>
          <w:tcPr>
            <w:tcW w:w="310" w:type="dxa"/>
            <w:tcBorders/>
            <w:shd w:fill="CCEEFF" w:val="clear"/>
            <w:vAlign w:val="center"/>
          </w:tcPr>
          <w:p>
            <w:pPr>
              <w:pStyle w:val="TableContents"/>
              <w:bidi w:val="0"/>
              <w:spacing w:before="0" w:after="283"/>
              <w:jc w:val="left"/>
              <w:rPr/>
            </w:pPr>
            <w:r>
              <w:rPr/>
              <w:t> </w:t>
            </w:r>
            <w:bookmarkStart w:id="277" w:name="xdx_408_eus-gaap--ProceedsFromStockOptio"/>
            <w:bookmarkEnd w:id="277"/>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w:t>
            </w:r>
          </w:p>
        </w:tc>
        <w:tc>
          <w:tcPr>
            <w:tcW w:w="310" w:type="dxa"/>
            <w:tcBorders/>
            <w:shd w:fill="FFFFFF" w:val="clear"/>
            <w:vAlign w:val="center"/>
          </w:tcPr>
          <w:p>
            <w:pPr>
              <w:pStyle w:val="TableContents"/>
              <w:bidi w:val="0"/>
              <w:spacing w:before="0" w:after="283"/>
              <w:ind w:left="0" w:right="0" w:firstLine="200"/>
              <w:jc w:val="left"/>
              <w:rPr/>
            </w:pPr>
            <w:r>
              <w:rPr/>
              <w:t> </w:t>
            </w:r>
            <w:bookmarkStart w:id="278" w:name="xdx_40B_ecustom--ProceedsFromAtm_i01_maN"/>
            <w:bookmarkEnd w:id="278"/>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ATM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10" w:type="dxa"/>
            <w:tcBorders/>
            <w:shd w:fill="CCEEFF" w:val="clear"/>
            <w:vAlign w:val="center"/>
          </w:tcPr>
          <w:p>
            <w:pPr>
              <w:pStyle w:val="TableContents"/>
              <w:bidi w:val="0"/>
              <w:spacing w:before="0" w:after="283"/>
              <w:jc w:val="left"/>
              <w:rPr/>
            </w:pPr>
            <w:r>
              <w:rPr/>
              <w:t> </w:t>
            </w:r>
            <w:bookmarkStart w:id="279" w:name="xdx_400_eus-gaap--NetCashProvidedByUsedI"/>
            <w:bookmarkEnd w:id="279"/>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28,742,102</w:t>
            </w:r>
          </w:p>
        </w:tc>
        <w:tc>
          <w:tcPr>
            <w:tcW w:w="310" w:type="dxa"/>
            <w:tcBorders/>
            <w:shd w:fill="FFFFFF" w:val="clear"/>
            <w:vAlign w:val="center"/>
          </w:tcPr>
          <w:p>
            <w:pPr>
              <w:pStyle w:val="TableContents"/>
              <w:bidi w:val="0"/>
              <w:spacing w:before="0" w:after="283"/>
              <w:jc w:val="left"/>
              <w:rPr/>
            </w:pPr>
            <w:r>
              <w:rPr/>
              <w:t> </w:t>
            </w:r>
            <w:bookmarkStart w:id="280" w:name="xdx_40D_eus-gaap--EffectOfExchangeRateOn"/>
            <w:bookmarkEnd w:id="280"/>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10" w:type="dxa"/>
            <w:tcBorders/>
            <w:shd w:fill="CCEEFF" w:val="clear"/>
            <w:vAlign w:val="center"/>
          </w:tcPr>
          <w:p>
            <w:pPr>
              <w:pStyle w:val="TableContents"/>
              <w:bidi w:val="0"/>
              <w:spacing w:before="0" w:after="283"/>
              <w:jc w:val="left"/>
              <w:rPr/>
            </w:pPr>
            <w:r>
              <w:rPr/>
              <w:t> </w:t>
            </w:r>
            <w:bookmarkStart w:id="281" w:name="xdx_407_eus-gaap--CashCashEquivalentsRes"/>
            <w:bookmarkEnd w:id="281"/>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(26,103,436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(7,445,306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21,774,919</w:t>
            </w:r>
          </w:p>
        </w:tc>
        <w:tc>
          <w:tcPr>
            <w:tcW w:w="310" w:type="dxa"/>
            <w:tcBorders/>
            <w:shd w:fill="FFFFFF" w:val="clear"/>
            <w:vAlign w:val="center"/>
          </w:tcPr>
          <w:p>
            <w:pPr>
              <w:pStyle w:val="TableContents"/>
              <w:bidi w:val="0"/>
              <w:spacing w:before="0" w:after="283"/>
              <w:jc w:val="left"/>
              <w:rPr/>
            </w:pPr>
            <w:r>
              <w:rPr/>
              <w:t> </w:t>
            </w:r>
            <w:bookmarkStart w:id="282" w:name="xdx_401_eus-gaap--CashCashEquivalentsRes"/>
            <w:bookmarkEnd w:id="282"/>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37,240,162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15,465,243</w:t>
            </w:r>
          </w:p>
        </w:tc>
        <w:tc>
          <w:tcPr>
            <w:tcW w:w="310" w:type="dxa"/>
            <w:tcBorders/>
            <w:shd w:fill="CCEEFF" w:val="clear"/>
            <w:vAlign w:val="center"/>
          </w:tcPr>
          <w:p>
            <w:pPr>
              <w:pStyle w:val="TableContents"/>
              <w:bidi w:val="0"/>
              <w:spacing w:before="0" w:after="283"/>
              <w:jc w:val="left"/>
              <w:rPr/>
            </w:pPr>
            <w:r>
              <w:rPr/>
              <w:t> </w:t>
            </w:r>
            <w:bookmarkStart w:id="283" w:name="xdx_404_eus-gaap--CashCashEquivalentsRes"/>
            <w:bookmarkEnd w:id="283"/>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37,240,162</w:t>
            </w:r>
          </w:p>
        </w:tc>
        <w:tc>
          <w:tcPr>
            <w:tcW w:w="3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284" w:name="ja_006"/>
      <w:bookmarkEnd w:id="284"/>
      <w:r>
        <w:rPr>
          <w:rFonts w:ascii="Times New Roman;Times;Serif" w:hAnsi="Times New Roman;Times;Serif"/>
          <w:b/>
          <w:i/>
          <w:caps w:val="false"/>
          <w:smallCaps w:val="false"/>
          <w:sz w:val="20"/>
        </w:rPr>
        <w:t>Genenta Science S.p.A.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Genenta Science S.r.l.)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72"/>
        <w:jc w:val="left"/>
        <w:rPr>
          <w:rFonts w:ascii="Times New Roman;Times;Serif" w:hAnsi="Times New Roman;Times;Serif"/>
          <w:b w:val="false"/>
          <w:i w:val="false"/>
          <w:caps w:val="false"/>
          <w:smallCaps w:val="false"/>
          <w:sz w:val="20"/>
        </w:rPr>
      </w:pPr>
      <w:bookmarkStart w:id="285" w:name="xdx_803_eus-gaap--NatureOfOperations_zKr"/>
      <w:bookmarkEnd w:id="285"/>
      <w:r>
        <w:rPr>
          <w:rFonts w:ascii="Times New Roman;Times;Serif" w:hAnsi="Times New Roman;Times;Serif"/>
          <w:b w:val="false"/>
          <w:i w:val="false"/>
          <w:caps w:val="false"/>
          <w:smallCaps w:val="false"/>
          <w:sz w:val="20"/>
        </w:rPr>
        <w:t xml:space="preserve">1. </w:t>
      </w:r>
      <w:bookmarkStart w:id="286" w:name="xdx_826_zjf23DvUxbOd"/>
      <w:bookmarkEnd w:id="286"/>
      <w:r>
        <w:rPr>
          <w:rFonts w:ascii="Times New Roman;Times;Serif" w:hAnsi="Times New Roman;Times;Serif"/>
          <w:b/>
          <w:i w:val="false"/>
          <w:caps w:val="false"/>
          <w:smallCaps w:val="false"/>
          <w:sz w:val="20"/>
        </w:rPr>
        <w:t>Nature of business and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Genenta Science S.p.A. (the “Company” or “Genenta” – formerly Genenta Science S.r.l. “società a responsabilità limitata,” similar to a Limited Liability Company in the U.S.) converted to an Italian corporation (“società per azioni”, or “S.p.A.”) in June 2021, which is similar to a C corporation in the U.S. The Company was founded in Milan, Italy by San Raffaele Hospital (“OSR”), Pierluigi Paracchi, Luigi Naldini and Bernhard Gentner, and was incorporated in July 2014. On May 20, 2021, the quotaholders (owners of the Company) resolved that the Company convert from an S.r.l. to an S.p.A. and determined that the outstanding quota be converted to </w:t>
      </w:r>
      <w:bookmarkStart w:id="287" w:name="xdx_909_eus-gaap--ConversionOfStockShare"/>
      <w:bookmarkEnd w:id="287"/>
      <w:r>
        <w:rPr>
          <w:rFonts w:ascii="Times New Roman;Times;Serif" w:hAnsi="Times New Roman;Times;Serif"/>
          <w:b w:val="false"/>
          <w:i w:val="false"/>
          <w:caps w:val="false"/>
          <w:smallCaps w:val="false"/>
          <w:sz w:val="20"/>
        </w:rPr>
        <w:t>15 million common shares at no par value. (See Note 11. Quotaholder’s and shareholder’s equity.) New Bylaws were adopted, and a new Board of Directors and board of statutory auditors were appointed. The registered office (or headquarters) remained located in Milan, Italy. The Company’s reporting currency is Euros (“EUR” or “€”). In May 2021, the Company formed a wholly owned, Delaware incorporated subsidiary, Genenta Science, Inc., intended for future operations in the U.S. (“U.S. Subsidiary”). The U.S. Subsidiary operates in U.S. Dollars (“USD” 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17, 2021, the Company completed an initial public offering (“IPO”) of its shares. The shares began trading on the Nasdaq Stock Capital Market on December 15, 2021. Through the IPO, </w:t>
      </w:r>
      <w:bookmarkStart w:id="288" w:name="xdx_908_eus-gaap--StockIssuedDuringPerio"/>
      <w:bookmarkEnd w:id="288"/>
      <w:r>
        <w:rPr>
          <w:rFonts w:ascii="Times New Roman;Times;Serif" w:hAnsi="Times New Roman;Times;Serif"/>
          <w:b w:val="false"/>
          <w:i w:val="false"/>
          <w:caps w:val="false"/>
          <w:smallCaps w:val="false"/>
          <w:sz w:val="20"/>
        </w:rPr>
        <w:t xml:space="preserve">3,120,114 new ordinary shares with no par value were issued. </w:t>
      </w:r>
      <w:bookmarkStart w:id="289" w:name="xdx_900_eus-gaap--CommonStockSharesSubsc"/>
      <w:bookmarkEnd w:id="289"/>
      <w:r>
        <w:rPr>
          <w:rFonts w:ascii="Times New Roman;Times;Serif" w:hAnsi="Times New Roman;Times;Serif"/>
          <w:b w:val="false"/>
          <w:i w:val="false"/>
          <w:caps w:val="false"/>
          <w:smallCaps w:val="false"/>
          <w:sz w:val="20"/>
        </w:rPr>
        <w:t xml:space="preserve">720,114 ordinary shares were subscribed by the Company’s existing shareholders through a Reserved Offering, while </w:t>
      </w:r>
      <w:bookmarkStart w:id="290" w:name="xdx_90C_ecustom--AmericanDepositoryShare"/>
      <w:bookmarkEnd w:id="290"/>
      <w:r>
        <w:rPr>
          <w:rFonts w:ascii="Times New Roman;Times;Serif" w:hAnsi="Times New Roman;Times;Serif"/>
          <w:b w:val="false"/>
          <w:i w:val="false"/>
          <w:caps w:val="false"/>
          <w:smallCaps w:val="false"/>
          <w:sz w:val="20"/>
        </w:rPr>
        <w:t xml:space="preserve">2,400,000 American Depository Shares (“ADS”) were directly placed on the market. Subsequently, on December 27, 2021, the Company’s underwriter exercised a portion of its “green shoe” allotment for an additional </w:t>
      </w:r>
      <w:bookmarkStart w:id="291" w:name="xdx_905_ecustom--AmericanDepositoryShare"/>
      <w:bookmarkEnd w:id="291"/>
      <w:r>
        <w:rPr>
          <w:rFonts w:ascii="Times New Roman;Times;Serif" w:hAnsi="Times New Roman;Times;Serif"/>
          <w:b w:val="false"/>
          <w:i w:val="false"/>
          <w:caps w:val="false"/>
          <w:smallCaps w:val="false"/>
          <w:sz w:val="20"/>
        </w:rPr>
        <w:t xml:space="preserve">96,744 ADS. The total number of shares outstanding resulting at December 31, 2021 was </w:t>
      </w:r>
      <w:bookmarkStart w:id="292" w:name="xdx_90D_eus-gaap--CommonStockSharesOutst"/>
      <w:bookmarkEnd w:id="292"/>
      <w:r>
        <w:rPr>
          <w:rFonts w:ascii="Times New Roman;Times;Serif" w:hAnsi="Times New Roman;Times;Serif"/>
          <w:b w:val="false"/>
          <w:i w:val="false"/>
          <w:caps w:val="false"/>
          <w:smallCaps w:val="false"/>
          <w:sz w:val="20"/>
        </w:rPr>
        <w:t>18,216,858. Through the IPO, approximately €</w:t>
      </w:r>
      <w:bookmarkStart w:id="293" w:name="xdx_907_ecustom--NetListingCosts_iI_pn6n"/>
      <w:bookmarkEnd w:id="293"/>
      <w:r>
        <w:rPr>
          <w:rFonts w:ascii="Times New Roman;Times;Serif" w:hAnsi="Times New Roman;Times;Serif"/>
          <w:b w:val="false"/>
          <w:i w:val="false"/>
          <w:caps w:val="false"/>
          <w:smallCaps w:val="false"/>
          <w:sz w:val="20"/>
        </w:rPr>
        <w:t>29 million was raised, net of listing costs (approximately €</w:t>
      </w:r>
      <w:bookmarkStart w:id="294" w:name="xdx_90D_ecustom--NetListingCosts_iI_pn5n"/>
      <w:bookmarkEnd w:id="294"/>
      <w:r>
        <w:rPr>
          <w:rFonts w:ascii="Times New Roman;Times;Serif" w:hAnsi="Times New Roman;Times;Serif"/>
          <w:b w:val="false"/>
          <w:i w:val="false"/>
          <w:caps w:val="false"/>
          <w:smallCaps w:val="false"/>
          <w:sz w:val="20"/>
        </w:rPr>
        <w:t>3.9 million).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2023, the Company filed with the Securities and Exchange Commission (the “SEC”) a shelf registration statement that was subsequently declared effective on May 24, 2023. It permits the Company to sell from time-to-time ordinary shares, including ordinary shares represented by ADSs, or rights to subscribe for ordinary shares or ordinary shares represented by ADSs in one or more offerings in amounts, at prices and on the terms that the Company will determine at the time of offering for aggregate gross sale proceeds of up to $</w:t>
      </w:r>
      <w:bookmarkStart w:id="295" w:name="xdx_90F_eus-gaap--StockIssuedDuringPerio"/>
      <w:bookmarkEnd w:id="295"/>
      <w:r>
        <w:rPr>
          <w:rFonts w:ascii="Times New Roman;Times;Serif" w:hAnsi="Times New Roman;Times;Serif"/>
          <w:b w:val="false"/>
          <w:i w:val="false"/>
          <w:caps w:val="false"/>
          <w:smallCaps w:val="false"/>
          <w:sz w:val="20"/>
        </w:rPr>
        <w:t>100.0 million.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issued 100 ADSs for gross proceeds of approximately $</w:t>
      </w:r>
      <w:bookmarkStart w:id="296" w:name="xdx_90D_eus-gaap--ProceedsFromIssuanceOr"/>
      <w:bookmarkEnd w:id="296"/>
      <w:r>
        <w:rPr>
          <w:rFonts w:ascii="Times New Roman;Times;Serif" w:hAnsi="Times New Roman;Times;Serif"/>
          <w:b w:val="false"/>
          <w:i w:val="false"/>
          <w:caps w:val="false"/>
          <w:smallCaps w:val="false"/>
          <w:sz w:val="20"/>
        </w:rPr>
        <w:t xml:space="preserve">639, bringing the total number of shares outstanding to </w:t>
      </w:r>
      <w:bookmarkStart w:id="297" w:name="xdx_904_eus-gaap--SharesOutstanding_iI_c"/>
      <w:bookmarkEnd w:id="297"/>
      <w:r>
        <w:rPr>
          <w:rFonts w:ascii="Times New Roman;Times;Serif" w:hAnsi="Times New Roman;Times;Serif"/>
          <w:b w:val="false"/>
          <w:i w:val="false"/>
          <w:caps w:val="false"/>
          <w:smallCaps w:val="false"/>
          <w:sz w:val="20"/>
        </w:rPr>
        <w:t xml:space="preserve">18,216,958, pursuant to a Controlled Equity Offering Sales Agreement, dated May 12, 2023 (the “Sales Agreement”), between the Company and Cantor Fitzgerald &amp; Co. (“Cantor”), as agent, subject to the terms and conditions described in the Sales Agreement and SEC rules and regulations (the “ATM Offering”). On March 28, 2024, the Company mutually agreed with Cantor to terminate the Sales Agreement.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is an early-stage company developing first-in-class cell and gene therapies to address unmet medical needs in cancerous solid tumors. The Company is initially developing its clinical leading product, Temferon™, to treat glioblastoma multiforme (“GBM”), a solid tumor affecting the brain. The Company intends to continue its clinical trials in Italy, and eventually start a clinical trial in Europe and the U.S. to study Temferon™ in other cancers. In June 2023, the Company’s Board of Directors selected Renal Cell Cancer (“RCC”) as the second solid tumor indication for Temferon. The Company is currently developing a clinical plan for RCC.</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losses since its inception, including a net loss of €</w:t>
      </w:r>
      <w:bookmarkStart w:id="298" w:name="xdx_906_eus-gaap--NetIncomeLoss_iN_pn5n6"/>
      <w:bookmarkEnd w:id="298"/>
      <w:r>
        <w:rPr>
          <w:rFonts w:ascii="Times New Roman;Times;Serif" w:hAnsi="Times New Roman;Times;Serif"/>
          <w:b w:val="false"/>
          <w:i w:val="false"/>
          <w:caps w:val="false"/>
          <w:smallCaps w:val="false"/>
          <w:sz w:val="20"/>
        </w:rPr>
        <w:t>11.6 million, €</w:t>
      </w:r>
      <w:bookmarkStart w:id="299" w:name="xdx_908_eus-gaap--NetIncomeLoss_iN_pn5n6"/>
      <w:bookmarkEnd w:id="299"/>
      <w:r>
        <w:rPr>
          <w:rFonts w:ascii="Times New Roman;Times;Serif" w:hAnsi="Times New Roman;Times;Serif"/>
          <w:b w:val="false"/>
          <w:i w:val="false"/>
          <w:caps w:val="false"/>
          <w:smallCaps w:val="false"/>
          <w:sz w:val="20"/>
        </w:rPr>
        <w:t>8.5 million and €</w:t>
      </w:r>
      <w:bookmarkStart w:id="300" w:name="xdx_901_eus-gaap--NetIncomeLoss_iN_pn5n6"/>
      <w:bookmarkEnd w:id="300"/>
      <w:r>
        <w:rPr>
          <w:rFonts w:ascii="Times New Roman;Times;Serif" w:hAnsi="Times New Roman;Times;Serif"/>
          <w:b w:val="false"/>
          <w:i w:val="false"/>
          <w:caps w:val="false"/>
          <w:smallCaps w:val="false"/>
          <w:sz w:val="20"/>
        </w:rPr>
        <w:t>5.5 million for the years ended December 31, 2023, December 31, 2022, and December 31, 2021, respectively. In addition, as of December 31, 2023, the Company had an accumulated deficit of €</w:t>
      </w:r>
      <w:bookmarkStart w:id="301" w:name="xdx_901_eus-gaap--RetainedEarningsAccumu"/>
      <w:bookmarkEnd w:id="301"/>
      <w:r>
        <w:rPr>
          <w:rFonts w:ascii="Times New Roman;Times;Serif" w:hAnsi="Times New Roman;Times;Serif"/>
          <w:b w:val="false"/>
          <w:i w:val="false"/>
          <w:caps w:val="false"/>
          <w:smallCaps w:val="false"/>
          <w:sz w:val="20"/>
        </w:rPr>
        <w:t>47.1 million. The Company has primarily funded these losses through the proceeds from sales of convertible debt and equity quotas, prior to the Company’s conversion to an S.p.A. and its IPO after its conversion to an S.p.A. Although the Company has incurred recurring losses and expects to continue to incur losses for the foreseeable future, the Company expects that its existing cash and cash equivalents and marketable securities on hand as of December 31, 2023 of €</w:t>
      </w:r>
      <w:bookmarkStart w:id="302" w:name="xdx_90A_eus-gaap--CashCashEquivalentsAnd"/>
      <w:bookmarkEnd w:id="302"/>
      <w:r>
        <w:rPr>
          <w:rFonts w:ascii="Times New Roman;Times;Serif" w:hAnsi="Times New Roman;Times;Serif"/>
          <w:b w:val="false"/>
          <w:i w:val="false"/>
          <w:caps w:val="false"/>
          <w:smallCaps w:val="false"/>
          <w:sz w:val="20"/>
        </w:rPr>
        <w:t>18.8 million, will be sufficient to fund current planned operations and capital expenditure requirements for at least the next twelve months from the filing date of these consolidated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because,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require additional capital to meet its long-term operating requirements. It expects to raise additional capital through, among other things, the sale of equity or debt securities, which may include sales of ADSs pursuant to the ATM Offering.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raise additional capital may be adversely impacted by the potential worsening of global economic and political conditions and volatility in the credit and financial markets in the U.S. and worldwide. This could be exacerbated by, among other factors, the lingering effects of the COVID-19 pandemic and its ongoing variants, the war between Russia and Ukraine, and/or the Israeli and Hamas war. The Company’s failure to raise capital as and when needed or on acceptable terms could have a negative impact on the Company’s financial condition and its ability to pursue its business strategy, and the Company may have to delay, reduce the scope of, suspend or eliminate one or more of its research-stage programs, clinical trials, or future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market risks in the ordinary course of its business. Market risk represents the risk of loss that may impact the Company’s financial position due to adverse changes in financial market prices and rates. The Company’s current investment policy is conservative due to the need to support operations. The Company invests available cash in bank time deposits with reputable banks that have a credit rating of at least “A” and Italian and U S government treasury notes and bonds with short term maturity. A minority of the Company’s cash and cash equivalents and marketable securities are held in deposits that bear a small amount of interest. The Company’s market risk exposure is primarily a result of foreign currency exchange rates, which is discussed in detail in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early-stage cell and gene therapy company commercializing technology licensed from OSR. The Company intends to continue to conduct its operations so that neither it nor its subsidiary is required to register as an investment company under the Investment Company Act of 1940, as amended, and the rules and regulations promulgated thereunder (the “40 Act”). To ensure that the Company does not become subject to regulation under the ‘40 Act, the Company may be limited in the type of assets that it may own or acquire. If the Company were to become inadvertently subject to the ‘40 Act, any violation of the ‘40 Act could subject the Company to material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results of operations and cash flow may be subject to fluctuations due to changes in foreign currency exchange rates. The Company’s liquid assets and expenses are denominated in EUR and USD. At December 31, 2023, the Company maintained €</w:t>
      </w:r>
      <w:bookmarkStart w:id="303" w:name="xdx_909_eus-gaap--CashAndCashEquivalents"/>
      <w:bookmarkEnd w:id="303"/>
      <w:r>
        <w:rPr>
          <w:rFonts w:ascii="Times New Roman;Times;Serif" w:hAnsi="Times New Roman;Times;Serif"/>
          <w:b w:val="false"/>
          <w:i w:val="false"/>
          <w:caps w:val="false"/>
          <w:smallCaps w:val="false"/>
          <w:sz w:val="20"/>
        </w:rPr>
        <w:t>3.7 million in cash and cash equivalents and €</w:t>
      </w:r>
      <w:bookmarkStart w:id="304" w:name="xdx_902_eus-gaap--MarketableSecurities_i"/>
      <w:bookmarkEnd w:id="304"/>
      <w:r>
        <w:rPr>
          <w:rFonts w:ascii="Times New Roman;Times;Serif" w:hAnsi="Times New Roman;Times;Serif"/>
          <w:b w:val="false"/>
          <w:i w:val="false"/>
          <w:caps w:val="false"/>
          <w:smallCaps w:val="false"/>
          <w:sz w:val="20"/>
        </w:rPr>
        <w:t>15.1 million in marketable securities. Changes in the USD/EUR exchange rate could increase/decrease the Company’s operating expenses, especially as more costs are incurred in the U.S. or, as USD are exchanged for EUR to cover European operating costs. As the Company continues to grow its business, the Company’s results of operations and cash flows might be subject to significant fluctuations due to changes in foreign currency exchange rates, which could adversely impact the Company’s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has recorded an unrealized net loss from exchange rate of approximately €</w:t>
      </w:r>
      <w:bookmarkStart w:id="305" w:name="xdx_90B_eus-gaap--ForeignCurrencyTransac"/>
      <w:bookmarkEnd w:id="305"/>
      <w:r>
        <w:rPr>
          <w:rFonts w:ascii="Times New Roman;Times;Serif" w:hAnsi="Times New Roman;Times;Serif"/>
          <w:b w:val="false"/>
          <w:i w:val="false"/>
          <w:caps w:val="false"/>
          <w:smallCaps w:val="false"/>
          <w:sz w:val="20"/>
        </w:rPr>
        <w:t>0.2 million. The Company does not currently hedge its foreign currency exchange risk. In the future, the Company may enter formal currency hedging transactions to decrease the risk of financial exposure from fluctuations in the exchange rates of its principal operating currencies. These measures, however, may not adequately protect the Company from the material adverse effects of such fluctuations.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6" w:name="xdx_80F_eus-gaap--SignificantAccountingP"/>
      <w:bookmarkEnd w:id="306"/>
      <w:r>
        <w:rPr>
          <w:rFonts w:ascii="Times New Roman;Times;Serif" w:hAnsi="Times New Roman;Times;Serif"/>
          <w:b/>
          <w:i w:val="false"/>
          <w:caps w:val="false"/>
          <w:smallCaps w:val="false"/>
          <w:sz w:val="20"/>
        </w:rPr>
        <w:t xml:space="preserve">2. </w:t>
      </w:r>
      <w:bookmarkStart w:id="307" w:name="xdx_822_zgRSDEFESKqb"/>
      <w:bookmarkEnd w:id="307"/>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8" w:name="xdx_86C_zx8xqSVTeNw"/>
      <w:bookmarkStart w:id="309" w:name="xdx_84C_eus-gaap--BasisOfAccountingPolic"/>
      <w:bookmarkEnd w:id="308"/>
      <w:bookmarkEnd w:id="309"/>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for consolidated financial information and with the instructions to Form 20-F and Article 10 of Regulation S-X promulgated by the Securities and Exchange Commission (“SEC”). Any reference in these notes to applicable guidance is meant to refer to the authoritative US GAAP as found in the Accounting Standards Codification (“ASC”) and Accounting Standards Update (“ASU”) of the Financial Accounting Standards Board (“FASB”),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significant accounting policies applied in the preparation of these consolidated financial statements is presented below, only for the categories and headings now applicable and that might be applicable in the future based on the Company’s business. These policies have been consistently applied,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10" w:name="xdx_86E_zkE9tZAjnyUk"/>
      <w:bookmarkStart w:id="311" w:name="xdx_84D_eus-gaap--ConsolidationPolicyTex"/>
      <w:bookmarkEnd w:id="310"/>
      <w:bookmarkEnd w:id="311"/>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wholly owned subsidiary. All significant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12" w:name="xdx_862_zoFcQGLjLYAc"/>
      <w:bookmarkStart w:id="313" w:name="xdx_845_eus-gaap--UseOfEstimates_zWCmiQg"/>
      <w:bookmarkEnd w:id="312"/>
      <w:bookmarkEnd w:id="313"/>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consolidated financial statements are disclosed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14" w:name="xdx_868_zvuX5oHetDC5"/>
      <w:bookmarkStart w:id="315" w:name="xdx_840_eus-gaap--CashAndCashEquivalents"/>
      <w:bookmarkEnd w:id="314"/>
      <w:bookmarkEnd w:id="315"/>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original maturities of 90 days or less at acquisition to be cash equivalents, which amounts may at times exceed federally insured limits. The Company has not experienced any losses on such accounts and does not believe it is exposed to any significant credit risk.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pStyle w:val="TextBody"/>
        <w:bidi w:val="0"/>
        <w:spacing w:before="0" w:after="0"/>
        <w:ind w:left="0" w:right="0" w:hanging="0"/>
        <w:jc w:val="left"/>
        <w:rPr>
          <w:caps w:val="false"/>
          <w:smallCaps w:val="false"/>
        </w:rPr>
      </w:pPr>
      <w:bookmarkStart w:id="316" w:name="xdx_89B_eus-gaap--ScheduleOfCashAndCashE"/>
      <w:bookmarkEnd w:id="316"/>
      <w:r>
        <w:rPr>
          <w:caps w:val="false"/>
          <w:smallCaps w:val="false"/>
        </w:rPr>
        <w:t> </w:t>
      </w:r>
      <w:bookmarkStart w:id="317" w:name="xdx_8BD_zGBD75ySeMD1"/>
      <w:bookmarkEnd w:id="317"/>
      <w:r>
        <w:rPr>
          <w:rFonts w:ascii="Times New Roman;Times;Serif" w:hAnsi="Times New Roman;Times;Serif"/>
          <w:b w:val="false"/>
          <w:i w:val="false"/>
          <w:caps w:val="false"/>
          <w:smallCaps w:val="false"/>
          <w:sz w:val="20"/>
        </w:rPr>
        <w:t>Schedule of cash and cash equivalents</w:t>
      </w:r>
    </w:p>
    <w:tbl>
      <w:tblPr>
        <w:tblW w:w="6815" w:type="dxa"/>
        <w:jc w:val="left"/>
        <w:tblInd w:w="0" w:type="dxa"/>
        <w:tblLayout w:type="fixed"/>
        <w:tblCellMar>
          <w:top w:w="0" w:type="dxa"/>
          <w:left w:w="0" w:type="dxa"/>
          <w:bottom w:w="0" w:type="dxa"/>
          <w:right w:w="0" w:type="dxa"/>
        </w:tblCellMar>
      </w:tblPr>
      <w:tblGrid>
        <w:gridCol w:w="2840"/>
        <w:gridCol w:w="60"/>
        <w:gridCol w:w="140"/>
        <w:gridCol w:w="980"/>
        <w:gridCol w:w="60"/>
        <w:gridCol w:w="60"/>
        <w:gridCol w:w="140"/>
        <w:gridCol w:w="1100"/>
        <w:gridCol w:w="60"/>
        <w:gridCol w:w="60"/>
        <w:gridCol w:w="140"/>
        <w:gridCol w:w="1100"/>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8" w:name="xdx_49E_20231231_zQfYotnQlwNf"/>
            <w:bookmarkEnd w:id="318"/>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9" w:name="xdx_492_20221231_zpXHvp9sCfG4"/>
            <w:bookmarkEnd w:id="319"/>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0" w:name="xdx_49D_20211231_zePnjdZJh4gh"/>
            <w:bookmarkEnd w:id="320"/>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 Euros)</w:t>
            </w:r>
          </w:p>
        </w:tc>
        <w:tc>
          <w:tcPr>
            <w:tcW w:w="60" w:type="dxa"/>
            <w:tcBorders/>
            <w:vAlign w:val="center"/>
          </w:tcPr>
          <w:p>
            <w:pPr>
              <w:pStyle w:val="TableContents"/>
              <w:bidi w:val="0"/>
              <w:spacing w:before="0" w:after="283"/>
              <w:jc w:val="left"/>
              <w:rPr/>
            </w:pPr>
            <w:r>
              <w:rPr/>
              <w:t> </w:t>
            </w:r>
          </w:p>
        </w:tc>
        <w:tc>
          <w:tcPr>
            <w:tcW w:w="384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(Euro)</w:t>
            </w:r>
          </w:p>
        </w:tc>
        <w:tc>
          <w:tcPr>
            <w:tcW w:w="75" w:type="dxa"/>
            <w:tcBorders/>
            <w:vAlign w:val="center"/>
          </w:tcPr>
          <w:p>
            <w:pPr>
              <w:pStyle w:val="TableContents"/>
              <w:bidi w:val="0"/>
              <w:spacing w:before="0" w:after="283"/>
              <w:jc w:val="left"/>
              <w:rPr/>
            </w:pPr>
            <w:r>
              <w:rPr/>
              <w:t> </w:t>
            </w:r>
            <w:bookmarkStart w:id="321" w:name="xdx_40D_eus-gaap--DueFromBanks_iI_uEuro_"/>
            <w:bookmarkEnd w:id="321"/>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in bank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3,687,402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29,790,838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37,236,089</w:t>
            </w:r>
          </w:p>
        </w:tc>
        <w:tc>
          <w:tcPr>
            <w:tcW w:w="75" w:type="dxa"/>
            <w:tcBorders/>
            <w:shd w:fill="CCEEFF" w:val="clear"/>
            <w:vAlign w:val="center"/>
          </w:tcPr>
          <w:p>
            <w:pPr>
              <w:pStyle w:val="TableContents"/>
              <w:bidi w:val="0"/>
              <w:spacing w:before="0" w:after="283"/>
              <w:jc w:val="left"/>
              <w:rPr/>
            </w:pPr>
            <w:r>
              <w:rPr/>
              <w:t> </w:t>
            </w:r>
            <w:bookmarkStart w:id="322" w:name="xdx_400_eus-gaap--Cash_iI_uEuro_maCACEAz"/>
            <w:bookmarkEnd w:id="322"/>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in hand &amp; prepaid cards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4,073</w:t>
            </w:r>
          </w:p>
        </w:tc>
        <w:tc>
          <w:tcPr>
            <w:tcW w:w="75" w:type="dxa"/>
            <w:tcBorders/>
            <w:shd w:fill="FFFFFF" w:val="clear"/>
            <w:vAlign w:val="center"/>
          </w:tcPr>
          <w:p>
            <w:pPr>
              <w:pStyle w:val="TableContents"/>
              <w:bidi w:val="0"/>
              <w:spacing w:before="0" w:after="283"/>
              <w:jc w:val="left"/>
              <w:rPr/>
            </w:pPr>
            <w:r>
              <w:rPr/>
              <w:t> </w:t>
            </w:r>
            <w:bookmarkStart w:id="323" w:name="xdx_409_eus-gaap--CashAndCashEquivalents"/>
            <w:bookmarkEnd w:id="323"/>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37,240,162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24" w:name="xdx_8A5_zy0bNxjLJbrb"/>
      <w:bookmarkEnd w:id="324"/>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bookmarkStart w:id="325" w:name="xdx_86E_z76nJiwmvdka"/>
      <w:bookmarkStart w:id="326" w:name="xdx_847_eus-gaap--MarketableSecuritiesPo"/>
      <w:bookmarkEnd w:id="325"/>
      <w:bookmarkEnd w:id="326"/>
      <w:r>
        <w:rPr>
          <w:rFonts w:ascii="Times New Roman;Times;Serif" w:hAnsi="Times New Roman;Times;Serif"/>
          <w:b/>
          <w:i/>
          <w:caps w:val="false"/>
          <w:smallCaps w:val="false"/>
          <w:sz w:val="20"/>
          <w:shd w:fill="FFFFFF" w:val="clear"/>
        </w:rPr>
        <w:t>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securities are maintained by investment managers and consist of highly rated foreign government debt securities. Debt securities are carried at fair value with the unrealized gains and losses included in other comprehensive income (loss) as a component of shareholders’ equity until realized. Any premium arising at purchase is amortized to the earliest call date and any discount arising at purchase is accreted to maturity. Amortization and accretion of premiums and discounts are recorded in interest income, net. Realized gains and losses on debt securities are determined using the specific identification method and are included in other income (expense),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marketable securities with a remaining maturity when purchased of greater than three months as available-for-sale. Marketable securities with a remaining maturity date greater than one year are classified as non-current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2023, the Company adopted ASU 2016-13</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Financial Instruments - Credit Losses (Topic 326): Measurement of Credit Losses on Financial Statements</w:t>
      </w:r>
      <w:r>
        <w:rPr>
          <w:rFonts w:ascii="Times New Roman;Times;Serif" w:hAnsi="Times New Roman;Times;Serif"/>
          <w:b w:val="false"/>
          <w:i w:val="false"/>
          <w:caps w:val="false"/>
          <w:smallCaps w:val="false"/>
          <w:sz w:val="20"/>
        </w:rPr>
        <w:t xml:space="preserve"> (“ASU 2016-13” or “ASC 326”), using the effective date method. As the Company had never recorded any other-than-temporary-impairment adjustments to its available-for-sale debt securities prior to the effective date, no transition provisions are applicable to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its available-for-sale debt securities under the available-for-sale debt security impairment model in ASC 326 as of each reporting date in order to determine if a portion of any decline in fair value below carrying value recognized on its available-for-sale debt securities is the result of a credit loss. The Company records credit losses in the consolidated statements of operations and comprehensive loss as credit loss expense within other income (expense), net, which is limited to the difference between the fair value and the amortized cost of the security. To date, the Company has not recorded any credit losses on its available-for-sale debt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receivable related to the Company’s available-for-sale debt securities is presented within receivables and other current assets on the Company’s consolidated balance sheets. The Company has elected the practical expedient available to exclude accrued interest receivable from both the fair value and the amortized cost basis of available-for-sale debt securities for the purposes of identifying and measuring any impairment. The Company writes off 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receivables associated with its marketable securities.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unrealized gain recognized during the reporting period on marketable securities still held at the report date was approximately €</w:t>
      </w:r>
      <w:bookmarkStart w:id="327" w:name="xdx_902_eus-gaap--MarketableSecuritiesUn"/>
      <w:bookmarkEnd w:id="327"/>
      <w:r>
        <w:rPr>
          <w:rFonts w:ascii="Times New Roman;Times;Serif" w:hAnsi="Times New Roman;Times;Serif"/>
          <w:b w:val="false"/>
          <w:i w:val="false"/>
          <w:caps w:val="false"/>
          <w:smallCaps w:val="false"/>
          <w:sz w:val="20"/>
        </w:rPr>
        <w:t>268,000. The unrealized loss recognized during the reporting period on marketable securities still held at the report date was approximately €(</w:t>
      </w:r>
      <w:bookmarkStart w:id="328" w:name="xdx_903_ecustom--MarketableSecuritiesUnr"/>
      <w:bookmarkEnd w:id="328"/>
      <w:r>
        <w:rPr>
          <w:rFonts w:ascii="Times New Roman;Times;Serif" w:hAnsi="Times New Roman;Times;Serif"/>
          <w:b w:val="false"/>
          <w:i w:val="false"/>
          <w:caps w:val="false"/>
          <w:smallCaps w:val="false"/>
          <w:sz w:val="20"/>
        </w:rPr>
        <w:t>53,000).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29" w:name="xdx_864_zsoDXZQq6sPi"/>
      <w:bookmarkStart w:id="330" w:name="xdx_845_ecustom--NetLossAndComprehensive"/>
      <w:bookmarkEnd w:id="329"/>
      <w:bookmarkEnd w:id="330"/>
      <w:r>
        <w:rPr>
          <w:rFonts w:ascii="Times New Roman;Times;Serif" w:hAnsi="Times New Roman;Times;Serif"/>
          <w:b/>
          <w:i/>
          <w:caps w:val="false"/>
          <w:smallCaps w:val="false"/>
          <w:sz w:val="20"/>
        </w:rPr>
        <w:t>Net loss and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is defined as the change in equity during a period from transactions and other events and circumstances from non-owner sources. ASC 220 Comprehensive Income requires that an entity records all components of comprehensive (loss) income, net of their related tax effects, in its financial statements in the period in which they are recognized. For the years ended December 31, 2023, net loss was €</w:t>
      </w:r>
      <w:bookmarkStart w:id="331" w:name="xdx_90E_eus-gaap--NetIncomeLoss_iN_pn5n6"/>
      <w:bookmarkEnd w:id="331"/>
      <w:r>
        <w:rPr>
          <w:rFonts w:ascii="Times New Roman;Times;Serif" w:hAnsi="Times New Roman;Times;Serif"/>
          <w:b w:val="false"/>
          <w:i w:val="false"/>
          <w:caps w:val="false"/>
          <w:smallCaps w:val="false"/>
          <w:sz w:val="20"/>
        </w:rPr>
        <w:t>11.6 million with other comprehensive income being approximately €</w:t>
      </w:r>
      <w:bookmarkStart w:id="332" w:name="xdx_905_eus-gaap--OtherComprehensiveInco"/>
      <w:bookmarkEnd w:id="332"/>
      <w:r>
        <w:rPr>
          <w:rFonts w:ascii="Times New Roman;Times;Serif" w:hAnsi="Times New Roman;Times;Serif"/>
          <w:b w:val="false"/>
          <w:i w:val="false"/>
          <w:caps w:val="false"/>
          <w:smallCaps w:val="false"/>
          <w:sz w:val="20"/>
        </w:rPr>
        <w:t>199,131 and total comprehensive loss was €</w:t>
      </w:r>
      <w:bookmarkStart w:id="333" w:name="xdx_905_eus-gaap--ComprehensiveIncomeNet"/>
      <w:bookmarkEnd w:id="333"/>
      <w:r>
        <w:rPr>
          <w:rFonts w:ascii="Times New Roman;Times;Serif" w:hAnsi="Times New Roman;Times;Serif"/>
          <w:b w:val="false"/>
          <w:i w:val="false"/>
          <w:caps w:val="false"/>
          <w:smallCaps w:val="false"/>
          <w:sz w:val="20"/>
        </w:rPr>
        <w:t>11.4 million. For 2022 and 2021, the comprehensive loss was equal to net loss.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34" w:name="xdx_868_zSviFtRGxid6"/>
      <w:bookmarkStart w:id="335" w:name="xdx_845_eus-gaap--EarningsPerSharePolicy"/>
      <w:bookmarkEnd w:id="334"/>
      <w:bookmarkEnd w:id="335"/>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EPS calculation was applied at the Company conversion to S.p.A. in June 2021, after the increase in capital to €</w:t>
      </w:r>
      <w:bookmarkStart w:id="336" w:name="xdx_901_eus-gaap--StockholdersEquityPeri"/>
      <w:bookmarkEnd w:id="336"/>
      <w:r>
        <w:rPr>
          <w:rFonts w:ascii="Times New Roman;Times;Serif" w:hAnsi="Times New Roman;Times;Serif"/>
          <w:b w:val="false"/>
          <w:i w:val="false"/>
          <w:caps w:val="false"/>
          <w:smallCaps w:val="false"/>
          <w:sz w:val="20"/>
        </w:rPr>
        <w:t xml:space="preserve">50,000 required to be an S.p.A. by Italian law. The Company’s shareholders authorized </w:t>
      </w:r>
      <w:bookmarkStart w:id="337" w:name="xdx_907_eus-gaap--CommonStockSharesAutho"/>
      <w:bookmarkEnd w:id="337"/>
      <w:r>
        <w:rPr>
          <w:rFonts w:ascii="Times New Roman;Times;Serif" w:hAnsi="Times New Roman;Times;Serif"/>
          <w:b w:val="false"/>
          <w:i w:val="false"/>
          <w:caps w:val="false"/>
          <w:smallCaps w:val="false"/>
          <w:sz w:val="20"/>
        </w:rPr>
        <w:t xml:space="preserve">59.7 million ordinary common shares. In July 2023, following the ATM Offering exercise, </w:t>
      </w:r>
      <w:bookmarkStart w:id="338" w:name="xdx_90A_eus-gaap--StockIssuedDuringPerio"/>
      <w:bookmarkEnd w:id="338"/>
      <w:r>
        <w:rPr>
          <w:rFonts w:ascii="Times New Roman;Times;Serif" w:hAnsi="Times New Roman;Times;Serif"/>
          <w:b w:val="false"/>
          <w:i w:val="false"/>
          <w:caps w:val="false"/>
          <w:smallCaps w:val="false"/>
          <w:sz w:val="20"/>
        </w:rPr>
        <w:t xml:space="preserve">100 new ADS were issued. At December 31, 2023, the Company had </w:t>
      </w:r>
      <w:bookmarkStart w:id="339" w:name="xdx_906_eus-gaap--CommonStockSharesOutst"/>
      <w:bookmarkEnd w:id="339"/>
      <w:r>
        <w:rPr>
          <w:rFonts w:ascii="Times New Roman;Times;Serif" w:hAnsi="Times New Roman;Times;Serif"/>
          <w:b w:val="false"/>
          <w:i w:val="false"/>
          <w:caps w:val="false"/>
          <w:smallCaps w:val="false"/>
          <w:sz w:val="20"/>
        </w:rPr>
        <w:t xml:space="preserve">18,216,958 common shares issued and outstanding with </w:t>
      </w:r>
      <w:bookmarkStart w:id="340" w:name="xdx_90D_eus-gaap--CommonStockCapitalShar"/>
      <w:bookmarkEnd w:id="340"/>
      <w:r>
        <w:rPr>
          <w:rFonts w:ascii="Times New Roman;Times;Serif" w:hAnsi="Times New Roman;Times;Serif"/>
          <w:b w:val="false"/>
          <w:i w:val="false"/>
          <w:caps w:val="false"/>
          <w:smallCaps w:val="false"/>
          <w:sz w:val="20"/>
        </w:rPr>
        <w:t>2.7 million common shares reserved for the Company’s Equity Incentive Plan 2021–2025.</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20" w:right="2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2023, the Company had </w:t>
      </w:r>
      <w:bookmarkStart w:id="341" w:name="xdx_902_eus-gaap--ShareBasedCompensation"/>
      <w:bookmarkEnd w:id="341"/>
      <w:r>
        <w:rPr>
          <w:rFonts w:ascii="Times New Roman;Times;Serif" w:hAnsi="Times New Roman;Times;Serif"/>
          <w:b w:val="false"/>
          <w:i w:val="false"/>
          <w:caps w:val="false"/>
          <w:smallCaps w:val="false"/>
          <w:sz w:val="20"/>
        </w:rPr>
        <w:t xml:space="preserve">382,785 outstanding options and </w:t>
      </w:r>
      <w:bookmarkStart w:id="342" w:name="xdx_907_eus-gaap--ShareBasedCompensation"/>
      <w:bookmarkEnd w:id="342"/>
      <w:r>
        <w:rPr>
          <w:rFonts w:ascii="Times New Roman;Times;Serif" w:hAnsi="Times New Roman;Times;Serif"/>
          <w:b w:val="false"/>
          <w:i w:val="false"/>
          <w:caps w:val="false"/>
          <w:smallCaps w:val="false"/>
          <w:sz w:val="20"/>
        </w:rPr>
        <w:t xml:space="preserve">23,502 common share equivalents, in the form of underwriters’ common share warrants. Diluted EPS was not relevant at December 31, 2023, 2022, or 2021, as the effect of common share equivalents, in the form of </w:t>
      </w:r>
      <w:bookmarkStart w:id="343" w:name="xdx_906_eus-gaap--AntidilutiveSecurities"/>
      <w:bookmarkEnd w:id="343"/>
      <w:r>
        <w:rPr>
          <w:rFonts w:ascii="Times New Roman;Times;Serif" w:hAnsi="Times New Roman;Times;Serif"/>
          <w:b w:val="false"/>
          <w:i w:val="false"/>
          <w:caps w:val="false"/>
          <w:smallCaps w:val="false"/>
          <w:sz w:val="20"/>
        </w:rPr>
        <w:t xml:space="preserve">382,785 stock options and of </w:t>
      </w:r>
      <w:bookmarkStart w:id="344" w:name="xdx_903_eus-gaap--ShareBasedCompensation"/>
      <w:bookmarkEnd w:id="344"/>
      <w:r>
        <w:rPr>
          <w:rFonts w:ascii="Times New Roman;Times;Serif" w:hAnsi="Times New Roman;Times;Serif"/>
          <w:b w:val="false"/>
          <w:i w:val="false"/>
          <w:caps w:val="false"/>
          <w:smallCaps w:val="false"/>
          <w:sz w:val="20"/>
        </w:rPr>
        <w:t>23,502 underwriters’ common share warrants, would have been anti-dilutive. (See Note 12. Quotaholders’ and shareholders’ equity and Note 12.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45" w:name="xdx_866_zx3IGS9tOT0h"/>
      <w:bookmarkStart w:id="346" w:name="xdx_849_eus-gaap--ForeignCurrencyTransac"/>
      <w:bookmarkEnd w:id="345"/>
      <w:bookmarkEnd w:id="346"/>
      <w:r>
        <w:rPr>
          <w:rFonts w:ascii="Times New Roman;Times;Serif" w:hAnsi="Times New Roman;Times;Serif"/>
          <w:b/>
          <w:i/>
          <w:caps w:val="false"/>
          <w:smallCaps w:val="false"/>
          <w:sz w:val="20"/>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For financial reporting purposes, the assets and liabilities of the U.S. Subsidiary are translated into EUR using exchange rates in effect at the balance sheet date. The net income/(loss) of the U.S. Subsidiary is translated into EUR using average exchange rates in effect during the reporting period. The resulting currency translation impact is recorded in Shareholders’ equity as a cumulative translation adjustment. For 2023, the currency translation impact was approximately €</w:t>
      </w:r>
      <w:bookmarkStart w:id="347" w:name="xdx_906_eus-gaap--CumulativeTranslationA"/>
      <w:bookmarkEnd w:id="347"/>
      <w:r>
        <w:rPr>
          <w:rFonts w:ascii="Times New Roman;Times;Serif" w:hAnsi="Times New Roman;Times;Serif"/>
          <w:b w:val="false"/>
          <w:i w:val="false"/>
          <w:caps w:val="false"/>
          <w:smallCaps w:val="false"/>
          <w:sz w:val="20"/>
        </w:rPr>
        <w:t>15,800. During the period ended December 31, 2023, foreign exchange gains and losses were a net loss of approximately €</w:t>
      </w:r>
      <w:bookmarkStart w:id="348" w:name="xdx_909_eus-gaap--NoncontrollingInterest"/>
      <w:bookmarkEnd w:id="348"/>
      <w:r>
        <w:rPr>
          <w:rFonts w:ascii="Times New Roman;Times;Serif" w:hAnsi="Times New Roman;Times;Serif"/>
          <w:b w:val="false"/>
          <w:i w:val="false"/>
          <w:caps w:val="false"/>
          <w:smallCaps w:val="false"/>
          <w:sz w:val="20"/>
        </w:rPr>
        <w:t>0.2 million.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exchange gain was approximately €</w:t>
      </w:r>
      <w:bookmarkStart w:id="349" w:name="xdx_906_eus-gaap--ForeignCurrencyTransac"/>
      <w:bookmarkEnd w:id="349"/>
      <w:r>
        <w:rPr>
          <w:rFonts w:ascii="Times New Roman;Times;Serif" w:hAnsi="Times New Roman;Times;Serif"/>
          <w:b w:val="false"/>
          <w:i w:val="false"/>
          <w:caps w:val="false"/>
          <w:smallCaps w:val="false"/>
          <w:sz w:val="20"/>
        </w:rPr>
        <w:t>2.3 million for the year ended December 31, 2022 and was related mainly to: i) approximately €</w:t>
      </w:r>
      <w:bookmarkStart w:id="350" w:name="xdx_90F_eus-gaap--ForeignCurrencyTransac"/>
      <w:bookmarkEnd w:id="350"/>
      <w:r>
        <w:rPr>
          <w:rFonts w:ascii="Times New Roman;Times;Serif" w:hAnsi="Times New Roman;Times;Serif"/>
          <w:b w:val="false"/>
          <w:i w:val="false"/>
          <w:caps w:val="false"/>
          <w:smallCaps w:val="false"/>
          <w:sz w:val="20"/>
        </w:rPr>
        <w:t>1.6 million in net exchange rate gains realized on the conversion of $</w:t>
      </w:r>
      <w:bookmarkStart w:id="351" w:name="xdx_904_eus-gaap--ForeignCurrencyTransac"/>
      <w:bookmarkEnd w:id="351"/>
      <w:r>
        <w:rPr>
          <w:rFonts w:ascii="Times New Roman;Times;Serif" w:hAnsi="Times New Roman;Times;Serif"/>
          <w:b w:val="false"/>
          <w:i w:val="false"/>
          <w:caps w:val="false"/>
          <w:smallCaps w:val="false"/>
          <w:sz w:val="20"/>
        </w:rPr>
        <w:t>12.0 million of IPO proceeds obtained in December 2021 to Euros; ii) approximately €</w:t>
      </w:r>
      <w:bookmarkStart w:id="352" w:name="xdx_904_ecustom--ForeignCurrencyTransact"/>
      <w:bookmarkEnd w:id="352"/>
      <w:r>
        <w:rPr>
          <w:rFonts w:ascii="Times New Roman;Times;Serif" w:hAnsi="Times New Roman;Times;Serif"/>
          <w:b w:val="false"/>
          <w:i w:val="false"/>
          <w:caps w:val="false"/>
          <w:smallCaps w:val="false"/>
          <w:sz w:val="20"/>
        </w:rPr>
        <w:t>0.4 million in net exchange rate gain realized on USD$ trade payables; and iii) approximately €</w:t>
      </w:r>
      <w:bookmarkStart w:id="353" w:name="xdx_90A_ecustom--ForeignCurrencyTransact"/>
      <w:bookmarkEnd w:id="353"/>
      <w:r>
        <w:rPr>
          <w:rFonts w:ascii="Times New Roman;Times;Serif" w:hAnsi="Times New Roman;Times;Serif"/>
          <w:b w:val="false"/>
          <w:i w:val="false"/>
          <w:caps w:val="false"/>
          <w:smallCaps w:val="false"/>
          <w:sz w:val="20"/>
        </w:rPr>
        <w:t>0.3 million in exchange gain unrealized on USD$ time deposits;. The change in the net foreign exchange rate effect was due to the fluctuation in the USD exchange rate with the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54" w:name="xdx_864_zrj77EV96tSj"/>
      <w:bookmarkStart w:id="355" w:name="xdx_84D_ecustom--EmergingGrowthCompanySt"/>
      <w:bookmarkEnd w:id="354"/>
      <w:bookmarkEnd w:id="355"/>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U.S. Jumpstart Our Business Startups Act, or U.S.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U.S. JOBS Act provides that an “emerging growth company” can take advantage of the extended transition period afforded by the U.S.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56" w:name="xdx_862_zaGzHdf2jF76"/>
      <w:bookmarkStart w:id="357" w:name="xdx_843_eus-gaap--FairValueMeasurementPo"/>
      <w:bookmarkEnd w:id="356"/>
      <w:bookmarkEnd w:id="357"/>
      <w:r>
        <w:rPr>
          <w:rFonts w:ascii="Times New Roman;Times;Serif" w:hAnsi="Times New Roman;Times;Serif"/>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Level 1 —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bookmarkStart w:id="358" w:name="xdx_891_eus-gaap--FairValueMeasurementIn"/>
      <w:bookmarkEnd w:id="358"/>
      <w:r>
        <w:rPr>
          <w:rFonts w:ascii="Times New Roman;Times;Serif" w:hAnsi="Times New Roman;Times;Serif"/>
          <w:b w:val="false"/>
          <w:i w:val="false"/>
          <w:caps w:val="false"/>
          <w:smallCaps w:val="false"/>
          <w:sz w:val="20"/>
        </w:rPr>
        <w:t>The carrying values of the Company’s R&amp;D tax credits, VAT credits, accounts payable, accrued expenses and other current liabilities were evaluated and determined to approximate their fair values due to the short-term nature of these assets and liabilities.</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bookmarkStart w:id="359" w:name="xdx_8B7_zrcNRnjiNCuj"/>
      <w:bookmarkEnd w:id="359"/>
      <w:r>
        <w:rPr>
          <w:rFonts w:ascii="Times New Roman;Times;Serif" w:hAnsi="Times New Roman;Times;Serif"/>
          <w:b w:val="false"/>
          <w:i w:val="false"/>
          <w:caps w:val="false"/>
          <w:smallCaps w:val="false"/>
          <w:sz w:val="20"/>
        </w:rPr>
        <w:t>Schedule of fair values due to short-term nature of assets and liabilities  </w:t>
      </w:r>
    </w:p>
    <w:tbl>
      <w:tblPr>
        <w:tblW w:w="7008" w:type="dxa"/>
        <w:jc w:val="left"/>
        <w:tblInd w:w="0" w:type="dxa"/>
        <w:tblLayout w:type="fixed"/>
        <w:tblCellMar>
          <w:top w:w="0" w:type="dxa"/>
          <w:left w:w="0" w:type="dxa"/>
          <w:bottom w:w="0" w:type="dxa"/>
          <w:right w:w="0" w:type="dxa"/>
        </w:tblCellMar>
      </w:tblPr>
      <w:tblGrid>
        <w:gridCol w:w="2525"/>
        <w:gridCol w:w="60"/>
        <w:gridCol w:w="140"/>
        <w:gridCol w:w="1100"/>
        <w:gridCol w:w="60"/>
        <w:gridCol w:w="60"/>
        <w:gridCol w:w="140"/>
        <w:gridCol w:w="1100"/>
        <w:gridCol w:w="60"/>
        <w:gridCol w:w="60"/>
        <w:gridCol w:w="449"/>
        <w:gridCol w:w="305"/>
        <w:gridCol w:w="60"/>
        <w:gridCol w:w="60"/>
        <w:gridCol w:w="449"/>
        <w:gridCol w:w="305"/>
        <w:gridCol w:w="75"/>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60" w:name="xdx_497_20231231_zyiN1NnHvMdk"/>
            <w:bookmarkEnd w:id="360"/>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1" w:name="xdx_493_20231231__us-gaap--FairValueByFa"/>
            <w:bookmarkEnd w:id="361"/>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2" w:name="xdx_498_20231231__us-gaap--FairValueByFa"/>
            <w:bookmarkEnd w:id="362"/>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3" w:name="xdx_492_20231231__us-gaap--FairValueByFa"/>
            <w:bookmarkEnd w:id="363"/>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64" w:name="xdx_401_eus-gaap--CashAndCashEquivalents"/>
            <w:bookmarkEnd w:id="364"/>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3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3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365" w:name="xdx_404_eus-gaap--SecuritiesBorrowedFair"/>
            <w:bookmarkEnd w:id="365"/>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15,084,284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15,084,284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6" w:name="xdx_404_eus-gaap--AssetsFairValueDisclos"/>
            <w:bookmarkEnd w:id="366"/>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Total financial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18,775,704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18,775,704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648"/>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2525"/>
        <w:gridCol w:w="60"/>
        <w:gridCol w:w="140"/>
        <w:gridCol w:w="1100"/>
        <w:gridCol w:w="60"/>
        <w:gridCol w:w="60"/>
        <w:gridCol w:w="140"/>
        <w:gridCol w:w="1100"/>
        <w:gridCol w:w="60"/>
        <w:gridCol w:w="60"/>
        <w:gridCol w:w="449"/>
        <w:gridCol w:w="305"/>
        <w:gridCol w:w="60"/>
        <w:gridCol w:w="60"/>
        <w:gridCol w:w="449"/>
        <w:gridCol w:w="305"/>
        <w:gridCol w:w="75"/>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67" w:name="xdx_49E_20221231_zwOk66xIWIb6"/>
            <w:bookmarkEnd w:id="367"/>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8" w:name="xdx_494_20221231__us-gaap--FairValueByFa"/>
            <w:bookmarkEnd w:id="368"/>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9" w:name="xdx_49F_20221231__us-gaap--FairValueByFa"/>
            <w:bookmarkEnd w:id="369"/>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0" w:name="xdx_495_20221231__us-gaap--FairValueByFa"/>
            <w:bookmarkEnd w:id="370"/>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2022</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71" w:name="xdx_401_eus-gaap--CashAndCashEquivalents"/>
            <w:bookmarkEnd w:id="371"/>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372" w:name="xdx_404_eus-gaap--AssetsFairValueDisclos"/>
            <w:bookmarkEnd w:id="372"/>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Total financial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29,794,856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29,794,856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648"/>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2525"/>
        <w:gridCol w:w="60"/>
        <w:gridCol w:w="140"/>
        <w:gridCol w:w="1100"/>
        <w:gridCol w:w="60"/>
        <w:gridCol w:w="60"/>
        <w:gridCol w:w="140"/>
        <w:gridCol w:w="1100"/>
        <w:gridCol w:w="60"/>
        <w:gridCol w:w="60"/>
        <w:gridCol w:w="449"/>
        <w:gridCol w:w="305"/>
        <w:gridCol w:w="60"/>
        <w:gridCol w:w="60"/>
        <w:gridCol w:w="449"/>
        <w:gridCol w:w="305"/>
        <w:gridCol w:w="75"/>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73" w:name="xdx_491_20211231_zvl0Q2KztPU"/>
            <w:bookmarkEnd w:id="373"/>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4" w:name="xdx_492_20211231__us-gaap--FairValueByFa"/>
            <w:bookmarkEnd w:id="374"/>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5" w:name="xdx_493_20211231__us-gaap--FairValueByFa"/>
            <w:bookmarkEnd w:id="375"/>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6" w:name="xdx_49D_20211231__us-gaap--FairValueByFa"/>
            <w:bookmarkEnd w:id="376"/>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2021</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77" w:name="xdx_404_eus-gaap--CashAndCashEquivalents"/>
            <w:bookmarkEnd w:id="377"/>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37,240,162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37,240,162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378" w:name="xdx_407_eus-gaap--AssetsFairValueDisclos"/>
            <w:bookmarkEnd w:id="378"/>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Total financial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37,240,162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37,240,162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79" w:name="xdx_8A7_zfefcOHBe1gh"/>
      <w:bookmarkEnd w:id="379"/>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80" w:name="xdx_860_zc1KYjP7oZ9d"/>
      <w:bookmarkStart w:id="381" w:name="xdx_84D_eus-gaap--SegmentReportingPolicy"/>
      <w:bookmarkEnd w:id="380"/>
      <w:bookmarkEnd w:id="381"/>
      <w:r>
        <w:rPr>
          <w:rFonts w:ascii="Times New Roman;Times;Serif" w:hAnsi="Times New Roman;Times;Serif"/>
          <w:b/>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82" w:name="xdx_865_zB2TCZdlSrD7"/>
      <w:bookmarkStart w:id="383" w:name="xdx_84D_ecustom--TaxCreditOnInvestmentsI"/>
      <w:bookmarkEnd w:id="382"/>
      <w:bookmarkEnd w:id="383"/>
      <w:r>
        <w:rPr>
          <w:rFonts w:ascii="Times New Roman;Times;Serif" w:hAnsi="Times New Roman;Times;Serif"/>
          <w:b/>
          <w:i/>
          <w:caps w:val="false"/>
          <w:smallCaps w:val="false"/>
          <w:sz w:val="20"/>
        </w:rPr>
        <w:t>Tax credit on investments in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legislation in force at December 31, 2023, and 2022,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eligible research and development activities, the tax credit was equal to 20% in fiscal year 2022 (“FY 2022”) of the eligible costs incurred, with a maximum annual amount of €</w:t>
      </w:r>
      <w:bookmarkStart w:id="384" w:name="xdx_90D_eus-gaap--IncomeTaxReconciliatio"/>
      <w:bookmarkEnd w:id="384"/>
      <w:r>
        <w:rPr>
          <w:rFonts w:ascii="Times New Roman;Times;Serif" w:hAnsi="Times New Roman;Times;Serif"/>
          <w:b w:val="false"/>
          <w:i w:val="false"/>
          <w:caps w:val="false"/>
          <w:smallCaps w:val="false"/>
          <w:sz w:val="20"/>
        </w:rPr>
        <w:t>4.0 million. Starting with the fiscal year 2023 (“FY 2023”) the law extended the measure up to the tax period ended December 31, 2031; however, the tax credit rate was decreased to 10% of the eligible expenses, and the annual ceiling of the credit increased to €</w:t>
      </w:r>
      <w:bookmarkStart w:id="385" w:name="xdx_90F_eus-gaap--IncomeTaxReconciliatio"/>
      <w:bookmarkStart w:id="386" w:name="xdx_906_eus-gaap--IncomeTaxReconciliatio"/>
      <w:bookmarkEnd w:id="385"/>
      <w:bookmarkEnd w:id="386"/>
      <w:r>
        <w:rPr>
          <w:rFonts w:ascii="Times New Roman;Times;Serif" w:hAnsi="Times New Roman;Times;Serif"/>
          <w:b w:val="false"/>
          <w:i w:val="false"/>
          <w:caps w:val="false"/>
          <w:smallCaps w:val="false"/>
          <w:sz w:val="20"/>
        </w:rPr>
        <w:t>5.0 million.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eligible activities consist of fundamental research, industrial research, and experimental development as defined respectively of the letters m), q) and j) of point 15, par. 1.3 of the Communication no. 198/2014 of the European Commission. To determine the cost basis of the benefit, the following expenses are eligible:</w:t>
      </w:r>
    </w:p>
    <w:p>
      <w:pPr>
        <w:pStyle w:val="TextBody"/>
        <w:bidi w:val="0"/>
        <w:spacing w:before="0" w:after="0"/>
        <w:ind w:left="480" w:right="0" w:hanging="14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charges, costs of the financial or simple lease and other expenses related to movable tangible assets and software used in research and development projects;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extra-euro research contracts concerning the direct execution of eligible research and development activities by the provider;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charges;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consulting services and equivalent services related to eligible research and development activities;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materials, supplies, and other similar products used in research and development projects.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by analogy, accounts for this receivable in accordance with International Accounting Standards (IAS) 20, </w:t>
      </w:r>
      <w:r>
        <w:rPr>
          <w:rFonts w:ascii="Times New Roman;Times;Serif" w:hAnsi="Times New Roman;Times;Serif"/>
          <w:b w:val="false"/>
          <w:i/>
          <w:caps w:val="false"/>
          <w:smallCaps w:val="false"/>
          <w:sz w:val="20"/>
        </w:rPr>
        <w:t>Accounting for Government Grants and Disclosure of Government Assistance</w:t>
      </w:r>
      <w:r>
        <w:rPr>
          <w:rFonts w:ascii="Times New Roman;Times;Serif" w:hAnsi="Times New Roman;Times;Serif"/>
          <w:b w:val="false"/>
          <w:i w:val="false"/>
          <w:caps w:val="false"/>
          <w:smallCaps w:val="false"/>
          <w:sz w:val="20"/>
        </w:rPr>
        <w:t>. The receivable is recognized when there is reasonable assurance that: (1) the recipient will comply with the relevant conditions; and, (2) the grant will be received. The Company has elected to present it net of the related expenditure on the Consolidated Statements of Operations and Comprehensive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87" w:name="xdx_866_zyfILLe4j6Qa"/>
      <w:bookmarkStart w:id="388" w:name="xdx_84E_eus-gaap--ShareBasedCompensation"/>
      <w:bookmarkEnd w:id="387"/>
      <w:bookmarkEnd w:id="388"/>
      <w:r>
        <w:rPr>
          <w:rFonts w:ascii="Times New Roman;Times;Serif" w:hAnsi="Times New Roman;Times;Serif"/>
          <w:b/>
          <w:i/>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reward the efforts of employees, directors, and certain consultants and to promote the growth of the Company, the Company’s Board of Directors has approved, prior to the Company’s conversion to an S.p.A., various share-based awards. All options have been awarded with an exercise price of €1 per quota and, when exercised, all options have been converted to Quota B. The options granted had the vesting condition that the individual must remain in his/her role at least one year or as otherwise specified for each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the Company’s quotaholders adopted the Company’s “Equity Incentive Plan 2021–2025” (“the Plan”); however, through December 31, 2021, no options or awards were granted and there were no outstanding options or awards. (See Note 12.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2022, the Company’s board of directors, as administrator of the Plan, awarded nonqualified stock options (“NSOs”) on </w:t>
      </w:r>
      <w:bookmarkStart w:id="389" w:name="xdx_907_eus-gaap--ShareBasedCompensation"/>
      <w:bookmarkEnd w:id="389"/>
      <w:r>
        <w:rPr>
          <w:rFonts w:ascii="Times New Roman;Times;Serif" w:hAnsi="Times New Roman;Times;Serif"/>
          <w:b w:val="false"/>
          <w:i w:val="false"/>
          <w:caps w:val="false"/>
          <w:smallCaps w:val="false"/>
          <w:sz w:val="20"/>
        </w:rPr>
        <w:t>147,783 shares to its (former) Chairman according to the terms of a Sub-Plan called “2021-2025 Chairman Sub-Plan” (the “Sub-Plan”) attached to the Plan. (See Note 12.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2022, the Company’s board of directors, as administrator of the Plan, awarded NSOs on </w:t>
      </w:r>
      <w:bookmarkStart w:id="390" w:name="xdx_901_eus-gaap--ShareBasedCompensation"/>
      <w:bookmarkEnd w:id="390"/>
      <w:r>
        <w:rPr>
          <w:rFonts w:ascii="Times New Roman;Times;Serif" w:hAnsi="Times New Roman;Times;Serif"/>
          <w:b w:val="false"/>
          <w:i w:val="false"/>
          <w:caps w:val="false"/>
          <w:smallCaps w:val="false"/>
          <w:sz w:val="20"/>
        </w:rPr>
        <w:t>392,740 shares to certain of the Company’s directors and employees. (See Note 12. Share-based compensation.)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2023, the board of directors, as administrator of the Plan, awarded NSOs on </w:t>
      </w:r>
      <w:bookmarkStart w:id="391" w:name="xdx_90B_eus-gaap--ShareBasedCompensation"/>
      <w:bookmarkEnd w:id="391"/>
      <w:r>
        <w:rPr>
          <w:rFonts w:ascii="Times New Roman;Times;Serif" w:hAnsi="Times New Roman;Times;Serif"/>
          <w:b w:val="false"/>
          <w:i w:val="false"/>
          <w:caps w:val="false"/>
          <w:smallCaps w:val="false"/>
          <w:sz w:val="20"/>
        </w:rPr>
        <w:t>46,400 shares to certain of the Company’s directors.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Company’s shareholders modified the Plan to extend the final deadline for the issuance of the ordinary shares until December 31, 2035, in order to allow that all stock options granted during the term of the Plan could provide for an exercise period of 10 years starting from the date of grant. (See Note 12.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the Company has authorized options on </w:t>
      </w:r>
      <w:bookmarkStart w:id="392" w:name="xdx_90F_eus-gaap--ShareBasedCompensation"/>
      <w:bookmarkEnd w:id="392"/>
      <w:r>
        <w:rPr>
          <w:rFonts w:ascii="Times New Roman;Times;Serif" w:hAnsi="Times New Roman;Times;Serif"/>
          <w:b w:val="false"/>
          <w:i w:val="false"/>
          <w:caps w:val="false"/>
          <w:smallCaps w:val="false"/>
          <w:sz w:val="20"/>
        </w:rPr>
        <w:t xml:space="preserve">1,821,695 ordinary shares (i.e., approximately </w:t>
      </w:r>
      <w:bookmarkStart w:id="393" w:name="xdx_900_eus-gaap--ShareBasedCompensation"/>
      <w:bookmarkEnd w:id="393"/>
      <w:r>
        <w:rPr>
          <w:rFonts w:ascii="Times New Roman;Times;Serif" w:hAnsi="Times New Roman;Times;Serif"/>
          <w:b w:val="false"/>
          <w:i w:val="false"/>
          <w:caps w:val="false"/>
          <w:smallCaps w:val="false"/>
          <w:sz w:val="20"/>
        </w:rPr>
        <w:t xml:space="preserve">10% of the number of shares outstanding, which are currently </w:t>
      </w:r>
      <w:bookmarkStart w:id="394" w:name="xdx_90F_eus-gaap--ShareBasedCompensation"/>
      <w:bookmarkEnd w:id="394"/>
      <w:r>
        <w:rPr>
          <w:rFonts w:ascii="Times New Roman;Times;Serif" w:hAnsi="Times New Roman;Times;Serif"/>
          <w:b w:val="false"/>
          <w:i w:val="false"/>
          <w:caps w:val="false"/>
          <w:smallCaps w:val="false"/>
          <w:sz w:val="20"/>
        </w:rPr>
        <w:t xml:space="preserve">18,216,958 ordinary shares outstanding); however, at the quotaholders’ meeting held on May 20, 2021, the quotaholders approved an increase to the Plan of up to a maximum of options on </w:t>
      </w:r>
      <w:bookmarkStart w:id="395" w:name="xdx_909_eus-gaap--SharebasedCompensation"/>
      <w:bookmarkEnd w:id="395"/>
      <w:r>
        <w:rPr>
          <w:rFonts w:ascii="Times New Roman;Times;Serif" w:hAnsi="Times New Roman;Times;Serif"/>
          <w:b w:val="false"/>
          <w:i w:val="false"/>
          <w:caps w:val="false"/>
          <w:smallCaps w:val="false"/>
          <w:sz w:val="20"/>
        </w:rPr>
        <w:t xml:space="preserve">2,700,000 ordinary shares. Therefore, as the Company raises additional capital, the Board of Directors has authority to issue options on upto </w:t>
      </w:r>
      <w:bookmarkStart w:id="396" w:name="xdx_909_eus-gaap--ShareBasedCompensation"/>
      <w:bookmarkEnd w:id="396"/>
      <w:r>
        <w:rPr>
          <w:rFonts w:ascii="Times New Roman;Times;Serif" w:hAnsi="Times New Roman;Times;Serif"/>
          <w:b w:val="false"/>
          <w:i w:val="false"/>
          <w:caps w:val="false"/>
          <w:smallCaps w:val="false"/>
          <w:sz w:val="20"/>
        </w:rPr>
        <w:t xml:space="preserve">2,700,000 ordinary shares, as the number of issued and outstanding ordinary shares increases, i.e., the Company does not have to obtain further authorization from shareholders to increase the number of ordinary shares available for equity grants until the outstanding ordinary shares exceed </w:t>
      </w:r>
      <w:bookmarkStart w:id="397" w:name="xdx_90C_eus-gaap--SharesOutstanding_iI_p"/>
      <w:bookmarkEnd w:id="397"/>
      <w:r>
        <w:rPr>
          <w:rFonts w:ascii="Times New Roman;Times;Serif" w:hAnsi="Times New Roman;Times;Serif"/>
          <w:b w:val="false"/>
          <w:i w:val="false"/>
          <w:caps w:val="false"/>
          <w:smallCaps w:val="false"/>
          <w:sz w:val="20"/>
        </w:rPr>
        <w:t xml:space="preserve">27,000,000. The number of options granted at December 31, 2023 were </w:t>
      </w:r>
      <w:bookmarkStart w:id="398" w:name="xdx_907_eus-gaap--ShareBasedCompensation"/>
      <w:bookmarkEnd w:id="398"/>
      <w:r>
        <w:rPr>
          <w:rFonts w:ascii="Times New Roman;Times;Serif" w:hAnsi="Times New Roman;Times;Serif"/>
          <w:b w:val="false"/>
          <w:i w:val="false"/>
          <w:caps w:val="false"/>
          <w:smallCaps w:val="false"/>
          <w:sz w:val="20"/>
        </w:rPr>
        <w:t xml:space="preserve">586,923 and the number of options available for grant were </w:t>
      </w:r>
      <w:bookmarkStart w:id="399" w:name="xdx_909_eus-gaap--ShareBasedCompensation"/>
      <w:bookmarkEnd w:id="399"/>
      <w:r>
        <w:rPr>
          <w:rFonts w:ascii="Times New Roman;Times;Serif" w:hAnsi="Times New Roman;Times;Serif"/>
          <w:b w:val="false"/>
          <w:i w:val="false"/>
          <w:caps w:val="false"/>
          <w:smallCaps w:val="false"/>
          <w:sz w:val="20"/>
        </w:rPr>
        <w:t>1,234,772.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stock option awards granted to employees, officers, directors, and consultants under the Plan based on their fair value on the date of the grant and recognizes compensation expense for those awards over the requisite service period, which is normally the vesting period of the respective award. Forfeitures are accounted for as they occur. The measurement date for option awards is the date of the grant. 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chose the Black-Scholes-Merton model because it is considered easier to apply and also it is a defined equation and incorporates only one set of inputs. As a result, it is the model most commonly in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00" w:name="xdx_86B_zTiG8HvYIqQi"/>
      <w:bookmarkStart w:id="401" w:name="xdx_84C_ecustom--RepresentativeWarrantsP"/>
      <w:bookmarkEnd w:id="400"/>
      <w:bookmarkEnd w:id="401"/>
      <w:r>
        <w:rPr>
          <w:rFonts w:ascii="Times New Roman;Times;Serif" w:hAnsi="Times New Roman;Times;Serif"/>
          <w:b/>
          <w:i/>
          <w:caps w:val="false"/>
          <w:smallCaps w:val="false"/>
          <w:sz w:val="20"/>
        </w:rPr>
        <w:t>Representative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agreed to issue warrants to the underwriters of the IPO (“Warrants”) to purchase </w:t>
      </w:r>
      <w:bookmarkStart w:id="402" w:name="xdx_90E_eus-gaap--StockIssuedDuringPerio"/>
      <w:bookmarkEnd w:id="402"/>
      <w:r>
        <w:rPr>
          <w:rFonts w:ascii="Times New Roman;Times;Serif" w:hAnsi="Times New Roman;Times;Serif"/>
          <w:b w:val="false"/>
          <w:i w:val="false"/>
          <w:caps w:val="false"/>
          <w:smallCaps w:val="false"/>
          <w:sz w:val="20"/>
        </w:rPr>
        <w:t>23,502 ADSs. The Warrants are exercisable at a per share exercise price of $</w:t>
      </w:r>
      <w:bookmarkStart w:id="403" w:name="xdx_906_eus-gaap--ClassOfWarrantOrRightE"/>
      <w:bookmarkEnd w:id="403"/>
      <w:r>
        <w:rPr>
          <w:rFonts w:ascii="Times New Roman;Times;Serif" w:hAnsi="Times New Roman;Times;Serif"/>
          <w:b w:val="false"/>
          <w:i w:val="false"/>
          <w:caps w:val="false"/>
          <w:smallCaps w:val="false"/>
          <w:sz w:val="20"/>
        </w:rPr>
        <w:t>14.375 per ADS. The Warrants are exercisable at any time and from time to time, in whole or in part, during the four and one-half-year period commencing June 13,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provide for adjustment in the number and price of the Warrants and the ADSs underlying such Warrants in the event of recapitalization, merger, stock split or other structural transaction, or a future financing undertaken by the Company. The Warrants were evaluated under applicable guidance and accordingly classified as equity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04" w:name="xdx_869_zewwrlO2Uxaj"/>
      <w:bookmarkStart w:id="405" w:name="xdx_843_ecustom--NoncurrentAssetsRightof"/>
      <w:bookmarkEnd w:id="404"/>
      <w:bookmarkEnd w:id="405"/>
      <w:r>
        <w:rPr>
          <w:rFonts w:ascii="Times New Roman;Times;Serif" w:hAnsi="Times New Roman;Times;Serif"/>
          <w:b/>
          <w:i/>
          <w:caps w:val="false"/>
          <w:smallCaps w:val="false"/>
          <w:sz w:val="20"/>
        </w:rPr>
        <w:t>Non-current assets right of use (ROU)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a contract containing a lease, the Company classifies leases other than short-term leases as either an operating lease or a finance lease according to the criteria prescribed by ASC 842. The Company recognizes both lease liabilities and right-of-use assets on the balance sheet for all leases, except for short-term leases (those with a lease term of 12 months or less). Lease liabilities are initially measured at the present value of the future lease payments over the lease term, discounted at the rate implicit in the lease or, if that rate is not readily determinable, the Company’s incremental borrowing rate. The right-of-use assets represent the lessee’s right to use the underlying asset for the lease term and are initially measured at the same amount as the corresponding lease liability. For finance leases, the Company recognizes interest expense on the lease liability and amortization expense on the right-of-use asset. For operating leases, lease expense is recognized on a straight-line basis over the lease term.</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06" w:name="xdx_86A_zy4jkkY8cGxb"/>
      <w:bookmarkStart w:id="407" w:name="xdx_848_eus-gaap--PropertyPlantAndEquipm"/>
      <w:bookmarkEnd w:id="406"/>
      <w:bookmarkEnd w:id="407"/>
      <w:r>
        <w:rPr>
          <w:rFonts w:ascii="Times New Roman;Times;Serif" w:hAnsi="Times New Roman;Times;Serif"/>
          <w:b/>
          <w:i/>
          <w:caps w:val="false"/>
          <w:smallCaps w:val="false"/>
          <w:sz w:val="20"/>
        </w:rPr>
        <w:t>Fixed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any accessory and direct costs that are necessary to make the assets fit for use, and adjusted by the corresponding accumulated depreciation. Depreciation is systematically recorded in the consolidated financial statements taking into consideration the use, purpose, and financial-technical duration of the assets, based on their estimated useful economic lives. Leasehold improvements depreciation is recorded based on the shorter of the life of the leasehold improvement or the remaining term of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08" w:name="xdx_867_zOG2gZVATGC5"/>
      <w:bookmarkStart w:id="409" w:name="xdx_84E_eus-gaap--ImpairmentOrDisposalOf"/>
      <w:bookmarkEnd w:id="408"/>
      <w:bookmarkEnd w:id="409"/>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Topic 360-10-20, “Property, Plant and Equipment,” the Company performs an impairment test whenever events or circumstances indicate that the carrying value of long- 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for the periods ended December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10" w:name="xdx_868_zPPcR5AghiG"/>
      <w:bookmarkStart w:id="411" w:name="xdx_840_eus-gaap--DeferredChargesPolicyT"/>
      <w:bookmarkEnd w:id="410"/>
      <w:bookmarkEnd w:id="411"/>
      <w:r>
        <w:rPr>
          <w:rFonts w:ascii="Times New Roman;Times;Serif" w:hAnsi="Times New Roman;Times;Serif"/>
          <w:b/>
          <w:i/>
          <w:caps w:val="false"/>
          <w:smallCaps w:val="false"/>
          <w:sz w:val="20"/>
        </w:rPr>
        <w:t>Deferred 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public offering costs, which primarily consist of direct, incremental legal and accounting fees relating to fundraising activities (e.g., an IPO), were capitalized within prepaid expenses and other current assets prior to the IPO and netted or offset with the IPO proceeds upon closing of the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incurred approximately €</w:t>
      </w:r>
      <w:bookmarkStart w:id="412" w:name="xdx_908_eus-gaap--StockIssuedDuringPerio"/>
      <w:bookmarkEnd w:id="412"/>
      <w:r>
        <w:rPr>
          <w:rFonts w:ascii="Times New Roman;Times;Serif" w:hAnsi="Times New Roman;Times;Serif"/>
          <w:b w:val="false"/>
          <w:i w:val="false"/>
          <w:caps w:val="false"/>
          <w:smallCaps w:val="false"/>
          <w:sz w:val="20"/>
        </w:rPr>
        <w:t>0.3 million of ATM Offering costs that were fully expensed in the Consolidated Statement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Company did not incur offering costs.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2021, the Company incurred approximately €</w:t>
      </w:r>
      <w:bookmarkStart w:id="413" w:name="xdx_906_eus-gaap--StockIssuedDuringPerio"/>
      <w:bookmarkEnd w:id="413"/>
      <w:r>
        <w:rPr>
          <w:rFonts w:ascii="Times New Roman;Times;Serif" w:hAnsi="Times New Roman;Times;Serif"/>
          <w:b w:val="false"/>
          <w:i w:val="false"/>
          <w:caps w:val="false"/>
          <w:smallCaps w:val="false"/>
          <w:sz w:val="20"/>
        </w:rPr>
        <w:t>3.9 million in qualifying offering costs that were recorded as an offset to IPO proceeds, approximately €</w:t>
      </w:r>
      <w:bookmarkStart w:id="414" w:name="xdx_90C_eus-gaap--DeferredOfferingCosts_"/>
      <w:bookmarkEnd w:id="414"/>
      <w:r>
        <w:rPr>
          <w:rFonts w:ascii="Times New Roman;Times;Serif" w:hAnsi="Times New Roman;Times;Serif"/>
          <w:b w:val="false"/>
          <w:i w:val="false"/>
          <w:caps w:val="false"/>
          <w:smallCaps w:val="false"/>
          <w:sz w:val="20"/>
        </w:rPr>
        <w:t>156,000 of these costs were recognized as deferred offering costs in the preceding period.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15" w:name="xdx_860_zet4GNoIdpQj"/>
      <w:bookmarkStart w:id="416" w:name="xdx_841_eus-gaap--NewAccountingPronounce"/>
      <w:bookmarkEnd w:id="415"/>
      <w:bookmarkEnd w:id="416"/>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the U.S. Jump-Start Our Business Startups Act (the “U.S. JOBS Act”) was signed into law. The U.S. JOBS Act contains provisions that, among other things, reduce certain reporting requirements for an emerging growth company. As an emerging growth company, the Company may elect to adopt new or revised accounting standards when they become effective for non-public companies, which typically is later than when public companies must adopt the standards. The Company has elected to take advantage of the extended transition period afforded by the U.S. JOBS Act and, as a result, unless the Company elects early adoption of any standards, will adopt the new or revised accounting standards on the relevant dates on which adoption of such standards is required for non-public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the FASB issued ASU 2021-10, Government Assistance (Topic 832), Disclosures by Business Entities about Government Assistance. The aim of ASU 2021-10 is to increase the transparency of government assistance including the disclosure of (1) the types of assistance, (2) an entity’s accounting for the assistance, and (3) the effect of the assistance on an entity’s financial statements. Diversity currently exists in the recognition, measurement, presentation, and disclosure of government assistance received by business entities because of the lack of specific authoritative guidance in GAAP. The ASU will be effective for annual reporting periods after December 15, 2021, and early adoption is permitted. Upon implementation, the Company may use either a prospective or retrospective method of adoption when adopting the ASU. The Company is evaluating the impact of adopting the new ASU.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2020-06, Debt—Debt with Conversion and Other Options (Subtopic 470-20) and Derivatives and Hedging —Contracts in Entity’s Own Equity (Subtopic 815-40): Accounting for Convertible Instruments and Contracts in an Entity’s Own Equity. This ASU amends the guidance on convertible instruments and the derivatives scope exception for contracts in an entity’s own equity and improves and amends the related EPS guidance for both Subtopics. The ASU will be effective for annual reporting periods after December 15, 2023, and interim periods within those annual periods and early adoption is permitted in fiscal periods ending after December 15, 2020. Upon implementation, the Company may use either a modified retrospective or full retrospective method of adoption. The Company is evaluating the impact of adopting the new ASU.</w:t>
      </w:r>
    </w:p>
    <w:p>
      <w:pPr>
        <w:pStyle w:val="TextBody"/>
        <w:bidi w:val="0"/>
        <w:spacing w:before="0" w:after="0"/>
        <w:ind w:left="0" w:right="0" w:hanging="0"/>
        <w:jc w:val="left"/>
        <w:rPr>
          <w:caps w:val="false"/>
          <w:smallCaps w:val="false"/>
        </w:rPr>
      </w:pPr>
      <w:bookmarkStart w:id="417" w:name="xdx_85B_zt186mQxTmb"/>
      <w:bookmarkEnd w:id="41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8" w:name="xdx_80A_eus-gaap--ResearchDevelopmentAnd"/>
      <w:bookmarkEnd w:id="418"/>
      <w:r>
        <w:rPr>
          <w:rFonts w:ascii="Times New Roman;Times;Serif" w:hAnsi="Times New Roman;Times;Serif"/>
          <w:b/>
          <w:i w:val="false"/>
          <w:caps w:val="false"/>
          <w:smallCaps w:val="false"/>
          <w:sz w:val="20"/>
        </w:rPr>
        <w:t xml:space="preserve">3. </w:t>
      </w:r>
      <w:bookmarkStart w:id="419" w:name="xdx_820_zm67dxMPEJMd"/>
      <w:bookmarkEnd w:id="419"/>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expenses consist of costs incurred in performing research and development activities, including salaries, share- 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annually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0" w:name="xdx_809_ecustom--GeneralAndAdministrativ"/>
      <w:bookmarkEnd w:id="420"/>
      <w:r>
        <w:rPr>
          <w:rFonts w:ascii="Times New Roman;Times;Serif" w:hAnsi="Times New Roman;Times;Serif"/>
          <w:b/>
          <w:i w:val="false"/>
          <w:caps w:val="false"/>
          <w:smallCaps w:val="false"/>
          <w:sz w:val="20"/>
        </w:rPr>
        <w:t xml:space="preserve">4. </w:t>
      </w:r>
      <w:bookmarkStart w:id="421" w:name="xdx_82A_zG5ER5d1mN3"/>
      <w:bookmarkEnd w:id="421"/>
      <w:r>
        <w:rPr>
          <w:rFonts w:ascii="Times New Roman;Times;Serif" w:hAnsi="Times New Roman;Times;Serif"/>
          <w:b/>
          <w:i w:val="false"/>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2" w:name="xdx_805_eus-gaap--IncomeTaxDisclosureTex"/>
      <w:bookmarkEnd w:id="422"/>
      <w:r>
        <w:rPr>
          <w:rFonts w:ascii="Times New Roman;Times;Serif" w:hAnsi="Times New Roman;Times;Serif"/>
          <w:b/>
          <w:i w:val="false"/>
          <w:caps w:val="false"/>
          <w:smallCaps w:val="false"/>
          <w:sz w:val="20"/>
        </w:rPr>
        <w:t xml:space="preserve">5. </w:t>
      </w:r>
      <w:bookmarkStart w:id="423" w:name="xdx_820_zsbcgBQB9pek"/>
      <w:bookmarkEnd w:id="423"/>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Italy, and with the addition of the Company’s wholly owned subsidiary in the U.S., the Company is subject to taxation in the U.S. Taxation in Italy includes the standard corporate income tax and a regional business tax. Taxation in the U.S. includes federal corporate income tax (“IRS”), as well as state and local taxes. Taxes are recorded on an accrual basis. They therefore represent the allowances for taxes paid or to be paid for the year, calculated according to the current enacted rates and applicable laws. In the future, the Company may be taxed in various other countries where it may have permanent establishments, as applicable. For the period ending December 31, 2023, 2022 and 2021, due to the tax loss position reported, no income taxes were due in Italy or in the U.S., although the U.S. subsidiary had taxable income in 2022. In addition, the subsidiary in the U.S. had an immaterial amount of other state taxes.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Company considers existing evidence, both positive and negative, that could impact its view with regards to future realization of deferred tax assets. In consideration of the start-up status of the Company, a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For the Italian Company, the prior five years of tax returns (2019-2023) are potentially subject to audit, for the Subsidiary in the U.S. the open years for tax examination are 2021, 2022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bookmarkStart w:id="424" w:name="xdx_890_eus-gaap--ScheduleOfEffectiveInc"/>
      <w:bookmarkEnd w:id="424"/>
      <w:r>
        <w:rPr>
          <w:rFonts w:ascii="Times New Roman;Times;Serif" w:hAnsi="Times New Roman;Times;Serif"/>
          <w:b w:val="false"/>
          <w:i w:val="false"/>
          <w:caps w:val="false"/>
          <w:smallCaps w:val="false"/>
          <w:sz w:val="20"/>
        </w:rPr>
        <w:t>The Company files tax returns as prescribed by the tax laws of the jurisdictions in which it operates. A reconciliation of the Company’s effective tax rate is summarized as follows:</w:t>
      </w:r>
    </w:p>
    <w:p>
      <w:pPr>
        <w:pStyle w:val="TextBody"/>
        <w:bidi w:val="0"/>
        <w:spacing w:before="0" w:after="0"/>
        <w:ind w:left="0" w:right="0" w:hanging="0"/>
        <w:jc w:val="left"/>
        <w:rPr>
          <w:caps w:val="false"/>
          <w:smallCaps w:val="false"/>
        </w:rPr>
      </w:pPr>
      <w:r>
        <w:rPr>
          <w:caps w:val="false"/>
          <w:smallCaps w:val="false"/>
        </w:rPr>
        <w:t> </w:t>
      </w:r>
      <w:bookmarkStart w:id="425" w:name="xdx_8B1_zogdSvncu3k4"/>
      <w:bookmarkEnd w:id="425"/>
      <w:r>
        <w:rPr>
          <w:rFonts w:ascii="Times New Roman;Times;Serif" w:hAnsi="Times New Roman;Times;Serif"/>
          <w:b w:val="false"/>
          <w:i w:val="false"/>
          <w:caps w:val="false"/>
          <w:smallCaps w:val="false"/>
          <w:sz w:val="20"/>
        </w:rPr>
        <w:t>Schedule of effective income tax rate reconciliation</w:t>
      </w:r>
    </w:p>
    <w:tbl>
      <w:tblPr>
        <w:tblW w:w="7985" w:type="dxa"/>
        <w:jc w:val="left"/>
        <w:tblInd w:w="0" w:type="dxa"/>
        <w:tblLayout w:type="fixed"/>
        <w:tblCellMar>
          <w:top w:w="0" w:type="dxa"/>
          <w:left w:w="0" w:type="dxa"/>
          <w:bottom w:w="0" w:type="dxa"/>
          <w:right w:w="0" w:type="dxa"/>
        </w:tblCellMar>
      </w:tblPr>
      <w:tblGrid>
        <w:gridCol w:w="3920"/>
        <w:gridCol w:w="60"/>
        <w:gridCol w:w="140"/>
        <w:gridCol w:w="1055"/>
        <w:gridCol w:w="95"/>
        <w:gridCol w:w="60"/>
        <w:gridCol w:w="140"/>
        <w:gridCol w:w="1055"/>
        <w:gridCol w:w="95"/>
        <w:gridCol w:w="60"/>
        <w:gridCol w:w="140"/>
        <w:gridCol w:w="1055"/>
        <w:gridCol w:w="110"/>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6" w:name="xdx_491_20230101__20231231_ztZghhzHveyi"/>
            <w:bookmarkEnd w:id="426"/>
          </w:p>
        </w:tc>
        <w:tc>
          <w:tcPr>
            <w:tcW w:w="119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7" w:name="xdx_49C_20220101__20221231_zfIsSj8hvw4h"/>
            <w:bookmarkEnd w:id="427"/>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8" w:name="xdx_49A_20210101__20211231_zkyQxHbZbsUb"/>
            <w:bookmarkEnd w:id="428"/>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1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5"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110" w:type="dxa"/>
            <w:tcBorders/>
            <w:vAlign w:val="center"/>
          </w:tcPr>
          <w:p>
            <w:pPr>
              <w:pStyle w:val="TableContents"/>
              <w:bidi w:val="0"/>
              <w:spacing w:before="0" w:after="283"/>
              <w:jc w:val="left"/>
              <w:rPr/>
            </w:pPr>
            <w:r>
              <w:rPr/>
              <w:t> </w:t>
            </w:r>
            <w:bookmarkStart w:id="429" w:name="xdx_406_eus-gaap--IncomeTaxReconciliatio"/>
            <w:bookmarkEnd w:id="429"/>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at Italy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(2,794,909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(2,034,663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(1,296,797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0" w:name="xdx_403_eus-gaap--IncomeTaxReconciliatio"/>
            <w:bookmarkEnd w:id="430"/>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(1,189,844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1" w:name="xdx_403_eus-gaap--IncomeTaxReconciliatio"/>
            <w:bookmarkEnd w:id="431"/>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(171,032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(29,928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2" w:name="xdx_404_ecustom--IncomeTaxReconciliation"/>
            <w:bookmarkEnd w:id="432"/>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 Income tax for Genenta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(31,993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3" w:name="xdx_40A_eus-gaap--IncomeTaxReconciliatio"/>
            <w:bookmarkEnd w:id="433"/>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2,746,339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2,226,074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2,543,031</w:t>
            </w:r>
          </w:p>
        </w:tc>
        <w:tc>
          <w:tcPr>
            <w:tcW w:w="110" w:type="dxa"/>
            <w:tcBorders/>
            <w:shd w:fill="CCEEFF" w:val="clear"/>
            <w:vAlign w:val="center"/>
          </w:tcPr>
          <w:p>
            <w:pPr>
              <w:pStyle w:val="TableContents"/>
              <w:bidi w:val="0"/>
              <w:spacing w:before="0" w:after="283"/>
              <w:jc w:val="left"/>
              <w:rPr/>
            </w:pPr>
            <w:r>
              <w:rPr/>
              <w:t> </w:t>
            </w:r>
            <w:bookmarkStart w:id="434" w:name="xdx_40F_eus-gaap--IncomeTaxExpenseBenefi"/>
            <w:bookmarkEnd w:id="434"/>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provision expense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35" w:name="xdx_8AD_zMTYlvqOxYG5"/>
      <w:bookmarkEnd w:id="435"/>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bookmarkStart w:id="436" w:name="xdx_896_eus-gaap--ScheduleOfDeferredTaxA"/>
      <w:bookmarkEnd w:id="436"/>
      <w:r>
        <w:rPr>
          <w:rFonts w:ascii="Times New Roman;Times;Serif" w:hAnsi="Times New Roman;Times;Serif"/>
          <w:b w:val="false"/>
          <w:i w:val="false"/>
          <w:caps w:val="false"/>
          <w:smallCaps w:val="false"/>
          <w:sz w:val="20"/>
        </w:rPr>
        <w:t>Significant components of the Company’s net deferred tax assets are summarized as follows:</w:t>
      </w:r>
    </w:p>
    <w:p>
      <w:pPr>
        <w:pStyle w:val="TextBody"/>
        <w:bidi w:val="0"/>
        <w:spacing w:before="0" w:after="0"/>
        <w:ind w:left="0" w:right="0" w:hanging="0"/>
        <w:jc w:val="left"/>
        <w:rPr>
          <w:caps w:val="false"/>
          <w:smallCaps w:val="false"/>
        </w:rPr>
      </w:pPr>
      <w:r>
        <w:rPr>
          <w:caps w:val="false"/>
          <w:smallCaps w:val="false"/>
        </w:rPr>
        <w:t> </w:t>
      </w:r>
      <w:bookmarkStart w:id="437" w:name="xdx_8BF_zKwN4jFbCwOi"/>
      <w:bookmarkEnd w:id="437"/>
      <w:r>
        <w:rPr>
          <w:rFonts w:ascii="Times New Roman;Times;Serif" w:hAnsi="Times New Roman;Times;Serif"/>
          <w:b w:val="false"/>
          <w:i w:val="false"/>
          <w:caps w:val="false"/>
          <w:smallCaps w:val="false"/>
          <w:sz w:val="20"/>
        </w:rPr>
        <w:t>Schedule of deferred tax assets</w:t>
      </w:r>
    </w:p>
    <w:tbl>
      <w:tblPr>
        <w:tblW w:w="7310" w:type="dxa"/>
        <w:jc w:val="left"/>
        <w:tblInd w:w="0" w:type="dxa"/>
        <w:tblLayout w:type="fixed"/>
        <w:tblCellMar>
          <w:top w:w="0" w:type="dxa"/>
          <w:left w:w="0" w:type="dxa"/>
          <w:bottom w:w="0" w:type="dxa"/>
          <w:right w:w="0" w:type="dxa"/>
        </w:tblCellMar>
      </w:tblPr>
      <w:tblGrid>
        <w:gridCol w:w="3125"/>
        <w:gridCol w:w="60"/>
        <w:gridCol w:w="140"/>
        <w:gridCol w:w="1175"/>
        <w:gridCol w:w="95"/>
        <w:gridCol w:w="60"/>
        <w:gridCol w:w="140"/>
        <w:gridCol w:w="1055"/>
        <w:gridCol w:w="95"/>
        <w:gridCol w:w="60"/>
        <w:gridCol w:w="140"/>
        <w:gridCol w:w="1055"/>
        <w:gridCol w:w="110"/>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8" w:name="xdx_499_20231231_zZlm9a8mNGSd"/>
            <w:bookmarkEnd w:id="438"/>
          </w:p>
        </w:tc>
        <w:tc>
          <w:tcPr>
            <w:tcW w:w="131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9" w:name="xdx_493_20221231_zPYmhVfZ8d09"/>
            <w:bookmarkEnd w:id="439"/>
          </w:p>
        </w:tc>
        <w:tc>
          <w:tcPr>
            <w:tcW w:w="119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0" w:name="xdx_494_20211231_zU1n3Ze4AUO7"/>
            <w:bookmarkEnd w:id="440"/>
          </w:p>
        </w:tc>
        <w:tc>
          <w:tcPr>
            <w:tcW w:w="119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5"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41" w:name="xdx_40C_eus-gaap--DeferredTaxAssetsOpera"/>
            <w:bookmarkEnd w:id="441"/>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11,772,870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7,125,174</w:t>
            </w:r>
          </w:p>
        </w:tc>
        <w:tc>
          <w:tcPr>
            <w:tcW w:w="110" w:type="dxa"/>
            <w:tcBorders/>
            <w:shd w:fill="FFFFFF" w:val="clear"/>
            <w:vAlign w:val="center"/>
          </w:tcPr>
          <w:p>
            <w:pPr>
              <w:pStyle w:val="TableContents"/>
              <w:bidi w:val="0"/>
              <w:spacing w:before="0" w:after="283"/>
              <w:jc w:val="left"/>
              <w:rPr/>
            </w:pPr>
            <w:r>
              <w:rPr/>
              <w:t> </w:t>
            </w:r>
            <w:bookmarkStart w:id="442" w:name="xdx_407_eus-gaap--DeferredTaxAssetsOther"/>
            <w:bookmarkEnd w:id="442"/>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temporary differences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w:t>
            </w:r>
          </w:p>
        </w:tc>
        <w:tc>
          <w:tcPr>
            <w:tcW w:w="110" w:type="dxa"/>
            <w:tcBorders/>
            <w:shd w:fill="CCEEFF" w:val="clear"/>
            <w:vAlign w:val="center"/>
          </w:tcPr>
          <w:p>
            <w:pPr>
              <w:pStyle w:val="TableContents"/>
              <w:bidi w:val="0"/>
              <w:spacing w:before="0" w:after="283"/>
              <w:jc w:val="left"/>
              <w:rPr/>
            </w:pPr>
            <w:r>
              <w:rPr/>
              <w:t> </w:t>
            </w:r>
            <w:bookmarkStart w:id="443" w:name="xdx_408_ecustom--DeferredTaxAssetsAllowa"/>
            <w:bookmarkEnd w:id="443"/>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corporate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315,322</w:t>
            </w:r>
          </w:p>
        </w:tc>
        <w:tc>
          <w:tcPr>
            <w:tcW w:w="110" w:type="dxa"/>
            <w:tcBorders/>
            <w:shd w:fill="FFFFFF" w:val="clear"/>
            <w:vAlign w:val="center"/>
          </w:tcPr>
          <w:p>
            <w:pPr>
              <w:pStyle w:val="TableContents"/>
              <w:bidi w:val="0"/>
              <w:spacing w:before="0" w:after="283"/>
              <w:jc w:val="left"/>
              <w:rPr/>
            </w:pPr>
            <w:r>
              <w:rPr/>
              <w:t> </w:t>
            </w:r>
            <w:bookmarkStart w:id="444" w:name="xdx_403_eus-gaap--DeferredTaxAssetsGross"/>
            <w:bookmarkEnd w:id="444"/>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12,418,909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9,672,570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7,446,496</w:t>
            </w:r>
          </w:p>
        </w:tc>
        <w:tc>
          <w:tcPr>
            <w:tcW w:w="110" w:type="dxa"/>
            <w:tcBorders/>
            <w:shd w:fill="CCEEFF" w:val="clear"/>
            <w:vAlign w:val="center"/>
          </w:tcPr>
          <w:p>
            <w:pPr>
              <w:pStyle w:val="TableContents"/>
              <w:bidi w:val="0"/>
              <w:spacing w:before="0" w:after="283"/>
              <w:jc w:val="left"/>
              <w:rPr/>
            </w:pPr>
            <w:r>
              <w:rPr/>
              <w:t> </w:t>
            </w:r>
            <w:bookmarkStart w:id="445" w:name="xdx_40D_eus-gaap--DeferredTaxAssetsValua"/>
            <w:bookmarkEnd w:id="445"/>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(12,418,909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(9,672,570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(7,446,496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6" w:name="xdx_40C_eus-gaap--DeferredTaxAssetsNet_i"/>
            <w:bookmarkEnd w:id="446"/>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47" w:name="xdx_8A6_zZGQuP1oiW2"/>
      <w:bookmarkEnd w:id="447"/>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2022 and 2021, the Company believes there are no significant differences with regards to its deferred tax assets and its relevant components, compared to the computations of the preceding periods.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2011, the Italian tax authorities issued a set of rules that modified the previous treatment of tax loss carryforwards. According to the DL 98/2011, at the end of 2011, all existing tax loss carryforwards will never expire but they can off-set only </w:t>
      </w:r>
      <w:bookmarkStart w:id="448" w:name="xdx_90C_ecustom--PercentageOfTaxableInco"/>
      <w:bookmarkEnd w:id="448"/>
      <w:r>
        <w:rPr>
          <w:rFonts w:ascii="Times New Roman;Times;Serif" w:hAnsi="Times New Roman;Times;Serif"/>
          <w:b w:val="false"/>
          <w:i w:val="false"/>
          <w:caps w:val="false"/>
          <w:smallCaps w:val="false"/>
          <w:sz w:val="20"/>
        </w:rPr>
        <w:t>80% of the taxable income of the year. The rules do not affect the tax loss carryforward that refer to the start-up period, defined as the first three years of operations starting from the inception of the Company.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amount of deferred tax assets that can be carried forward indefinitely and used without limitation or with the limit of 80% of taxable income generated in Italy, as provided by Legislative Decree 98/2011:</w:t>
      </w:r>
    </w:p>
    <w:p>
      <w:pPr>
        <w:pStyle w:val="TextBody"/>
        <w:bidi w:val="0"/>
        <w:spacing w:before="0" w:after="0"/>
        <w:ind w:left="0" w:right="0" w:firstLine="648"/>
        <w:jc w:val="both"/>
        <w:rPr>
          <w:caps w:val="false"/>
          <w:smallCaps w:val="false"/>
        </w:rPr>
      </w:pPr>
      <w:bookmarkStart w:id="449" w:name="xdx_896_ecustom--ScheduleOfTaxLossCarryf"/>
      <w:bookmarkEnd w:id="449"/>
      <w:r>
        <w:rPr>
          <w:caps w:val="false"/>
          <w:smallCaps w:val="false"/>
        </w:rPr>
        <w:t> </w:t>
      </w:r>
      <w:bookmarkStart w:id="450" w:name="xdx_8B2_z6OSwf14u218"/>
      <w:bookmarkEnd w:id="450"/>
      <w:r>
        <w:rPr>
          <w:rFonts w:ascii="Times New Roman;Times;Serif" w:hAnsi="Times New Roman;Times;Serif"/>
          <w:b w:val="false"/>
          <w:i w:val="false"/>
          <w:caps w:val="false"/>
          <w:smallCaps w:val="false"/>
          <w:sz w:val="20"/>
        </w:rPr>
        <w:t>Schedule of tax loss carryforwards expire</w:t>
      </w:r>
    </w:p>
    <w:tbl>
      <w:tblPr>
        <w:tblW w:w="7250" w:type="dxa"/>
        <w:jc w:val="left"/>
        <w:tblInd w:w="0" w:type="dxa"/>
        <w:tblLayout w:type="fixed"/>
        <w:tblCellMar>
          <w:top w:w="0" w:type="dxa"/>
          <w:left w:w="0" w:type="dxa"/>
          <w:bottom w:w="0" w:type="dxa"/>
          <w:right w:w="0" w:type="dxa"/>
        </w:tblCellMar>
      </w:tblPr>
      <w:tblGrid>
        <w:gridCol w:w="3155"/>
        <w:gridCol w:w="60"/>
        <w:gridCol w:w="140"/>
        <w:gridCol w:w="1100"/>
        <w:gridCol w:w="60"/>
        <w:gridCol w:w="60"/>
        <w:gridCol w:w="140"/>
        <w:gridCol w:w="1100"/>
        <w:gridCol w:w="60"/>
        <w:gridCol w:w="60"/>
        <w:gridCol w:w="140"/>
        <w:gridCol w:w="1100"/>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1" w:name="xdx_493_20231231_zlaftL6HZg1a"/>
            <w:bookmarkEnd w:id="451"/>
          </w:p>
        </w:tc>
        <w:tc>
          <w:tcPr>
            <w:tcW w:w="124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2" w:name="xdx_498_20221231_zUQJkDuErj3f"/>
            <w:bookmarkEnd w:id="452"/>
          </w:p>
        </w:tc>
        <w:tc>
          <w:tcPr>
            <w:tcW w:w="124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3" w:name="xdx_491_20211231_zHVdGUY2qZB8"/>
            <w:bookmarkEnd w:id="453"/>
          </w:p>
        </w:tc>
        <w:tc>
          <w:tcPr>
            <w:tcW w:w="124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2021</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6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2021</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6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75" w:type="dxa"/>
            <w:tcBorders/>
            <w:vAlign w:val="center"/>
          </w:tcPr>
          <w:p>
            <w:pPr>
              <w:pStyle w:val="TableContents"/>
              <w:bidi w:val="0"/>
              <w:spacing w:before="0" w:after="283"/>
              <w:jc w:val="left"/>
              <w:rPr/>
            </w:pPr>
            <w:r>
              <w:rPr/>
              <w:t> </w:t>
            </w:r>
            <w:bookmarkStart w:id="454" w:name="xdx_40A_eus-gaap--OperatingLossCarryforw"/>
            <w:bookmarkEnd w:id="454"/>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expiration date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5,487,085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5,487,085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5,487,085</w:t>
            </w:r>
          </w:p>
        </w:tc>
        <w:tc>
          <w:tcPr>
            <w:tcW w:w="75" w:type="dxa"/>
            <w:tcBorders/>
            <w:shd w:fill="CCEEFF" w:val="clear"/>
            <w:vAlign w:val="center"/>
          </w:tcPr>
          <w:p>
            <w:pPr>
              <w:pStyle w:val="TableContents"/>
              <w:bidi w:val="0"/>
              <w:spacing w:before="0" w:after="283"/>
              <w:jc w:val="left"/>
              <w:rPr/>
            </w:pPr>
            <w:r>
              <w:rPr/>
              <w:t> </w:t>
            </w:r>
            <w:bookmarkStart w:id="455" w:name="xdx_404_eus-gaap--OperatingLossCarryforw"/>
            <w:bookmarkEnd w:id="455"/>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expiration date - DL 98/2011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43,191,915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33,054,966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24,241,891</w:t>
            </w:r>
          </w:p>
        </w:tc>
        <w:tc>
          <w:tcPr>
            <w:tcW w:w="75" w:type="dxa"/>
            <w:tcBorders/>
            <w:shd w:fill="FFFFFF" w:val="clear"/>
            <w:vAlign w:val="center"/>
          </w:tcPr>
          <w:p>
            <w:pPr>
              <w:pStyle w:val="TableContents"/>
              <w:bidi w:val="0"/>
              <w:spacing w:before="0" w:after="283"/>
              <w:jc w:val="left"/>
              <w:rPr/>
            </w:pPr>
            <w:r>
              <w:rPr/>
              <w:t> </w:t>
            </w:r>
            <w:bookmarkStart w:id="456" w:name="xdx_405_eus-gaap--OperatingLossCarryforw"/>
            <w:bookmarkEnd w:id="456"/>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48,679,000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38,542,051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29,728,976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57" w:name="xdx_8AC_z4wYWg2WepZa"/>
      <w:bookmarkEnd w:id="45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analyzed its tax position by determining the amount of tax losses that can be carried forward indefinitely and has decided to accrue an allowance for related deferred tax assets as the Company is in a situation of pre-revenues that is destined to remain in the long run and there is no certainty of the future recoverability of such tax losses through tax relevant incomes. Future taxable profits for the Company depend on the manufacture of marketable drugs following the successful completion of the clinical trial. Since the clinical trial is still in Phase I/2A, the time frame and uncertainties regarding the outcome of the completion justify the full allowance of deferred tax assets.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8" w:name="xdx_803_eus-gaap--OtherCurrentAssetsText"/>
      <w:bookmarkEnd w:id="458"/>
      <w:r>
        <w:rPr>
          <w:rFonts w:ascii="Times New Roman;Times;Serif" w:hAnsi="Times New Roman;Times;Serif"/>
          <w:b/>
          <w:i w:val="false"/>
          <w:caps w:val="false"/>
          <w:smallCaps w:val="false"/>
          <w:sz w:val="20"/>
        </w:rPr>
        <w:t xml:space="preserve">6. </w:t>
      </w:r>
      <w:bookmarkStart w:id="459" w:name="xdx_826_zWi5gmMduOac"/>
      <w:bookmarkEnd w:id="459"/>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bookmarkStart w:id="460" w:name="xdx_892_eus-gaap--ScheduleOfOtherCurrent"/>
      <w:bookmarkEnd w:id="460"/>
      <w:r>
        <w:rPr>
          <w:rFonts w:ascii="Times New Roman;Times;Serif" w:hAnsi="Times New Roman;Times;Serif"/>
          <w:b w:val="false"/>
          <w:i w:val="false"/>
          <w:caps w:val="false"/>
          <w:smallCaps w:val="false"/>
          <w:sz w:val="20"/>
        </w:rPr>
        <w:t>Prepaid expenses and other current assets consist of the following:</w:t>
      </w:r>
    </w:p>
    <w:p>
      <w:pPr>
        <w:pStyle w:val="TextBody"/>
        <w:bidi w:val="0"/>
        <w:spacing w:before="0" w:after="0"/>
        <w:ind w:left="0" w:right="0" w:firstLine="648"/>
        <w:jc w:val="left"/>
        <w:rPr>
          <w:caps w:val="false"/>
          <w:smallCaps w:val="false"/>
        </w:rPr>
      </w:pPr>
      <w:r>
        <w:rPr>
          <w:caps w:val="false"/>
          <w:smallCaps w:val="false"/>
        </w:rPr>
        <w:t> </w:t>
      </w:r>
      <w:bookmarkStart w:id="461" w:name="xdx_8B6_zcgdqG2PY0sl"/>
      <w:bookmarkEnd w:id="461"/>
      <w:r>
        <w:rPr>
          <w:rFonts w:ascii="Times New Roman;Times;Serif" w:hAnsi="Times New Roman;Times;Serif"/>
          <w:b w:val="false"/>
          <w:i w:val="false"/>
          <w:caps w:val="false"/>
          <w:smallCaps w:val="false"/>
          <w:sz w:val="20"/>
        </w:rPr>
        <w:t>Schedule of prepaid expenses and other current assets</w:t>
      </w:r>
    </w:p>
    <w:tbl>
      <w:tblPr>
        <w:tblW w:w="7250" w:type="dxa"/>
        <w:jc w:val="left"/>
        <w:tblInd w:w="0" w:type="dxa"/>
        <w:tblLayout w:type="fixed"/>
        <w:tblCellMar>
          <w:top w:w="0" w:type="dxa"/>
          <w:left w:w="0" w:type="dxa"/>
          <w:bottom w:w="0" w:type="dxa"/>
          <w:right w:w="0" w:type="dxa"/>
        </w:tblCellMar>
      </w:tblPr>
      <w:tblGrid>
        <w:gridCol w:w="3515"/>
        <w:gridCol w:w="60"/>
        <w:gridCol w:w="140"/>
        <w:gridCol w:w="980"/>
        <w:gridCol w:w="60"/>
        <w:gridCol w:w="60"/>
        <w:gridCol w:w="140"/>
        <w:gridCol w:w="980"/>
        <w:gridCol w:w="60"/>
        <w:gridCol w:w="60"/>
        <w:gridCol w:w="140"/>
        <w:gridCol w:w="980"/>
        <w:gridCol w:w="75"/>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2" w:name="xdx_49B_20231231_zgj0xIciN4gk"/>
            <w:bookmarkEnd w:id="462"/>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3" w:name="xdx_49F_20221231_z3lgUwaX9Mt4"/>
            <w:bookmarkEnd w:id="463"/>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4" w:name="xdx_490_20211231_zU8ycXBXz2xl"/>
            <w:bookmarkEnd w:id="464"/>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(Euro)</w:t>
            </w:r>
          </w:p>
        </w:tc>
        <w:tc>
          <w:tcPr>
            <w:tcW w:w="75" w:type="dxa"/>
            <w:tcBorders/>
            <w:vAlign w:val="center"/>
          </w:tcPr>
          <w:p>
            <w:pPr>
              <w:pStyle w:val="TableContents"/>
              <w:bidi w:val="0"/>
              <w:spacing w:before="0" w:after="283"/>
              <w:jc w:val="left"/>
              <w:rPr/>
            </w:pPr>
            <w:r>
              <w:rPr/>
              <w:t> </w:t>
            </w:r>
            <w:bookmarkStart w:id="465" w:name="xdx_406_eus-gaap--ValueAddedTaxReceivabl"/>
            <w:bookmarkEnd w:id="465"/>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Value Added Tax (VAT)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820,780</w:t>
            </w:r>
          </w:p>
        </w:tc>
        <w:tc>
          <w:tcPr>
            <w:tcW w:w="75" w:type="dxa"/>
            <w:tcBorders/>
            <w:shd w:fill="CCEEFF" w:val="clear"/>
            <w:vAlign w:val="center"/>
          </w:tcPr>
          <w:p>
            <w:pPr>
              <w:pStyle w:val="TableContents"/>
              <w:bidi w:val="0"/>
              <w:spacing w:before="0" w:after="283"/>
              <w:jc w:val="left"/>
              <w:rPr/>
            </w:pPr>
            <w:r>
              <w:rPr/>
              <w:t> </w:t>
            </w:r>
            <w:bookmarkStart w:id="466" w:name="xdx_40E_ecustom--ResearchAndDevelopmentT"/>
            <w:bookmarkEnd w:id="466"/>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tax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w:t>
            </w:r>
          </w:p>
        </w:tc>
        <w:tc>
          <w:tcPr>
            <w:tcW w:w="75" w:type="dxa"/>
            <w:tcBorders/>
            <w:shd w:fill="FFFFFF" w:val="clear"/>
            <w:vAlign w:val="center"/>
          </w:tcPr>
          <w:p>
            <w:pPr>
              <w:pStyle w:val="TableContents"/>
              <w:bidi w:val="0"/>
              <w:spacing w:before="0" w:after="283"/>
              <w:jc w:val="left"/>
              <w:rPr/>
            </w:pPr>
            <w:r>
              <w:rPr/>
              <w:t> </w:t>
            </w:r>
            <w:bookmarkStart w:id="467" w:name="xdx_407_eus-gaap--Supplies_iI_maPECzw0D_"/>
            <w:bookmarkEnd w:id="467"/>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payments to suppliers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58,009</w:t>
            </w:r>
          </w:p>
        </w:tc>
        <w:tc>
          <w:tcPr>
            <w:tcW w:w="75" w:type="dxa"/>
            <w:tcBorders/>
            <w:shd w:fill="CCEEFF" w:val="clear"/>
            <w:vAlign w:val="center"/>
          </w:tcPr>
          <w:p>
            <w:pPr>
              <w:pStyle w:val="TableContents"/>
              <w:bidi w:val="0"/>
              <w:spacing w:before="0" w:after="283"/>
              <w:jc w:val="left"/>
              <w:rPr/>
            </w:pPr>
            <w:r>
              <w:rPr/>
              <w:t> </w:t>
            </w:r>
            <w:bookmarkStart w:id="468" w:name="xdx_408_eus-gaap--OtherAssetsCurrent_iI_"/>
            <w:bookmarkEnd w:id="468"/>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21,987</w:t>
            </w:r>
          </w:p>
        </w:tc>
        <w:tc>
          <w:tcPr>
            <w:tcW w:w="75" w:type="dxa"/>
            <w:tcBorders/>
            <w:shd w:fill="FFFFFF" w:val="clear"/>
            <w:vAlign w:val="center"/>
          </w:tcPr>
          <w:p>
            <w:pPr>
              <w:pStyle w:val="TableContents"/>
              <w:bidi w:val="0"/>
              <w:spacing w:before="0" w:after="283"/>
              <w:jc w:val="left"/>
              <w:rPr/>
            </w:pPr>
            <w:r>
              <w:rPr/>
              <w:t> </w:t>
            </w:r>
            <w:bookmarkStart w:id="469" w:name="xdx_402_eus-gaap--OtherPrepaidExpenseCur"/>
            <w:bookmarkEnd w:id="469"/>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prepaids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18,247</w:t>
            </w:r>
          </w:p>
        </w:tc>
        <w:tc>
          <w:tcPr>
            <w:tcW w:w="75" w:type="dxa"/>
            <w:tcBorders/>
            <w:shd w:fill="CCEEFF" w:val="clear"/>
            <w:vAlign w:val="center"/>
          </w:tcPr>
          <w:p>
            <w:pPr>
              <w:pStyle w:val="TableContents"/>
              <w:bidi w:val="0"/>
              <w:spacing w:before="0" w:after="283"/>
              <w:jc w:val="left"/>
              <w:rPr/>
            </w:pPr>
            <w:r>
              <w:rPr/>
              <w:t> </w:t>
            </w:r>
            <w:bookmarkStart w:id="470" w:name="xdx_407_eus-gaap--PrepaidExpenseCurrent_"/>
            <w:bookmarkEnd w:id="470"/>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2,480,554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1,519,023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648"/>
        <w:jc w:val="left"/>
        <w:rPr>
          <w:caps w:val="false"/>
          <w:smallCaps w:val="false"/>
        </w:rPr>
      </w:pPr>
      <w:bookmarkStart w:id="471" w:name="xdx_8A7_zg8clG4xa6O4"/>
      <w:bookmarkEnd w:id="471"/>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Added Tax (VAT) receivables are linked to purchases. Italian VAT (</w:t>
      </w:r>
      <w:r>
        <w:rPr>
          <w:rFonts w:ascii="Times New Roman;Times;Serif" w:hAnsi="Times New Roman;Times;Serif"/>
          <w:b w:val="false"/>
          <w:i/>
          <w:caps w:val="false"/>
          <w:smallCaps w:val="false"/>
          <w:sz w:val="20"/>
        </w:rPr>
        <w:t>Imposta sul Valore Aggiunto</w:t>
      </w:r>
      <w:r>
        <w:rPr>
          <w:rFonts w:ascii="Times New Roman;Times;Serif" w:hAnsi="Times New Roman;Times;Serif"/>
          <w:b w:val="false"/>
          <w:i w:val="false"/>
          <w:caps w:val="false"/>
          <w:smallCaps w:val="false"/>
          <w:sz w:val="20"/>
        </w:rPr>
        <w:t xml:space="preserve">) applies to the supply of goods and services carried out in Italy by entrepreneurs, professionals, or artists and on imports carried out by anyone. Intra-Community acquisitions are also subject to VAT under certain situations. The Italian standard VAT rate for 2023 and 2022 was </w:t>
      </w:r>
      <w:bookmarkStart w:id="472" w:name="xdx_90E_ecustom--PercentageofValueAddedT"/>
      <w:bookmarkStart w:id="473" w:name="xdx_90A_ecustom--PercentageofValueAddedT"/>
      <w:bookmarkEnd w:id="472"/>
      <w:bookmarkEnd w:id="473"/>
      <w:r>
        <w:rPr>
          <w:rFonts w:ascii="Times New Roman;Times;Serif" w:hAnsi="Times New Roman;Times;Serif"/>
          <w:b w:val="false"/>
          <w:i w:val="false"/>
          <w:caps w:val="false"/>
          <w:smallCaps w:val="false"/>
          <w:sz w:val="20"/>
        </w:rPr>
        <w:t>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w:t>
      </w:r>
      <w:bookmarkStart w:id="474" w:name="xdx_90C_eus-gaap--IncomeTaxReconciliatio"/>
      <w:bookmarkEnd w:id="474"/>
      <w:r>
        <w:rPr>
          <w:rFonts w:ascii="Times New Roman;Times;Serif" w:hAnsi="Times New Roman;Times;Serif"/>
          <w:b w:val="false"/>
          <w:i w:val="false"/>
          <w:caps w:val="false"/>
          <w:smallCaps w:val="false"/>
          <w:sz w:val="20"/>
        </w:rPr>
        <w:t>4.1 million at December 31, 2023, and approximately €</w:t>
      </w:r>
      <w:bookmarkStart w:id="475" w:name="xdx_908_eus-gaap--IncomeTaxReconciliatio"/>
      <w:bookmarkEnd w:id="475"/>
      <w:r>
        <w:rPr>
          <w:rFonts w:ascii="Times New Roman;Times;Serif" w:hAnsi="Times New Roman;Times;Serif"/>
          <w:b w:val="false"/>
          <w:i w:val="false"/>
          <w:caps w:val="false"/>
          <w:smallCaps w:val="false"/>
          <w:sz w:val="20"/>
        </w:rPr>
        <w:t>4.4 million at December 31, 2022,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for approximately 17 months after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12 months period ended December 31, 2023, the Company utilized approximately €</w:t>
      </w:r>
      <w:bookmarkStart w:id="476" w:name="xdx_90E_eus-gaap--TaxesPayableCurrent_iI"/>
      <w:bookmarkEnd w:id="476"/>
      <w:r>
        <w:rPr>
          <w:rFonts w:ascii="Times New Roman;Times;Serif" w:hAnsi="Times New Roman;Times;Serif"/>
          <w:b w:val="false"/>
          <w:i w:val="false"/>
          <w:caps w:val="false"/>
          <w:smallCaps w:val="false"/>
          <w:sz w:val="20"/>
        </w:rPr>
        <w:t>732,000 to offset certain social contributions and taxes payable, while during the financial year 2022, the Company utilized approximately €</w:t>
      </w:r>
      <w:bookmarkStart w:id="477" w:name="xdx_90A_eus-gaap--TaxesPayableCurrent_iI"/>
      <w:bookmarkEnd w:id="477"/>
      <w:r>
        <w:rPr>
          <w:rFonts w:ascii="Times New Roman;Times;Serif" w:hAnsi="Times New Roman;Times;Serif"/>
          <w:b w:val="false"/>
          <w:i w:val="false"/>
          <w:caps w:val="false"/>
          <w:smallCaps w:val="false"/>
          <w:sz w:val="20"/>
        </w:rPr>
        <w:t>600,000. The benefit recorded for the 12 months ended December 31, 2023 and 2022, to offset research and development expenses was approximately €</w:t>
      </w:r>
      <w:bookmarkStart w:id="478" w:name="xdx_90D_eus-gaap--ResearchAndDevelopment"/>
      <w:bookmarkEnd w:id="478"/>
      <w:r>
        <w:rPr>
          <w:rFonts w:ascii="Times New Roman;Times;Serif" w:hAnsi="Times New Roman;Times;Serif"/>
          <w:b w:val="false"/>
          <w:i w:val="false"/>
          <w:caps w:val="false"/>
          <w:smallCaps w:val="false"/>
          <w:sz w:val="20"/>
        </w:rPr>
        <w:t>430,000 and €</w:t>
      </w:r>
      <w:bookmarkStart w:id="479" w:name="xdx_908_eus-gaap--ResearchAndDevelopment"/>
      <w:bookmarkEnd w:id="479"/>
      <w:r>
        <w:rPr>
          <w:rFonts w:ascii="Times New Roman;Times;Serif" w:hAnsi="Times New Roman;Times;Serif"/>
          <w:b w:val="false"/>
          <w:i w:val="false"/>
          <w:caps w:val="false"/>
          <w:smallCaps w:val="false"/>
          <w:sz w:val="20"/>
        </w:rPr>
        <w:t>698,000, respectively. The Company reclassified to other non-current assets a portion of the receivable, which is expected to be realized beyond 12 months (see Note 8. Non-current assets right of use (ROU)).</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payments to suppliers at December 31, 2023 and 2022 mainly relate to R&amp;D operating services.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at December 31, 2023 mainly relate to interests maturing on investment in marketable securities, while Other current assets at December 31, 2022 mainly relate to the allowance for corporate equity (“ACE”) of approximately €</w:t>
      </w:r>
      <w:bookmarkStart w:id="480" w:name="xdx_90C_eus-gaap--OtherAssetsCurrent_iI_"/>
      <w:bookmarkEnd w:id="480"/>
      <w:r>
        <w:rPr>
          <w:rFonts w:ascii="Times New Roman;Times;Serif" w:hAnsi="Times New Roman;Times;Serif"/>
          <w:b w:val="false"/>
          <w:i w:val="false"/>
          <w:caps w:val="false"/>
          <w:smallCaps w:val="false"/>
          <w:sz w:val="20"/>
        </w:rPr>
        <w:t>180,000 and the quota of accruing financial interest income on time deposit of approximately €</w:t>
      </w:r>
      <w:bookmarkStart w:id="481" w:name="xdx_901_eus-gaap--OtherAssetsCurrent_iI_"/>
      <w:bookmarkEnd w:id="481"/>
      <w:r>
        <w:rPr>
          <w:rFonts w:ascii="Times New Roman;Times;Serif" w:hAnsi="Times New Roman;Times;Serif"/>
          <w:b w:val="false"/>
          <w:i w:val="false"/>
          <w:caps w:val="false"/>
          <w:smallCaps w:val="false"/>
          <w:sz w:val="20"/>
        </w:rPr>
        <w:t>38,000.</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Other prepaid expenses mainly relate to the directors and officers (“D&amp;O”) insurance policy paid in December 2023 of approximately €</w:t>
      </w:r>
      <w:bookmarkStart w:id="482" w:name="xdx_900_eus-gaap--OtherPrepaidExpenseCur"/>
      <w:bookmarkEnd w:id="482"/>
      <w:r>
        <w:rPr>
          <w:rFonts w:ascii="Times New Roman;Times;Serif" w:hAnsi="Times New Roman;Times;Serif"/>
          <w:b w:val="false"/>
          <w:i w:val="false"/>
          <w:caps w:val="false"/>
          <w:smallCaps w:val="false"/>
          <w:sz w:val="20"/>
        </w:rPr>
        <w:t>0.2 million, while at December 31, 2022 other prepaids mainly include expenses for various services, already financially incurred but attributable to the following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3" w:name="xdx_809_eus-gaap--PropertyPlantAndEquipm"/>
      <w:bookmarkEnd w:id="483"/>
      <w:r>
        <w:rPr>
          <w:rFonts w:ascii="Times New Roman;Times;Serif" w:hAnsi="Times New Roman;Times;Serif"/>
          <w:b/>
          <w:i w:val="false"/>
          <w:caps w:val="false"/>
          <w:smallCaps w:val="false"/>
          <w:sz w:val="20"/>
        </w:rPr>
        <w:t xml:space="preserve">7. </w:t>
      </w:r>
      <w:bookmarkStart w:id="484" w:name="xdx_820_zqP6Gd0XxjD5"/>
      <w:bookmarkEnd w:id="484"/>
      <w:r>
        <w:rPr>
          <w:rFonts w:ascii="Times New Roman;Times;Serif" w:hAnsi="Times New Roman;Times;Serif"/>
          <w:b/>
          <w:i w:val="false"/>
          <w:caps w:val="false"/>
          <w:smallCaps w:val="false"/>
          <w:sz w:val="20"/>
        </w:rPr>
        <w:t>Fixed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bookmarkStart w:id="485" w:name="xdx_896_eus-gaap--PropertyPlantAndEquipm"/>
      <w:bookmarkEnd w:id="485"/>
      <w:r>
        <w:rPr>
          <w:rFonts w:ascii="Times New Roman;Times;Serif" w:hAnsi="Times New Roman;Times;Serif"/>
          <w:b w:val="false"/>
          <w:i w:val="false"/>
          <w:caps w:val="false"/>
          <w:smallCaps w:val="false"/>
          <w:sz w:val="20"/>
        </w:rPr>
        <w:t>Fixed assets consist of the following:</w:t>
      </w:r>
    </w:p>
    <w:p>
      <w:pPr>
        <w:pStyle w:val="TextBody"/>
        <w:bidi w:val="0"/>
        <w:spacing w:before="0" w:after="0"/>
        <w:ind w:left="0" w:right="0" w:firstLine="648"/>
        <w:jc w:val="left"/>
        <w:rPr>
          <w:caps w:val="false"/>
          <w:smallCaps w:val="false"/>
        </w:rPr>
      </w:pPr>
      <w:r>
        <w:rPr>
          <w:caps w:val="false"/>
          <w:smallCaps w:val="false"/>
        </w:rPr>
        <w:t> </w:t>
      </w:r>
      <w:bookmarkStart w:id="486" w:name="xdx_8BE_z97ba5H71VW7"/>
      <w:bookmarkEnd w:id="486"/>
      <w:r>
        <w:rPr>
          <w:rFonts w:ascii="Times New Roman;Times;Serif" w:hAnsi="Times New Roman;Times;Serif"/>
          <w:b w:val="false"/>
          <w:i w:val="false"/>
          <w:caps w:val="false"/>
          <w:smallCaps w:val="false"/>
          <w:sz w:val="20"/>
        </w:rPr>
        <w:t>Schedule of fixed assets,net</w:t>
      </w:r>
    </w:p>
    <w:tbl>
      <w:tblPr>
        <w:tblW w:w="6260" w:type="dxa"/>
        <w:jc w:val="left"/>
        <w:tblInd w:w="0" w:type="dxa"/>
        <w:tblLayout w:type="fixed"/>
        <w:tblCellMar>
          <w:top w:w="0" w:type="dxa"/>
          <w:left w:w="0" w:type="dxa"/>
          <w:bottom w:w="0" w:type="dxa"/>
          <w:right w:w="0" w:type="dxa"/>
        </w:tblCellMar>
      </w:tblPr>
      <w:tblGrid>
        <w:gridCol w:w="3080"/>
        <w:gridCol w:w="60"/>
        <w:gridCol w:w="140"/>
        <w:gridCol w:w="800"/>
        <w:gridCol w:w="95"/>
        <w:gridCol w:w="60"/>
        <w:gridCol w:w="140"/>
        <w:gridCol w:w="800"/>
        <w:gridCol w:w="95"/>
        <w:gridCol w:w="60"/>
        <w:gridCol w:w="140"/>
        <w:gridCol w:w="680"/>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87" w:name="xdx_49B_20231231_ztEKLjTek28g"/>
            <w:bookmarkEnd w:id="487"/>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8" w:name="xdx_496_20221231_zlwXhNEGKKD8"/>
            <w:bookmarkEnd w:id="488"/>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9" w:name="xdx_493_20211231_zRtEkWBWwA41"/>
            <w:bookmarkEnd w:id="489"/>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110" w:type="dxa"/>
            <w:tcBorders/>
            <w:vAlign w:val="center"/>
          </w:tcPr>
          <w:p>
            <w:pPr>
              <w:pStyle w:val="TableContents"/>
              <w:bidi w:val="0"/>
              <w:spacing w:before="0" w:after="283"/>
              <w:jc w:val="left"/>
              <w:rPr/>
            </w:pPr>
            <w:r>
              <w:rPr/>
              <w:t> </w:t>
            </w:r>
            <w:bookmarkStart w:id="490" w:name="xdx_409_eus-gaap--CapitalizedComputerSof"/>
            <w:bookmarkEnd w:id="490"/>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(ERP Implementation)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491" w:name="xdx_403_eus-gaap--MachineryAndEquipmentG"/>
            <w:bookmarkEnd w:id="491"/>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24,869</w:t>
            </w:r>
          </w:p>
        </w:tc>
        <w:tc>
          <w:tcPr>
            <w:tcW w:w="110" w:type="dxa"/>
            <w:tcBorders/>
            <w:shd w:fill="FFFFFF" w:val="clear"/>
            <w:vAlign w:val="center"/>
          </w:tcPr>
          <w:p>
            <w:pPr>
              <w:pStyle w:val="TableContents"/>
              <w:bidi w:val="0"/>
              <w:spacing w:before="0" w:after="283"/>
              <w:jc w:val="left"/>
              <w:rPr/>
            </w:pPr>
            <w:r>
              <w:rPr/>
              <w:t> </w:t>
            </w:r>
            <w:bookmarkStart w:id="492" w:name="xdx_401_eus-gaap--FurnitureAndFixturesGr"/>
            <w:bookmarkEnd w:id="492"/>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fixtures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5,010</w:t>
            </w:r>
          </w:p>
        </w:tc>
        <w:tc>
          <w:tcPr>
            <w:tcW w:w="110" w:type="dxa"/>
            <w:tcBorders/>
            <w:shd w:fill="CCEEFF" w:val="clear"/>
            <w:vAlign w:val="center"/>
          </w:tcPr>
          <w:p>
            <w:pPr>
              <w:pStyle w:val="TableContents"/>
              <w:bidi w:val="0"/>
              <w:spacing w:before="0" w:after="283"/>
              <w:jc w:val="left"/>
              <w:rPr/>
            </w:pPr>
            <w:r>
              <w:rPr/>
              <w:t> </w:t>
            </w:r>
            <w:bookmarkStart w:id="493" w:name="xdx_40C_eus-gaap--PropertyPlantAndEquipm"/>
            <w:bookmarkEnd w:id="493"/>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29,879</w:t>
            </w:r>
          </w:p>
        </w:tc>
        <w:tc>
          <w:tcPr>
            <w:tcW w:w="110" w:type="dxa"/>
            <w:tcBorders/>
            <w:shd w:fill="FFFFFF" w:val="clear"/>
            <w:vAlign w:val="center"/>
          </w:tcPr>
          <w:p>
            <w:pPr>
              <w:pStyle w:val="TableContents"/>
              <w:bidi w:val="0"/>
              <w:spacing w:before="0" w:after="283"/>
              <w:jc w:val="left"/>
              <w:rPr/>
            </w:pPr>
            <w:r>
              <w:rPr/>
              <w:t> </w:t>
            </w:r>
            <w:bookmarkStart w:id="494" w:name="xdx_405_eus-gaap--AccumulatedDepreciatio"/>
            <w:bookmarkEnd w:id="494"/>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(6,789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5" w:name="xdx_406_eus-gaap--PropertyPlantAndEquipm"/>
            <w:bookmarkEnd w:id="495"/>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23,090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648"/>
        <w:jc w:val="left"/>
        <w:rPr>
          <w:caps w:val="false"/>
          <w:smallCaps w:val="false"/>
        </w:rPr>
      </w:pPr>
      <w:bookmarkStart w:id="496" w:name="xdx_8A8_zqggLr3vzyS6"/>
      <w:bookmarkEnd w:id="496"/>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December 31, 2023 and 2022 software was approximately €</w:t>
      </w:r>
      <w:bookmarkStart w:id="497" w:name="xdx_90A_eus-gaap--CapitalizedComputerSof"/>
      <w:bookmarkEnd w:id="497"/>
      <w:r>
        <w:rPr>
          <w:rFonts w:ascii="Times New Roman;Times;Serif" w:hAnsi="Times New Roman;Times;Serif"/>
          <w:b w:val="false"/>
          <w:i w:val="false"/>
          <w:caps w:val="false"/>
          <w:smallCaps w:val="false"/>
          <w:sz w:val="20"/>
        </w:rPr>
        <w:t>53,144 and €</w:t>
      </w:r>
      <w:bookmarkStart w:id="498" w:name="xdx_908_eus-gaap--CapitalizedComputerSof"/>
      <w:bookmarkEnd w:id="498"/>
      <w:r>
        <w:rPr>
          <w:rFonts w:ascii="Times New Roman;Times;Serif" w:hAnsi="Times New Roman;Times;Serif"/>
          <w:b w:val="false"/>
          <w:i w:val="false"/>
          <w:caps w:val="false"/>
          <w:smallCaps w:val="false"/>
          <w:sz w:val="20"/>
        </w:rPr>
        <w:t>87,800, respectively, net of accumulated depreciation, and included software customization and development costs related to information technology security infrastructure and the new ERP system.</w:t>
      </w:r>
    </w:p>
    <w:p>
      <w:pPr>
        <w:pStyle w:val="TextBody"/>
        <w:bidi w:val="0"/>
        <w:spacing w:before="0" w:after="0"/>
        <w:ind w:left="0" w:right="0" w:firstLine="648"/>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consists of computers and furniture and fixtures of our office space in Milan, Italy. There were no significant disposals, nor impairments during the periods. Depreciation has been calculated by taking into consideration the use, purpose, and financial-technical duration of the assets, based on their estimated economic lives. No significant purchases occurred during the period ended December 31, 2023.</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9" w:name="xdx_800_ecustom--DisclosureOfNoncurrentA"/>
      <w:bookmarkEnd w:id="499"/>
      <w:r>
        <w:rPr>
          <w:rFonts w:ascii="Times New Roman;Times;Serif" w:hAnsi="Times New Roman;Times;Serif"/>
          <w:b/>
          <w:i w:val="false"/>
          <w:caps w:val="false"/>
          <w:smallCaps w:val="false"/>
          <w:sz w:val="20"/>
        </w:rPr>
        <w:t xml:space="preserve">8. </w:t>
      </w:r>
      <w:bookmarkStart w:id="500" w:name="xdx_827_zK6nSCPWXZB9"/>
      <w:bookmarkEnd w:id="500"/>
      <w:r>
        <w:rPr>
          <w:rFonts w:ascii="Times New Roman;Times;Serif" w:hAnsi="Times New Roman;Times;Serif"/>
          <w:b/>
          <w:i w:val="false"/>
          <w:caps w:val="false"/>
          <w:smallCaps w:val="false"/>
          <w:sz w:val="20"/>
        </w:rPr>
        <w:t>Non-current assets right of use (ROU)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Company entered into a four-year (i.e., 48 month) lease of an automobile, with an ending date of January 2026. The “base” annual lease payment is €</w:t>
      </w:r>
      <w:bookmarkStart w:id="501" w:name="xdx_905_eus-gaap--OperatingLeaseExpense_"/>
      <w:bookmarkEnd w:id="501"/>
      <w:r>
        <w:rPr>
          <w:rFonts w:ascii="Times New Roman;Times;Serif" w:hAnsi="Times New Roman;Times;Serif"/>
          <w:b w:val="false"/>
          <w:i w:val="false"/>
          <w:caps w:val="false"/>
          <w:smallCaps w:val="false"/>
          <w:sz w:val="20"/>
        </w:rPr>
        <w:t>13,967 payable monthly in the amount of €</w:t>
      </w:r>
      <w:bookmarkStart w:id="502" w:name="xdx_90D_ecustom--OperatingLeaseExpenseMo"/>
      <w:bookmarkEnd w:id="502"/>
      <w:r>
        <w:rPr>
          <w:rFonts w:ascii="Times New Roman;Times;Serif" w:hAnsi="Times New Roman;Times;Serif"/>
          <w:b w:val="false"/>
          <w:i w:val="false"/>
          <w:caps w:val="false"/>
          <w:smallCaps w:val="false"/>
          <w:sz w:val="20"/>
        </w:rPr>
        <w:t xml:space="preserve">1,164. The </w:t>
      </w:r>
      <w:bookmarkStart w:id="503" w:name="xdx_906_eus-gaap--LesseeOperatingLeaseDe"/>
      <w:bookmarkEnd w:id="503"/>
      <w:r>
        <w:rPr>
          <w:rFonts w:ascii="Times New Roman;Times;Serif" w:hAnsi="Times New Roman;Times;Serif"/>
          <w:b w:val="false"/>
          <w:i w:val="false"/>
          <w:caps w:val="false"/>
          <w:smallCaps w:val="false"/>
          <w:sz w:val="20"/>
        </w:rPr>
        <w:t>lease payment will remain fixed for the four (4) years. The automobile lease was identified and accounted for as a finance type lease.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initial measurement, the calculation of the net present value of the right of use asset and liability was made by using the discounted rate of </w:t>
      </w:r>
      <w:bookmarkStart w:id="504" w:name="xdx_90F_eus-gaap--LesseeOperatingLeaseDi"/>
      <w:bookmarkEnd w:id="504"/>
      <w:r>
        <w:rPr>
          <w:rFonts w:ascii="Times New Roman;Times;Serif" w:hAnsi="Times New Roman;Times;Serif"/>
          <w:b w:val="false"/>
          <w:i w:val="false"/>
          <w:caps w:val="false"/>
          <w:smallCaps w:val="false"/>
          <w:sz w:val="20"/>
        </w:rPr>
        <w:t>6.25% and was determined to be approximately €</w:t>
      </w:r>
      <w:bookmarkStart w:id="505" w:name="xdx_90A_eus-gaap--RightOfUseAssetObtaine"/>
      <w:bookmarkEnd w:id="505"/>
      <w:r>
        <w:rPr>
          <w:rFonts w:ascii="Times New Roman;Times;Serif" w:hAnsi="Times New Roman;Times;Serif"/>
          <w:b w:val="false"/>
          <w:i w:val="false"/>
          <w:caps w:val="false"/>
          <w:smallCaps w:val="false"/>
          <w:sz w:val="20"/>
        </w:rPr>
        <w:t>49,320. Lessee initial direct costs were deemed not material. Other non-lease component costs for lease insurance was accounted for separately from the lease. At December 31, 2023, the net present value of the ROU asset and liability amounted to approximately €</w:t>
      </w:r>
      <w:bookmarkStart w:id="506" w:name="xdx_901_ecustom--NetPresentValueOfRightO"/>
      <w:bookmarkEnd w:id="506"/>
      <w:r>
        <w:rPr>
          <w:rFonts w:ascii="Times New Roman;Times;Serif" w:hAnsi="Times New Roman;Times;Serif"/>
          <w:b w:val="false"/>
          <w:i w:val="false"/>
          <w:caps w:val="false"/>
          <w:smallCaps w:val="false"/>
          <w:sz w:val="20"/>
        </w:rPr>
        <w:t>27,200. The liability was determined to be €</w:t>
      </w:r>
      <w:bookmarkStart w:id="507" w:name="xdx_908_ecustom--OperatingLeaseLiabiliti"/>
      <w:bookmarkEnd w:id="507"/>
      <w:r>
        <w:rPr>
          <w:rFonts w:ascii="Times New Roman;Times;Serif" w:hAnsi="Times New Roman;Times;Serif"/>
          <w:b w:val="false"/>
          <w:i w:val="false"/>
          <w:caps w:val="false"/>
          <w:smallCaps w:val="false"/>
          <w:sz w:val="20"/>
        </w:rPr>
        <w:t>12,600 as a current liability and €</w:t>
      </w:r>
      <w:bookmarkStart w:id="508" w:name="xdx_900_ecustom--OperatingLeaseLiabiliti"/>
      <w:bookmarkEnd w:id="508"/>
      <w:r>
        <w:rPr>
          <w:rFonts w:ascii="Times New Roman;Times;Serif" w:hAnsi="Times New Roman;Times;Serif"/>
          <w:b w:val="false"/>
          <w:i w:val="false"/>
          <w:caps w:val="false"/>
          <w:smallCaps w:val="false"/>
          <w:sz w:val="20"/>
        </w:rPr>
        <w:t>14,600 as a long-term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9" w:name="xdx_80E_eus-gaap--OtherAssetsDisclosureT"/>
      <w:bookmarkEnd w:id="509"/>
      <w:r>
        <w:rPr>
          <w:rFonts w:ascii="Times New Roman;Times;Serif" w:hAnsi="Times New Roman;Times;Serif"/>
          <w:b/>
          <w:i w:val="false"/>
          <w:caps w:val="false"/>
          <w:smallCaps w:val="false"/>
          <w:sz w:val="20"/>
        </w:rPr>
        <w:t xml:space="preserve">9. </w:t>
      </w:r>
      <w:bookmarkStart w:id="510" w:name="xdx_82E_ziheF87VCcWf"/>
      <w:bookmarkEnd w:id="510"/>
      <w:r>
        <w:rPr>
          <w:rFonts w:ascii="Times New Roman;Times;Serif" w:hAnsi="Times New Roman;Times;Serif"/>
          <w:b/>
          <w:i w:val="false"/>
          <w:caps w:val="false"/>
          <w:smallCaps w:val="false"/>
          <w:sz w:val="20"/>
        </w:rPr>
        <w:t>Other non-current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511" w:name="xdx_89B_eus-gaap--ScheduleOfOtherAssetsN"/>
      <w:bookmarkEnd w:id="511"/>
      <w:r>
        <w:rPr>
          <w:rFonts w:ascii="Times New Roman;Times;Serif" w:hAnsi="Times New Roman;Times;Serif"/>
          <w:b w:val="false"/>
          <w:i w:val="false"/>
          <w:caps w:val="false"/>
          <w:smallCaps w:val="false"/>
          <w:sz w:val="20"/>
        </w:rPr>
        <w:t>Other non-current assets consist of the long-term portion of the VAT receivable and R&amp;D tax credit, as follows:</w:t>
      </w:r>
    </w:p>
    <w:p>
      <w:pPr>
        <w:pStyle w:val="TextBody"/>
        <w:bidi w:val="0"/>
        <w:spacing w:before="0" w:after="0"/>
        <w:ind w:left="0" w:right="0" w:firstLine="720"/>
        <w:jc w:val="left"/>
        <w:rPr>
          <w:caps w:val="false"/>
          <w:smallCaps w:val="false"/>
        </w:rPr>
      </w:pPr>
      <w:r>
        <w:rPr>
          <w:caps w:val="false"/>
          <w:smallCaps w:val="false"/>
        </w:rPr>
        <w:t> </w:t>
      </w:r>
      <w:bookmarkStart w:id="512" w:name="xdx_8BB_zpD8lENuS3W"/>
      <w:bookmarkEnd w:id="512"/>
      <w:r>
        <w:rPr>
          <w:rFonts w:ascii="Times New Roman;Times;Serif" w:hAnsi="Times New Roman;Times;Serif"/>
          <w:b w:val="false"/>
          <w:i w:val="false"/>
          <w:caps w:val="false"/>
          <w:smallCaps w:val="false"/>
          <w:sz w:val="20"/>
        </w:rPr>
        <w:t>Schedule of other non-current assets</w:t>
      </w:r>
    </w:p>
    <w:tbl>
      <w:tblPr>
        <w:tblW w:w="7250" w:type="dxa"/>
        <w:jc w:val="left"/>
        <w:tblInd w:w="0" w:type="dxa"/>
        <w:tblLayout w:type="fixed"/>
        <w:tblCellMar>
          <w:top w:w="0" w:type="dxa"/>
          <w:left w:w="0" w:type="dxa"/>
          <w:bottom w:w="0" w:type="dxa"/>
          <w:right w:w="0" w:type="dxa"/>
        </w:tblCellMar>
      </w:tblPr>
      <w:tblGrid>
        <w:gridCol w:w="3515"/>
        <w:gridCol w:w="60"/>
        <w:gridCol w:w="140"/>
        <w:gridCol w:w="980"/>
        <w:gridCol w:w="60"/>
        <w:gridCol w:w="60"/>
        <w:gridCol w:w="140"/>
        <w:gridCol w:w="980"/>
        <w:gridCol w:w="60"/>
        <w:gridCol w:w="60"/>
        <w:gridCol w:w="140"/>
        <w:gridCol w:w="980"/>
        <w:gridCol w:w="75"/>
      </w:tblGrid>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13" w:name="xdx_494_20231231_zOJKhTqnsama"/>
            <w:bookmarkEnd w:id="513"/>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4" w:name="xdx_49F_20221231_zHCIENFNZYx3"/>
            <w:bookmarkEnd w:id="514"/>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5" w:name="xdx_49C_20211231_zcIXboPwNSb5"/>
            <w:bookmarkEnd w:id="515"/>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75" w:type="dxa"/>
            <w:tcBorders/>
            <w:vAlign w:val="center"/>
          </w:tcPr>
          <w:p>
            <w:pPr>
              <w:pStyle w:val="TableContents"/>
              <w:bidi w:val="0"/>
              <w:spacing w:before="0" w:after="283"/>
              <w:jc w:val="left"/>
              <w:rPr/>
            </w:pPr>
            <w:r>
              <w:rPr/>
              <w:t> </w:t>
            </w:r>
            <w:bookmarkStart w:id="516" w:name="xdx_400_eus-gaap--ValueAddedTaxReceivabl"/>
            <w:bookmarkEnd w:id="516"/>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Value Added Tax (VAT)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641,215</w:t>
            </w:r>
          </w:p>
        </w:tc>
        <w:tc>
          <w:tcPr>
            <w:tcW w:w="75" w:type="dxa"/>
            <w:tcBorders/>
            <w:shd w:fill="CCEEFF" w:val="clear"/>
            <w:vAlign w:val="center"/>
          </w:tcPr>
          <w:p>
            <w:pPr>
              <w:pStyle w:val="TableContents"/>
              <w:bidi w:val="0"/>
              <w:spacing w:before="0" w:after="283"/>
              <w:jc w:val="left"/>
              <w:rPr/>
            </w:pPr>
            <w:r>
              <w:rPr/>
              <w:t> </w:t>
            </w:r>
            <w:bookmarkStart w:id="517" w:name="xdx_406_ecustom--ResearchAndDevelopmentT"/>
            <w:bookmarkEnd w:id="517"/>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tax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w:t>
            </w:r>
          </w:p>
        </w:tc>
        <w:tc>
          <w:tcPr>
            <w:tcW w:w="75" w:type="dxa"/>
            <w:tcBorders/>
            <w:shd w:fill="FFFFFF" w:val="clear"/>
            <w:vAlign w:val="center"/>
          </w:tcPr>
          <w:p>
            <w:pPr>
              <w:pStyle w:val="TableContents"/>
              <w:bidi w:val="0"/>
              <w:spacing w:before="0" w:after="283"/>
              <w:jc w:val="left"/>
              <w:rPr/>
            </w:pPr>
            <w:r>
              <w:rPr/>
              <w:t> </w:t>
            </w:r>
            <w:bookmarkStart w:id="518" w:name="xdx_405_ecustom--OtherNoncurrentAssets_i"/>
            <w:bookmarkEnd w:id="518"/>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9" w:name="xdx_40C_eus-gaap--OtherAssetsNoncurrent_"/>
            <w:bookmarkEnd w:id="519"/>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1,241,215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20" w:name="xdx_8AD_z0DBVpKC8K0a"/>
      <w:bookmarkEnd w:id="520"/>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VAT tax credit matured in 2023 and is expected to become eligible for reimbursement after twelve months from December 31, 2023.</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R&amp;D tax credit long term decreased in 2023, mainly because of the decrease in the percentage of eligible R&amp;D expense that by law was reduced from </w:t>
      </w:r>
      <w:bookmarkStart w:id="521" w:name="xdx_90B_ecustom--ResearchAndDevelopmentT"/>
      <w:bookmarkEnd w:id="521"/>
      <w:r>
        <w:rPr>
          <w:rFonts w:ascii="Times New Roman;Times;Serif" w:hAnsi="Times New Roman;Times;Serif"/>
          <w:b w:val="false"/>
          <w:i w:val="false"/>
          <w:caps w:val="false"/>
          <w:smallCaps w:val="false"/>
          <w:sz w:val="20"/>
        </w:rPr>
        <w:t xml:space="preserve">20% in 2022 to </w:t>
      </w:r>
      <w:bookmarkStart w:id="522" w:name="xdx_909_ecustom--ResearchAndDevelopmentT"/>
      <w:bookmarkEnd w:id="522"/>
      <w:r>
        <w:rPr>
          <w:rFonts w:ascii="Times New Roman;Times;Serif" w:hAnsi="Times New Roman;Times;Serif"/>
          <w:b w:val="false"/>
          <w:i w:val="false"/>
          <w:caps w:val="false"/>
          <w:smallCaps w:val="false"/>
          <w:sz w:val="20"/>
        </w:rPr>
        <w:t>10% in 2023. The decrease was also partially due to the different estimation of the projected utilization time frame, compared to the same estimation of the previous year.</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mainly include the allowance for corporate equity (“ACE”) of approximately €</w:t>
      </w:r>
      <w:bookmarkStart w:id="523" w:name="xdx_909_ecustom--AllowanceForCorporateEq"/>
      <w:bookmarkEnd w:id="523"/>
      <w:r>
        <w:rPr>
          <w:rFonts w:ascii="Times New Roman;Times;Serif" w:hAnsi="Times New Roman;Times;Serif"/>
          <w:b w:val="false"/>
          <w:i w:val="false"/>
          <w:caps w:val="false"/>
          <w:smallCaps w:val="false"/>
          <w:sz w:val="20"/>
        </w:rPr>
        <w:t>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other non-current assets - related party includes a security deposit of €</w:t>
      </w:r>
      <w:bookmarkStart w:id="524" w:name="xdx_90E_eus-gaap--SecurityDeposit_iI_c20"/>
      <w:bookmarkEnd w:id="524"/>
      <w:r>
        <w:rPr>
          <w:rFonts w:ascii="Times New Roman;Times;Serif" w:hAnsi="Times New Roman;Times;Serif"/>
          <w:b w:val="false"/>
          <w:i w:val="false"/>
          <w:caps w:val="false"/>
          <w:smallCaps w:val="false"/>
          <w:sz w:val="20"/>
        </w:rPr>
        <w:t>3,350 paid to OSR - San Raffaele Hospital as security guarantee for the office lease contract. (See Note 14.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5" w:name="xdx_80E_eus-gaap--PensionAndOtherPostret"/>
      <w:bookmarkEnd w:id="525"/>
      <w:r>
        <w:rPr>
          <w:rFonts w:ascii="Times New Roman;Times;Serif" w:hAnsi="Times New Roman;Times;Serif"/>
          <w:b/>
          <w:i w:val="false"/>
          <w:caps w:val="false"/>
          <w:smallCaps w:val="false"/>
          <w:sz w:val="20"/>
        </w:rPr>
        <w:t xml:space="preserve">10. </w:t>
      </w:r>
      <w:bookmarkStart w:id="526" w:name="xdx_82C_zjimjTkkSO5d"/>
      <w:bookmarkEnd w:id="526"/>
      <w:r>
        <w:rPr>
          <w:rFonts w:ascii="Times New Roman;Times;Serif" w:hAnsi="Times New Roman;Times;Serif"/>
          <w:b/>
          <w:i w:val="false"/>
          <w:caps w:val="false"/>
          <w:smallCaps w:val="false"/>
          <w:sz w:val="20"/>
        </w:rPr>
        <w:t>Retirement benefit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w:t>
      </w:r>
      <w:bookmarkStart w:id="527" w:name="xdx_909_ecustom--DefinedContributionPlan"/>
      <w:bookmarkEnd w:id="527"/>
      <w:r>
        <w:rPr>
          <w:rFonts w:ascii="Times New Roman;Times;Serif" w:hAnsi="Times New Roman;Times;Serif"/>
          <w:b w:val="false"/>
          <w:i w:val="false"/>
          <w:caps w:val="false"/>
          <w:smallCaps w:val="false"/>
          <w:sz w:val="20"/>
        </w:rPr>
        <w:t xml:space="preserve">The annual accrual is approximately </w:t>
      </w:r>
      <w:bookmarkStart w:id="528" w:name="xdx_900_eus-gaap--DefinedContributionPla"/>
      <w:bookmarkEnd w:id="528"/>
      <w:r>
        <w:rPr>
          <w:rFonts w:ascii="Times New Roman;Times;Serif" w:hAnsi="Times New Roman;Times;Serif"/>
          <w:b w:val="false"/>
          <w:i w:val="false"/>
          <w:caps w:val="false"/>
          <w:smallCaps w:val="false"/>
          <w:sz w:val="20"/>
        </w:rPr>
        <w:t xml:space="preserve">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Times New Roman;Times;Serif" w:hAnsi="Times New Roman;Times;Serif"/>
          <w:b w:val="false"/>
          <w:i/>
          <w:caps w:val="false"/>
          <w:smallCaps w:val="false"/>
          <w:sz w:val="20"/>
        </w:rPr>
        <w:t>Compensation – Retirement Benefits</w:t>
      </w:r>
      <w:r>
        <w:rPr>
          <w:rFonts w:ascii="Times New Roman;Times;Serif" w:hAnsi="Times New Roman;Times;Serif"/>
          <w:b w:val="false"/>
          <w:i w:val="false"/>
          <w:caps w:val="false"/>
          <w:smallCaps w:val="false"/>
          <w:sz w:val="20"/>
        </w:rPr>
        <w:t>. The amount of the obligation at December 31, 2023 and 2022 was €</w:t>
      </w:r>
      <w:bookmarkStart w:id="529" w:name="xdx_90F_eus-gaap--PensionAndOtherPostret"/>
      <w:bookmarkEnd w:id="529"/>
      <w:r>
        <w:rPr>
          <w:rFonts w:ascii="Times New Roman;Times;Serif" w:hAnsi="Times New Roman;Times;Serif"/>
          <w:b w:val="false"/>
          <w:i w:val="false"/>
          <w:caps w:val="false"/>
          <w:smallCaps w:val="false"/>
          <w:sz w:val="20"/>
        </w:rPr>
        <w:t>164,655 and €</w:t>
      </w:r>
      <w:bookmarkStart w:id="530" w:name="xdx_90F_eus-gaap--PensionAndOtherPostret"/>
      <w:bookmarkEnd w:id="530"/>
      <w:r>
        <w:rPr>
          <w:rFonts w:ascii="Times New Roman;Times;Serif" w:hAnsi="Times New Roman;Times;Serif"/>
          <w:b w:val="false"/>
          <w:i w:val="false"/>
          <w:caps w:val="false"/>
          <w:smallCaps w:val="false"/>
          <w:sz w:val="20"/>
        </w:rPr>
        <w:t>88,963, respectively. The increase was mainly due to the increase in the Company’s organizational structure and the increase in employee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1" w:name="xdx_80D_eus-gaap--StockholdersEquityNote"/>
      <w:bookmarkEnd w:id="531"/>
      <w:r>
        <w:rPr>
          <w:rFonts w:ascii="Times New Roman;Times;Serif" w:hAnsi="Times New Roman;Times;Serif"/>
          <w:b/>
          <w:i w:val="false"/>
          <w:caps w:val="false"/>
          <w:smallCaps w:val="false"/>
          <w:sz w:val="20"/>
        </w:rPr>
        <w:t xml:space="preserve">11. </w:t>
      </w:r>
      <w:bookmarkStart w:id="532" w:name="xdx_82F_zpn8OhFG6lyc"/>
      <w:bookmarkEnd w:id="532"/>
      <w:r>
        <w:rPr>
          <w:rFonts w:ascii="Times New Roman;Times;Serif" w:hAnsi="Times New Roman;Times;Serif"/>
          <w:b/>
          <w:i w:val="false"/>
          <w:caps w:val="false"/>
          <w:smallCaps w:val="false"/>
          <w:sz w:val="20"/>
        </w:rPr>
        <w:t>Quotaholders’ and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an S.r.l., which is an Italian limited liability company like a limited liability company in the U.S., prior to May 2021. The Articles of Incorporation, Shareholders’ Agreement and the By-laws of the Company provided for different quotas, which represented the Company’s corporate capital, rather than shares of stock as ownership.</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S.r.l., the Company’s ownership was called “corporate capital” and “quotas” rather than shares, stock, or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bookmarkStart w:id="533" w:name="xdx_899_ecustom--ScheduleOfEquityMethodI"/>
      <w:bookmarkEnd w:id="533"/>
      <w:r>
        <w:rPr>
          <w:rFonts w:ascii="Times New Roman;Times;Serif" w:hAnsi="Times New Roman;Times;Serif"/>
          <w:b w:val="false"/>
          <w:i w:val="false"/>
          <w:caps w:val="false"/>
          <w:smallCaps w:val="false"/>
          <w:sz w:val="20"/>
        </w:rPr>
        <w:t>The Company’s capital was divided between five (5)categories of quotas as summarized below at January 1, 2021:</w:t>
      </w:r>
    </w:p>
    <w:p>
      <w:pPr>
        <w:pStyle w:val="TextBody"/>
        <w:bidi w:val="0"/>
        <w:spacing w:before="0" w:after="0"/>
        <w:ind w:left="0" w:right="0" w:hanging="0"/>
        <w:jc w:val="left"/>
        <w:rPr>
          <w:caps w:val="false"/>
          <w:smallCaps w:val="false"/>
        </w:rPr>
      </w:pPr>
      <w:r>
        <w:rPr>
          <w:caps w:val="false"/>
          <w:smallCaps w:val="false"/>
        </w:rPr>
        <w:t> </w:t>
      </w:r>
      <w:bookmarkStart w:id="534" w:name="xdx_8BE_z8LGH1bwCWvg"/>
      <w:bookmarkEnd w:id="534"/>
      <w:r>
        <w:rPr>
          <w:rFonts w:ascii="Times New Roman;Times;Serif" w:hAnsi="Times New Roman;Times;Serif"/>
          <w:b w:val="false"/>
          <w:i w:val="false"/>
          <w:caps w:val="false"/>
          <w:smallCaps w:val="false"/>
          <w:sz w:val="20"/>
        </w:rPr>
        <w:t>Schedule of equity method investment and ownership percentage</w:t>
      </w:r>
    </w:p>
    <w:tbl>
      <w:tblPr>
        <w:tblW w:w="3379" w:type="dxa"/>
        <w:jc w:val="left"/>
        <w:tblInd w:w="0" w:type="dxa"/>
        <w:tblLayout w:type="fixed"/>
        <w:tblCellMar>
          <w:top w:w="0" w:type="dxa"/>
          <w:left w:w="0" w:type="dxa"/>
          <w:bottom w:w="0" w:type="dxa"/>
          <w:right w:w="0" w:type="dxa"/>
        </w:tblCellMar>
      </w:tblPr>
      <w:tblGrid>
        <w:gridCol w:w="665"/>
        <w:gridCol w:w="60"/>
        <w:gridCol w:w="189"/>
        <w:gridCol w:w="925"/>
        <w:gridCol w:w="60"/>
        <w:gridCol w:w="60"/>
        <w:gridCol w:w="156"/>
        <w:gridCol w:w="989"/>
        <w:gridCol w:w="275"/>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Ownership</w:t>
            </w:r>
          </w:p>
        </w:tc>
        <w:tc>
          <w:tcPr>
            <w:tcW w:w="275" w:type="dxa"/>
            <w:tcBorders/>
            <w:vAlign w:val="center"/>
          </w:tcPr>
          <w:p>
            <w:pPr>
              <w:pStyle w:val="TableContents"/>
              <w:bidi w:val="0"/>
              <w:spacing w:before="0" w:after="283"/>
              <w:jc w:val="left"/>
              <w:rPr/>
            </w:pPr>
            <w:r>
              <w:rPr/>
              <w:t> </w:t>
            </w:r>
          </w:p>
        </w:tc>
      </w:tr>
      <w:tr>
        <w:trPr/>
        <w:tc>
          <w:tcPr>
            <w:tcW w:w="6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Quota</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75" w:type="dxa"/>
            <w:tcBorders/>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bookmarkStart w:id="535" w:name="xdx_98B_eus-gaap--EquityMethodInvestment"/>
            <w:bookmarkEnd w:id="535"/>
          </w:p>
        </w:tc>
        <w:tc>
          <w:tcPr>
            <w:tcW w:w="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bookmarkStart w:id="536" w:name="xdx_904_eus-gaap--EquityMethodInvestment"/>
            <w:bookmarkEnd w:id="536"/>
            <w:r>
              <w:rPr>
                <w:rFonts w:ascii="Times New Roman;Times;Serif" w:hAnsi="Times New Roman;Times;Serif"/>
              </w:rPr>
              <w:t>28</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bookmarkStart w:id="537" w:name="xdx_98C_eus-gaap--EquityMethodInvestment"/>
            <w:bookmarkEnd w:id="537"/>
          </w:p>
        </w:tc>
        <w:tc>
          <w:tcPr>
            <w:tcW w:w="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bookmarkStart w:id="538" w:name="xdx_904_eus-gaap--EquityMethodInvestment"/>
            <w:bookmarkEnd w:id="538"/>
            <w:r>
              <w:rPr>
                <w:rFonts w:ascii="Times New Roman;Times;Serif" w:hAnsi="Times New Roman;Times;Serif"/>
              </w:rPr>
              <w:t>19</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bookmarkStart w:id="539" w:name="xdx_98F_eus-gaap--EquityMethodInvestment"/>
            <w:bookmarkEnd w:id="539"/>
          </w:p>
        </w:tc>
        <w:tc>
          <w:tcPr>
            <w:tcW w:w="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bookmarkStart w:id="540" w:name="xdx_90D_eus-gaap--EquityMethodInvestment"/>
            <w:bookmarkEnd w:id="540"/>
            <w:r>
              <w:rPr>
                <w:rFonts w:ascii="Times New Roman;Times;Serif" w:hAnsi="Times New Roman;Times;Serif"/>
              </w:rPr>
              <w:t>23</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bookmarkStart w:id="541" w:name="xdx_988_eus-gaap--EquityMethodInvestment"/>
            <w:bookmarkEnd w:id="541"/>
          </w:p>
        </w:tc>
        <w:tc>
          <w:tcPr>
            <w:tcW w:w="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bookmarkStart w:id="542" w:name="xdx_907_eus-gaap--EquityMethodInvestment"/>
            <w:bookmarkEnd w:id="542"/>
            <w:r>
              <w:rPr>
                <w:rFonts w:ascii="Times New Roman;Times;Serif" w:hAnsi="Times New Roman;Times;Serif"/>
              </w:rPr>
              <w:t>11</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43" w:name="xdx_980_eus-gaap--EquityMethodInvestment"/>
            <w:bookmarkEnd w:id="543"/>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44" w:name="xdx_904_eus-gaap--EquityMethodInvestment"/>
            <w:bookmarkEnd w:id="544"/>
            <w:r>
              <w:rPr>
                <w:rFonts w:ascii="Times New Roman;Times;Serif" w:hAnsi="Times New Roman;Times;Serif"/>
              </w:rPr>
              <w:t>19</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45" w:name="xdx_98F_eus-gaap--EquityMethodInvestment"/>
            <w:bookmarkEnd w:id="545"/>
          </w:p>
        </w:tc>
        <w:tc>
          <w:tcPr>
            <w:tcW w:w="9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bookmarkStart w:id="546" w:name="xdx_90E_eus-gaap--EquityMethodInvestment"/>
            <w:bookmarkEnd w:id="546"/>
            <w:r>
              <w:rPr>
                <w:rFonts w:ascii="Times New Roman;Times;Serif" w:hAnsi="Times New Roman;Times;Serif"/>
                <w:b/>
              </w:rPr>
              <w:t>100</w:t>
            </w:r>
          </w:p>
        </w:tc>
        <w:tc>
          <w:tcPr>
            <w:tcW w:w="2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bookmarkStart w:id="547" w:name="xdx_8A6_zfNkX0HNhkf9"/>
      <w:bookmarkEnd w:id="547"/>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five (5) categories of quotas: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Quota A was reserved for certain founders. One of the founders had the right to appoint three (3) board members out of five (5), appoint the Chair from these three (3) persons and appoint one (1) member of the board of statutory auditors. One other founder had the right to appoint two (2) board members out of five (5), appoint two (2) statutory auditors and appoint the Chair of the statutory auditors from the two (2) appointees. </w:t>
            </w:r>
            <w:bookmarkStart w:id="548" w:name="xdx_908_eus-gaap--CommonStockVotingRight"/>
            <w:bookmarkEnd w:id="548"/>
            <w:r>
              <w:rPr>
                <w:rFonts w:ascii="Times New Roman;Times;Serif" w:hAnsi="Times New Roman;Times;Serif"/>
                <w:b w:val="false"/>
                <w:i w:val="false"/>
                <w:caps w:val="false"/>
                <w:smallCaps w:val="false"/>
                <w:sz w:val="20"/>
              </w:rPr>
              <w:t>Quota A had voting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9" w:name="xdx_90F_eus-gaap--CommonStockVotingRight"/>
            <w:bookmarkEnd w:id="549"/>
            <w:r>
              <w:rPr>
                <w:rFonts w:ascii="Times New Roman;Times;Serif" w:hAnsi="Times New Roman;Times;Serif"/>
                <w:b w:val="false"/>
                <w:i w:val="false"/>
                <w:caps w:val="false"/>
                <w:smallCaps w:val="false"/>
                <w:sz w:val="20"/>
              </w:rPr>
              <w:t>Quota B had no voting rights, the same profit-sharing rights as Quota A and was priced at a nominal amount of €</w:t>
            </w:r>
            <w:bookmarkStart w:id="550" w:name="xdx_906_ecustom--NominalAmount_c20210101"/>
            <w:bookmarkEnd w:id="550"/>
            <w:r>
              <w:rPr>
                <w:rFonts w:ascii="Times New Roman;Times;Serif" w:hAnsi="Times New Roman;Times;Serif"/>
                <w:b w:val="false"/>
                <w:i w:val="false"/>
                <w:caps w:val="false"/>
                <w:smallCaps w:val="false"/>
                <w:sz w:val="20"/>
              </w:rPr>
              <w:t>1.00. The Company had historically utilized Quota B for its share-based compensation program offered to board members, employees, and consultants. Quota B was also held by certain co-founders. The Company’s stock options were exercisable into Quota B for past and present board members, employees, and consultants.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Quota C had the right to appoint one (1) member of the board of statutory auditors; specifically, the one (1) that a founder had the right to appoint.</w:t>
            </w:r>
          </w:p>
        </w:tc>
      </w:tr>
    </w:tbl>
    <w:p>
      <w:pPr>
        <w:pStyle w:val="TextBody"/>
        <w:bidi w:val="0"/>
        <w:spacing w:before="0" w:after="0"/>
        <w:ind w:left="0" w:right="0" w:hanging="0"/>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Quota D and Quota E had no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Quotas A, C, D &amp; E. During a divestiture proceeding (meaning Quotas representing </w:t>
            </w:r>
            <w:bookmarkStart w:id="551" w:name="xdx_90F_ecustom--CorporateCapitalPercent"/>
            <w:bookmarkEnd w:id="551"/>
            <w:r>
              <w:rPr>
                <w:rFonts w:ascii="Times New Roman;Times;Serif" w:hAnsi="Times New Roman;Times;Serif"/>
                <w:b w:val="false"/>
                <w:i w:val="false"/>
                <w:caps w:val="false"/>
                <w:smallCaps w:val="false"/>
                <w:sz w:val="20"/>
              </w:rPr>
              <w:t>100% of the corporate capital of the Company) or a dissolution of the Company, Quotas C, D &amp; E all had the same rights with respect to the proceeds of a divestiture, i.e., all three (3) quotas shared the divestiture consideration equally (on a pari passu basis) up to the amount of their investment. If there was any consideration remaining after payment to quotas C, D &amp; E, then quota A was entitled to the amount remaining up to the amount of their investment. If proceeds of a divestiture were less than or equal to €</w:t>
            </w:r>
            <w:bookmarkStart w:id="552" w:name="xdx_90A_eus-gaap--ProceedsFromDivestitur"/>
            <w:bookmarkEnd w:id="552"/>
            <w:r>
              <w:rPr>
                <w:rFonts w:ascii="Times New Roman;Times;Serif" w:hAnsi="Times New Roman;Times;Serif"/>
                <w:b w:val="false"/>
                <w:i w:val="false"/>
                <w:caps w:val="false"/>
                <w:smallCaps w:val="false"/>
                <w:sz w:val="20"/>
              </w:rPr>
              <w:t>50 million, then any proceeds remaining after payment of quotas A, C, D &amp; E, were to be shared equally among quotas A, C, D &amp; E; however, if proceeds of a divestiture were greater than €</w:t>
            </w:r>
            <w:bookmarkStart w:id="553" w:name="xdx_902_eus-gaap--ProceedsFromDivestitur"/>
            <w:bookmarkEnd w:id="553"/>
            <w:r>
              <w:rPr>
                <w:rFonts w:ascii="Times New Roman;Times;Serif" w:hAnsi="Times New Roman;Times;Serif"/>
                <w:b w:val="false"/>
                <w:i w:val="false"/>
                <w:caps w:val="false"/>
                <w:smallCaps w:val="false"/>
                <w:sz w:val="20"/>
              </w:rPr>
              <w:t>50 million, then any proceeds remaining after payment of quotas A, C, D &amp; E, were to be distributed to each quota separately according to a detailed formula specified in the Company’s By-Laws, including quota B. Similar to a divestiture, net profits, if any, were to be distributed in the same manner to quotas A, B, C, D &amp; E, after deducting not less than five (5) percent for a legal reserve (up to where this reserve equals one-fifth of the quota capital). A, C, D, E had equal voting rights and the Company By-laws specify protective provisions for each class of quota for A, C, D &amp; 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the following events occurred which together had a significant impact on the Company’s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2021, the Board of Directors resolved to grant to employees and non-employees stock options and accelerate the vesting of other stock options on €</w:t>
      </w:r>
      <w:bookmarkStart w:id="554" w:name="xdx_909_eus-gaap--StockIssuedDuringPerio"/>
      <w:bookmarkEnd w:id="554"/>
      <w:r>
        <w:rPr>
          <w:rFonts w:ascii="Times New Roman;Times;Serif" w:hAnsi="Times New Roman;Times;Serif"/>
          <w:b w:val="false"/>
          <w:i w:val="false"/>
          <w:caps w:val="false"/>
          <w:smallCaps w:val="false"/>
          <w:sz w:val="20"/>
        </w:rPr>
        <w:t>715 quota B and €</w:t>
      </w:r>
      <w:bookmarkStart w:id="555" w:name="xdx_909_eus-gaap--StockRepurchasedDuring"/>
      <w:bookmarkEnd w:id="555"/>
      <w:r>
        <w:rPr>
          <w:rFonts w:ascii="Times New Roman;Times;Serif" w:hAnsi="Times New Roman;Times;Serif"/>
          <w:b w:val="false"/>
          <w:i w:val="false"/>
          <w:caps w:val="false"/>
          <w:smallCaps w:val="false"/>
          <w:sz w:val="20"/>
        </w:rPr>
        <w:t>172 quota B were repurchased at nominal value, cancelled, and allocated to the option plan as available for grant by Drs. Naldini and Gentner, leaving a net equity increase of €</w:t>
      </w:r>
      <w:bookmarkStart w:id="556" w:name="xdx_906_eus-gaap--ProceedsFromStockOptio"/>
      <w:bookmarkEnd w:id="556"/>
      <w:r>
        <w:rPr>
          <w:rFonts w:ascii="Times New Roman;Times;Serif" w:hAnsi="Times New Roman;Times;Serif"/>
          <w:b w:val="false"/>
          <w:i w:val="false"/>
          <w:caps w:val="false"/>
          <w:smallCaps w:val="false"/>
          <w:sz w:val="20"/>
        </w:rPr>
        <w:t>543 quota B. All quota B ownership has limited rights and carry a par value of €</w:t>
      </w:r>
      <w:bookmarkStart w:id="557" w:name="xdx_90D_eus-gaap--SharesIssuedPricePerSh"/>
      <w:bookmarkEnd w:id="557"/>
      <w:r>
        <w:rPr>
          <w:rFonts w:ascii="Times New Roman;Times;Serif" w:hAnsi="Times New Roman;Times;Serif"/>
          <w:b w:val="false"/>
          <w:i w:val="false"/>
          <w:caps w:val="false"/>
          <w:smallCaps w:val="false"/>
          <w:sz w:val="20"/>
        </w:rPr>
        <w:t>1 per quota. The Corporate Capital amount was €</w:t>
      </w:r>
      <w:bookmarkStart w:id="558" w:name="xdx_902_eus-gaap--CapitalUnits_iI_c20210"/>
      <w:bookmarkEnd w:id="558"/>
      <w:r>
        <w:rPr>
          <w:rFonts w:ascii="Times New Roman;Times;Serif" w:hAnsi="Times New Roman;Times;Serif"/>
          <w:b w:val="false"/>
          <w:i w:val="false"/>
          <w:caps w:val="false"/>
          <w:smallCaps w:val="false"/>
          <w:sz w:val="20"/>
        </w:rPr>
        <w:t>37,771 (€</w:t>
      </w:r>
      <w:bookmarkStart w:id="559" w:name="xdx_902_eus-gaap--CapitalUnits_iI_c20201"/>
      <w:bookmarkEnd w:id="559"/>
      <w:r>
        <w:rPr>
          <w:rFonts w:ascii="Times New Roman;Times;Serif" w:hAnsi="Times New Roman;Times;Serif"/>
          <w:b w:val="false"/>
          <w:i w:val="false"/>
          <w:caps w:val="false"/>
          <w:smallCaps w:val="false"/>
          <w:sz w:val="20"/>
        </w:rPr>
        <w:t>37,056 corporate capital at December 31, 2020 + €</w:t>
      </w:r>
      <w:bookmarkStart w:id="560" w:name="xdx_906_eus-gaap--StockIssuedDuringPerio"/>
      <w:bookmarkEnd w:id="560"/>
      <w:r>
        <w:rPr>
          <w:rFonts w:ascii="Times New Roman;Times;Serif" w:hAnsi="Times New Roman;Times;Serif"/>
          <w:b w:val="false"/>
          <w:i w:val="false"/>
          <w:caps w:val="false"/>
          <w:smallCaps w:val="false"/>
          <w:sz w:val="20"/>
        </w:rPr>
        <w:t>715 exercise of Quota B options before the conversion).</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2021, at a Quotaholders’ meeting, the Quotaholders resolved to convert the Company from an S.r.l. to an S.p.A., which conversion became effective on June 18, 2021. As consequence of the conversion, the Corporate Capital was converted to ordinary shares with no par value, and it was increased to €</w:t>
      </w:r>
      <w:bookmarkStart w:id="561" w:name="xdx_90F_eus-gaap--StockIssuedDuringPerio"/>
      <w:bookmarkEnd w:id="561"/>
      <w:r>
        <w:rPr>
          <w:rFonts w:ascii="Times New Roman;Times;Serif" w:hAnsi="Times New Roman;Times;Serif"/>
          <w:b w:val="false"/>
          <w:i w:val="false"/>
          <w:caps w:val="false"/>
          <w:smallCaps w:val="false"/>
          <w:sz w:val="20"/>
        </w:rPr>
        <w:t>50,000 to satisfy the minimum capital requirement to qualify as an S.p.A. in Italy. This increase was an adjustment from additional paid-in capital to ordinary shares, no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 conversion, the corporate capital was reclassified as ordinary shares, no par value, combining the minimum capital amount of €</w:t>
      </w:r>
      <w:bookmarkStart w:id="562" w:name="xdx_90A_eus-gaap--StockIssuedDuringPerio"/>
      <w:bookmarkEnd w:id="562"/>
      <w:r>
        <w:rPr>
          <w:rFonts w:ascii="Times New Roman;Times;Serif" w:hAnsi="Times New Roman;Times;Serif"/>
          <w:b w:val="false"/>
          <w:i w:val="false"/>
          <w:caps w:val="false"/>
          <w:smallCaps w:val="false"/>
          <w:sz w:val="20"/>
        </w:rPr>
        <w:t>50,000 with the additional paid-in capital for a total of €</w:t>
      </w:r>
      <w:bookmarkStart w:id="563" w:name="xdx_90F_eus-gaap--AdditionalPaidInCapita"/>
      <w:bookmarkEnd w:id="563"/>
      <w:r>
        <w:rPr>
          <w:rFonts w:ascii="Times New Roman;Times;Serif" w:hAnsi="Times New Roman;Times;Serif"/>
          <w:b w:val="false"/>
          <w:i w:val="false"/>
          <w:caps w:val="false"/>
          <w:smallCaps w:val="false"/>
          <w:sz w:val="20"/>
        </w:rPr>
        <w:t>37,139,431. The outstanding quota of €</w:t>
      </w:r>
      <w:bookmarkStart w:id="564" w:name="xdx_90B_eus-gaap--StockIssuedDuringPerio"/>
      <w:bookmarkEnd w:id="564"/>
      <w:r>
        <w:rPr>
          <w:rFonts w:ascii="Times New Roman;Times;Serif" w:hAnsi="Times New Roman;Times;Serif"/>
          <w:b w:val="false"/>
          <w:i w:val="false"/>
          <w:caps w:val="false"/>
          <w:smallCaps w:val="false"/>
          <w:sz w:val="20"/>
        </w:rPr>
        <w:t xml:space="preserve">50,000 before the conversion were all converted into </w:t>
      </w:r>
      <w:bookmarkStart w:id="565" w:name="xdx_903_eus-gaap--ConversionOfStockShare"/>
      <w:bookmarkEnd w:id="565"/>
      <w:r>
        <w:rPr>
          <w:rFonts w:ascii="Times New Roman;Times;Serif" w:hAnsi="Times New Roman;Times;Serif"/>
          <w:b w:val="false"/>
          <w:i w:val="false"/>
          <w:caps w:val="false"/>
          <w:smallCaps w:val="false"/>
          <w:sz w:val="20"/>
        </w:rPr>
        <w:t xml:space="preserve">15 million shares of ordinary shares, no par value, after the conversion at the same conversion rate of approximately </w:t>
      </w:r>
      <w:bookmarkStart w:id="566" w:name="xdx_90A_eus-gaap--SharesIssuedPricePerSh"/>
      <w:bookmarkEnd w:id="566"/>
      <w:r>
        <w:rPr>
          <w:rFonts w:ascii="Times New Roman;Times;Serif" w:hAnsi="Times New Roman;Times;Serif"/>
          <w:b w:val="false"/>
          <w:i w:val="false"/>
          <w:caps w:val="false"/>
          <w:smallCaps w:val="false"/>
          <w:sz w:val="20"/>
        </w:rPr>
        <w:t>300 quota per share of ownership. All preferences related to the quota classes were terminated and all shareholders held ordinary shares, no par value. All shares outstanding after the conversion are held in ledger form. The Company adopted new Articles of Association and Bylaws, appointed a new Board of Directors and board of statutory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2021, the Company completed the IPO of its shares and was listed on the Nasdaq Stock Capital Market. Through the IPO, </w:t>
      </w:r>
      <w:bookmarkStart w:id="567" w:name="xdx_90B_eus-gaap--StockIssuedDuringPerio"/>
      <w:bookmarkEnd w:id="567"/>
      <w:r>
        <w:rPr>
          <w:rFonts w:ascii="Times New Roman;Times;Serif" w:hAnsi="Times New Roman;Times;Serif"/>
          <w:b w:val="false"/>
          <w:i w:val="false"/>
          <w:caps w:val="false"/>
          <w:smallCaps w:val="false"/>
          <w:sz w:val="20"/>
        </w:rPr>
        <w:t xml:space="preserve">3,120,114 new ordinary shares with no par value were issued. </w:t>
      </w:r>
      <w:bookmarkStart w:id="568" w:name="xdx_90B_eus-gaap--CommonStockSharesSubsc"/>
      <w:bookmarkEnd w:id="568"/>
      <w:r>
        <w:rPr>
          <w:rFonts w:ascii="Times New Roman;Times;Serif" w:hAnsi="Times New Roman;Times;Serif"/>
          <w:b w:val="false"/>
          <w:i w:val="false"/>
          <w:caps w:val="false"/>
          <w:smallCaps w:val="false"/>
          <w:sz w:val="20"/>
        </w:rPr>
        <w:t xml:space="preserve">720,114 ordinary shares were subscribed by the Company’s existing shareholders through a Reserved Offering, while </w:t>
      </w:r>
      <w:bookmarkStart w:id="569" w:name="xdx_90A_ecustom--AmericanDepositoryShare"/>
      <w:bookmarkEnd w:id="569"/>
      <w:r>
        <w:rPr>
          <w:rFonts w:ascii="Times New Roman;Times;Serif" w:hAnsi="Times New Roman;Times;Serif"/>
          <w:b w:val="false"/>
          <w:i w:val="false"/>
          <w:caps w:val="false"/>
          <w:smallCaps w:val="false"/>
          <w:sz w:val="20"/>
        </w:rPr>
        <w:t xml:space="preserve">2.4 million ADS were directly placed on the market. Subsequently, on December 27, 2021, the Company’s underwriter exercised a portion of its “green shoe” allotment for an additional </w:t>
      </w:r>
      <w:bookmarkStart w:id="570" w:name="xdx_90D_ecustom--AmericanDepositoryShare"/>
      <w:bookmarkEnd w:id="570"/>
      <w:r>
        <w:rPr>
          <w:rFonts w:ascii="Times New Roman;Times;Serif" w:hAnsi="Times New Roman;Times;Serif"/>
          <w:b w:val="false"/>
          <w:i w:val="false"/>
          <w:caps w:val="false"/>
          <w:smallCaps w:val="false"/>
          <w:sz w:val="20"/>
        </w:rPr>
        <w:t xml:space="preserve">96,744 ADS. The total number of shares outstanding resulting at December 31, 2021 was </w:t>
      </w:r>
      <w:bookmarkStart w:id="571" w:name="xdx_90A_eus-gaap--CommonStockSharesOutst"/>
      <w:bookmarkEnd w:id="571"/>
      <w:r>
        <w:rPr>
          <w:rFonts w:ascii="Times New Roman;Times;Serif" w:hAnsi="Times New Roman;Times;Serif"/>
          <w:b w:val="false"/>
          <w:i w:val="false"/>
          <w:caps w:val="false"/>
          <w:smallCaps w:val="false"/>
          <w:sz w:val="20"/>
        </w:rPr>
        <w:t>18,216,858. Through the IPO, approximately €</w:t>
      </w:r>
      <w:bookmarkStart w:id="572" w:name="xdx_90D_ecustom--NetListingCosts_iI_pn6n"/>
      <w:bookmarkEnd w:id="572"/>
      <w:r>
        <w:rPr>
          <w:rFonts w:ascii="Times New Roman;Times;Serif" w:hAnsi="Times New Roman;Times;Serif"/>
          <w:b w:val="false"/>
          <w:i w:val="false"/>
          <w:caps w:val="false"/>
          <w:smallCaps w:val="false"/>
          <w:sz w:val="20"/>
        </w:rPr>
        <w:t>29 million was raised net of listing costs (approximately €</w:t>
      </w:r>
      <w:bookmarkStart w:id="573" w:name="xdx_90F_ecustom--NetListingCosts_iI_pn5n"/>
      <w:bookmarkEnd w:id="573"/>
      <w:r>
        <w:rPr>
          <w:rFonts w:ascii="Times New Roman;Times;Serif" w:hAnsi="Times New Roman;Times;Serif"/>
          <w:b w:val="false"/>
          <w:i w:val="false"/>
          <w:caps w:val="false"/>
          <w:smallCaps w:val="false"/>
          <w:sz w:val="20"/>
        </w:rPr>
        <w:t>3.9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4" w:name="xdx_80F_eus-gaap--DisclosureOfCompensati"/>
      <w:bookmarkEnd w:id="574"/>
      <w:r>
        <w:rPr>
          <w:rFonts w:ascii="Times New Roman;Times;Serif" w:hAnsi="Times New Roman;Times;Serif"/>
          <w:b/>
          <w:i w:val="false"/>
          <w:caps w:val="false"/>
          <w:smallCaps w:val="false"/>
          <w:sz w:val="20"/>
        </w:rPr>
        <w:t xml:space="preserve">12. </w:t>
      </w:r>
      <w:bookmarkStart w:id="575" w:name="xdx_821_z88YYr4N6cd5"/>
      <w:bookmarkEnd w:id="575"/>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options on its corporate capital to certain directors, officers, employees, and consultants, as an incentive and as additional compensation prior to the Company’s conversion to an S.p.A. All options converted into Quota B when vested and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w:t>
      </w:r>
      <w:bookmarkStart w:id="576" w:name="xdx_900_eus-gaap--StockRepurchasedDuring"/>
      <w:bookmarkEnd w:id="576"/>
      <w:r>
        <w:rPr>
          <w:rFonts w:ascii="Times New Roman;Times;Serif" w:hAnsi="Times New Roman;Times;Serif"/>
          <w:b w:val="false"/>
          <w:i w:val="false"/>
          <w:caps w:val="false"/>
          <w:smallCaps w:val="false"/>
          <w:sz w:val="20"/>
        </w:rPr>
        <w:t>172 of quota B shares were repurchased, cancelled, and allocated to the option plan as available for grant. The Board approved new option grants on €</w:t>
      </w:r>
      <w:bookmarkStart w:id="577" w:name="xdx_902_eus-gaap--StockGrantedDuringPeri"/>
      <w:bookmarkEnd w:id="577"/>
      <w:r>
        <w:rPr>
          <w:rFonts w:ascii="Times New Roman;Times;Serif" w:hAnsi="Times New Roman;Times;Serif"/>
          <w:b w:val="false"/>
          <w:i w:val="false"/>
          <w:caps w:val="false"/>
          <w:smallCaps w:val="false"/>
          <w:sz w:val="20"/>
        </w:rPr>
        <w:t>169 of quota B and accelerated the vesting of options on €</w:t>
      </w:r>
      <w:bookmarkStart w:id="578" w:name="xdx_908_eus-gaap--ShareBasedCompensation"/>
      <w:bookmarkEnd w:id="578"/>
      <w:r>
        <w:rPr>
          <w:rFonts w:ascii="Times New Roman;Times;Serif" w:hAnsi="Times New Roman;Times;Serif"/>
          <w:b w:val="false"/>
          <w:i w:val="false"/>
          <w:caps w:val="false"/>
          <w:smallCaps w:val="false"/>
          <w:sz w:val="20"/>
        </w:rPr>
        <w:t>546 quota B and all options were exercised. The total of €</w:t>
      </w:r>
      <w:bookmarkStart w:id="579" w:name="xdx_901_eus-gaap--StockIssuedDuringPerio"/>
      <w:bookmarkEnd w:id="579"/>
      <w:r>
        <w:rPr>
          <w:rFonts w:ascii="Times New Roman;Times;Serif" w:hAnsi="Times New Roman;Times;Serif"/>
          <w:b w:val="false"/>
          <w:i w:val="false"/>
          <w:caps w:val="false"/>
          <w:smallCaps w:val="false"/>
          <w:sz w:val="20"/>
        </w:rPr>
        <w:t>715 quota B were issued and exercised in April 2021 with no options remaining outstanding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2021, in context of our Corporate Conversion from a limited liability company (società a responsabilità limitata, or “S.r.l.”) to a joint stock company (società per azioni, or an “S.p.A.”), the shareholders approved a capital increase to allow for issuance of up to </w:t>
      </w:r>
      <w:bookmarkStart w:id="580" w:name="xdx_902_eus-gaap--StockIssuedDuringPerio"/>
      <w:bookmarkEnd w:id="580"/>
      <w:r>
        <w:rPr>
          <w:rFonts w:ascii="Times New Roman;Times;Serif" w:hAnsi="Times New Roman;Times;Serif"/>
          <w:b w:val="false"/>
          <w:i w:val="false"/>
          <w:caps w:val="false"/>
          <w:smallCaps w:val="false"/>
          <w:sz w:val="20"/>
        </w:rPr>
        <w:t xml:space="preserve">2.7 million ordinary shares, or </w:t>
      </w:r>
      <w:bookmarkStart w:id="581" w:name="xdx_901_eus-gaap--ShareBasedCompensation"/>
      <w:bookmarkEnd w:id="581"/>
      <w:r>
        <w:rPr>
          <w:rFonts w:ascii="Times New Roman;Times;Serif" w:hAnsi="Times New Roman;Times;Serif"/>
          <w:b w:val="false"/>
          <w:i w:val="false"/>
          <w:caps w:val="false"/>
          <w:smallCaps w:val="false"/>
          <w:sz w:val="20"/>
        </w:rPr>
        <w:t>10% of the total outstanding common shares of the Company after the IPO, in the service of a four-year employees’ share option plan, “Equity Incentive Plan 2021–2025,” (the “Plan”) to be adopted by the board of directors. The Plan is administered by the Board of Directors in consultation with the Compensation, Nomination and Governance Committee. No options were granted under the Plan during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2022, the Company’s board of directors, as administrator of the Plan, awarded a nonqualified stock option (“NSO”) on </w:t>
      </w:r>
      <w:bookmarkStart w:id="582" w:name="xdx_901_eus-gaap--ShareBasedCompensation"/>
      <w:bookmarkEnd w:id="582"/>
      <w:r>
        <w:rPr>
          <w:rFonts w:ascii="Times New Roman;Times;Serif" w:hAnsi="Times New Roman;Times;Serif"/>
          <w:b w:val="false"/>
          <w:i w:val="false"/>
          <w:caps w:val="false"/>
          <w:smallCaps w:val="false"/>
          <w:sz w:val="20"/>
        </w:rPr>
        <w:t>147,783 shares to its (former) Chairman according to the terms of a Sub-Plan called “2021-2025 Chairman Sub-Plan” (the “Sub-Plan”) attached to the Plan. The NSO was fully vested upon grant and carried a two (2) year exercise term. The exercise price of the NSO is €</w:t>
      </w:r>
      <w:bookmarkStart w:id="583" w:name="xdx_90B_eus-gaap--ShareBasedCompensation"/>
      <w:bookmarkEnd w:id="583"/>
      <w:r>
        <w:rPr>
          <w:rFonts w:ascii="Times New Roman;Times;Serif" w:hAnsi="Times New Roman;Times;Serif"/>
          <w:b w:val="false"/>
          <w:i w:val="false"/>
          <w:caps w:val="false"/>
          <w:smallCaps w:val="false"/>
          <w:sz w:val="20"/>
        </w:rPr>
        <w:t>6.38 per share, as pre-determined in the Sub-Plan.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2022, the Company’s board of directors, as administrator of the Plan, awarded NSOs on </w:t>
      </w:r>
      <w:bookmarkStart w:id="584" w:name="xdx_908_eus-gaap--ShareBasedCompensation"/>
      <w:bookmarkEnd w:id="584"/>
      <w:r>
        <w:rPr>
          <w:rFonts w:ascii="Times New Roman;Times;Serif" w:hAnsi="Times New Roman;Times;Serif"/>
          <w:b w:val="false"/>
          <w:i w:val="false"/>
          <w:caps w:val="false"/>
          <w:smallCaps w:val="false"/>
          <w:sz w:val="20"/>
        </w:rPr>
        <w:t xml:space="preserve">392,740 shares to certain of the Company’s directors, officers and employees. </w:t>
      </w:r>
      <w:bookmarkStart w:id="585" w:name="xdx_90A_eus-gaap--ShareBasedCompensation"/>
      <w:bookmarkEnd w:id="585"/>
      <w:r>
        <w:rPr>
          <w:rFonts w:ascii="Times New Roman;Times;Serif" w:hAnsi="Times New Roman;Times;Serif"/>
          <w:b w:val="false"/>
          <w:i w:val="false"/>
          <w:caps w:val="false"/>
          <w:smallCaps w:val="false"/>
          <w:sz w:val="20"/>
        </w:rPr>
        <w:t>The director NSOs vested monthly over a one-year period with a 10-year term. The officer and employee NSOs vested monthly over a four (4) year period with a 10-year term; however, the vesting of the officer NSOs were adjusted based on hire date per their employment contracts. All NSOs were priced based on a 30-day volume weighted average formula, adjusted by Black-Scholes, which was determined to be $</w:t>
      </w:r>
      <w:bookmarkStart w:id="586" w:name="xdx_90B_eus-gaap--ShareBasedCompensation"/>
      <w:bookmarkEnd w:id="586"/>
      <w:r>
        <w:rPr>
          <w:rFonts w:ascii="Times New Roman;Times;Serif" w:hAnsi="Times New Roman;Times;Serif"/>
          <w:b w:val="false"/>
          <w:i w:val="false"/>
          <w:caps w:val="false"/>
          <w:smallCaps w:val="false"/>
          <w:sz w:val="20"/>
        </w:rPr>
        <w:t>4.76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2022, there were </w:t>
      </w:r>
      <w:bookmarkStart w:id="587" w:name="xdx_90B_eus-gaap--ShareBasedCompensation"/>
      <w:bookmarkEnd w:id="587"/>
      <w:r>
        <w:rPr>
          <w:rFonts w:ascii="Times New Roman;Times;Serif" w:hAnsi="Times New Roman;Times;Serif"/>
          <w:b w:val="false"/>
          <w:i w:val="false"/>
          <w:caps w:val="false"/>
          <w:smallCaps w:val="false"/>
          <w:sz w:val="20"/>
        </w:rPr>
        <w:t xml:space="preserve">540,523 granted stock options and </w:t>
      </w:r>
      <w:bookmarkStart w:id="588" w:name="xdx_90C_eus-gaap--ShareBasedCompensation"/>
      <w:bookmarkEnd w:id="588"/>
      <w:r>
        <w:rPr>
          <w:rFonts w:ascii="Times New Roman;Times;Serif" w:hAnsi="Times New Roman;Times;Serif"/>
          <w:b w:val="false"/>
          <w:i w:val="false"/>
          <w:caps w:val="false"/>
          <w:smallCaps w:val="false"/>
          <w:sz w:val="20"/>
        </w:rPr>
        <w:t>1,281,162 stock options remaining available for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2023, the Board, as administrator of the Plan, awarded NSOs on </w:t>
      </w:r>
      <w:bookmarkStart w:id="589" w:name="xdx_901_eus-gaap--ShareBasedCompensation"/>
      <w:bookmarkEnd w:id="589"/>
      <w:r>
        <w:rPr>
          <w:rFonts w:ascii="Times New Roman;Times;Serif" w:hAnsi="Times New Roman;Times;Serif"/>
          <w:b w:val="false"/>
          <w:i w:val="false"/>
          <w:caps w:val="false"/>
          <w:smallCaps w:val="false"/>
          <w:sz w:val="20"/>
        </w:rPr>
        <w:t>46,400 shares to the Company’s directors. The NSOs vested monthly over a one (1) year period with a 10-year term. All NSOs were priced based on a 30-day volume weighted average formula, adjusted by Black-Scholes, which was determined to be $</w:t>
      </w:r>
      <w:bookmarkStart w:id="590" w:name="xdx_906_eus-gaap--ShareBasedCompensation"/>
      <w:bookmarkEnd w:id="590"/>
      <w:r>
        <w:rPr>
          <w:rFonts w:ascii="Times New Roman;Times;Serif" w:hAnsi="Times New Roman;Times;Serif"/>
          <w:b w:val="false"/>
          <w:i w:val="false"/>
          <w:caps w:val="false"/>
          <w:smallCaps w:val="false"/>
          <w:sz w:val="20"/>
        </w:rPr>
        <w:t>5.62 per share.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2023, there were </w:t>
      </w:r>
      <w:bookmarkStart w:id="591" w:name="xdx_90D_eus-gaap--ShareBasedCompensation"/>
      <w:bookmarkEnd w:id="591"/>
      <w:r>
        <w:rPr>
          <w:rFonts w:ascii="Times New Roman;Times;Serif" w:hAnsi="Times New Roman;Times;Serif"/>
          <w:b w:val="false"/>
          <w:i w:val="false"/>
          <w:caps w:val="false"/>
          <w:smallCaps w:val="false"/>
          <w:sz w:val="20"/>
        </w:rPr>
        <w:t xml:space="preserve">586,923 granted stock options and </w:t>
      </w:r>
      <w:bookmarkStart w:id="592" w:name="xdx_904_eus-gaap--ShareBasedCompensation"/>
      <w:bookmarkEnd w:id="592"/>
      <w:r>
        <w:rPr>
          <w:rFonts w:ascii="Times New Roman;Times;Serif" w:hAnsi="Times New Roman;Times;Serif"/>
          <w:b w:val="false"/>
          <w:i w:val="false"/>
          <w:caps w:val="false"/>
          <w:smallCaps w:val="false"/>
          <w:sz w:val="20"/>
        </w:rPr>
        <w:t>1,234,772 stock options remaining available for grant.</w:t>
      </w:r>
    </w:p>
    <w:p>
      <w:pPr>
        <w:pStyle w:val="TextBody"/>
        <w:bidi w:val="0"/>
        <w:spacing w:before="0" w:after="0"/>
        <w:ind w:left="0" w:right="0" w:firstLine="648"/>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the fair value of stock options awards granted to employees and nonemployees using the Black-Scholes option-pricing method. If the company determinates that other methods are more reasonable, or other methods for calculating these assumptions are prescribed by regulators, the fair value calculated for the Company’s stock options could change significantly. Higher volatility and longer expected lives would result in an increase to share-based compensation expense to non-employees determined at the date of grant. Share-based compensation expense to non-employees affects the Company’s selling, general and administrative expenses and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calculated the share compensation expense for the options granted by utilizing the Black Scholes method with the following inputs for each of the stock grants in March 2023, July 2022 and April of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exercise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expected term.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share’s current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share’s expected price volatility during the option’s expected (or in certain cases, contractual) term, or in cases where calculated value is used, the historical volatility of an appropriate industry sector index.</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share’s expected dividends during the option’s expected (or in certain cases, contractual) term except cases, such as when dividend protection is provided;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during the option’s expected (or in certain cases, contractual) term.</w:t>
            </w:r>
          </w:p>
        </w:tc>
      </w:tr>
    </w:tbl>
    <w:p>
      <w:pPr>
        <w:pStyle w:val="TextBody"/>
        <w:bidi w:val="0"/>
        <w:spacing w:before="0" w:after="0"/>
        <w:ind w:left="0" w:right="0" w:firstLine="648"/>
        <w:jc w:val="both"/>
        <w:rPr>
          <w:caps w:val="false"/>
          <w:smallCaps w:val="false"/>
        </w:rPr>
      </w:pPr>
      <w:bookmarkStart w:id="593" w:name="xdx_898_eus-gaap--ScheduleOfShareBasedCo"/>
      <w:bookmarkEnd w:id="593"/>
      <w:r>
        <w:rPr>
          <w:caps w:val="false"/>
          <w:smallCaps w:val="false"/>
        </w:rPr>
        <w:t> </w:t>
      </w:r>
      <w:bookmarkStart w:id="594" w:name="xdx_8BA_zEoYBrDjDlRc"/>
      <w:bookmarkEnd w:id="594"/>
      <w:r>
        <w:rPr>
          <w:rFonts w:ascii="Times New Roman;Times;Serif" w:hAnsi="Times New Roman;Times;Serif"/>
          <w:b w:val="false"/>
          <w:i w:val="false"/>
          <w:caps w:val="false"/>
          <w:smallCaps w:val="false"/>
          <w:sz w:val="20"/>
        </w:rPr>
        <w:t>Schedule of Outstanding Stock Options</w:t>
      </w:r>
    </w:p>
    <w:tbl>
      <w:tblPr>
        <w:tblW w:w="10205" w:type="dxa"/>
        <w:jc w:val="left"/>
        <w:tblInd w:w="0" w:type="dxa"/>
        <w:tblLayout w:type="fixed"/>
        <w:tblCellMar>
          <w:top w:w="0" w:type="dxa"/>
          <w:left w:w="0" w:type="dxa"/>
          <w:bottom w:w="0" w:type="dxa"/>
          <w:right w:w="0" w:type="dxa"/>
        </w:tblCellMar>
      </w:tblPr>
      <w:tblGrid>
        <w:gridCol w:w="2758"/>
        <w:gridCol w:w="60"/>
        <w:gridCol w:w="83"/>
        <w:gridCol w:w="1114"/>
        <w:gridCol w:w="60"/>
        <w:gridCol w:w="60"/>
        <w:gridCol w:w="409"/>
        <w:gridCol w:w="1292"/>
        <w:gridCol w:w="60"/>
        <w:gridCol w:w="60"/>
        <w:gridCol w:w="304"/>
        <w:gridCol w:w="2248"/>
        <w:gridCol w:w="60"/>
        <w:gridCol w:w="60"/>
        <w:gridCol w:w="222"/>
        <w:gridCol w:w="1276"/>
        <w:gridCol w:w="79"/>
      </w:tblGrid>
      <w:tr>
        <w:trPr/>
        <w:tc>
          <w:tcPr>
            <w:tcW w:w="2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Number of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Aggregate Intrinsic Value</w:t>
            </w:r>
          </w:p>
        </w:tc>
        <w:tc>
          <w:tcPr>
            <w:tcW w:w="79" w:type="dxa"/>
            <w:tcBorders/>
            <w:vAlign w:val="center"/>
          </w:tcPr>
          <w:p>
            <w:pPr>
              <w:pStyle w:val="TableContents"/>
              <w:bidi w:val="0"/>
              <w:spacing w:before="0" w:after="283"/>
              <w:jc w:val="left"/>
              <w:rPr/>
            </w:pPr>
            <w:r>
              <w:rPr/>
              <w:t> </w:t>
            </w:r>
          </w:p>
        </w:tc>
      </w:tr>
      <w:tr>
        <w:trPr/>
        <w:tc>
          <w:tcPr>
            <w:tcW w:w="27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January 1, 2021</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95" w:name="xdx_985_eus-gaap--ShareBasedCompensation"/>
            <w:bookmarkEnd w:id="595"/>
          </w:p>
        </w:tc>
        <w:tc>
          <w:tcPr>
            <w:tcW w:w="111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596" w:name="xdx_985_eus-gaap--ShareBasedCompensation"/>
            <w:bookmarkEnd w:id="596"/>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97" w:name="xdx_98A_eus-gaap--SharebasedCompensation"/>
            <w:bookmarkEnd w:id="597"/>
          </w:p>
        </w:tc>
        <w:tc>
          <w:tcPr>
            <w:tcW w:w="22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598" w:name="xdx_986_eus-gaap--ShareBasedCompensation"/>
            <w:bookmarkEnd w:id="598"/>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584,132</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599" w:name="xdx_98D_eus-gaap--ShareBasedCompensation"/>
            <w:bookmarkEnd w:id="599"/>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bookmarkStart w:id="600" w:name="xdx_98C_eus-gaap--ShareBasedCompensation"/>
            <w:bookmarkEnd w:id="600"/>
          </w:p>
        </w:tc>
        <w:tc>
          <w:tcPr>
            <w:tcW w:w="12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248" w:type="dxa"/>
            <w:tcBorders/>
            <w:shd w:fill="FFFFFF" w:val="clear"/>
            <w:vAlign w:val="center"/>
          </w:tcPr>
          <w:p>
            <w:pPr>
              <w:pStyle w:val="TableContents"/>
              <w:bidi w:val="0"/>
              <w:spacing w:before="0" w:after="283"/>
              <w:jc w:val="right"/>
              <w:rPr>
                <w:rFonts w:ascii="Times New Roman;Times;Serif" w:hAnsi="Times New Roman;Times;Serif"/>
                <w:sz w:val="20"/>
              </w:rPr>
            </w:pPr>
            <w:bookmarkStart w:id="601" w:name="xdx_903_ecustom--SharebasedCompensationA"/>
            <w:bookmarkEnd w:id="601"/>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bookmarkStart w:id="602" w:name="xdx_985_ecustom--ShareBasedCompensationA"/>
            <w:bookmarkEnd w:id="602"/>
          </w:p>
        </w:tc>
        <w:tc>
          <w:tcPr>
            <w:tcW w:w="12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183,831</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603" w:name="xdx_982_eus-gaap--ShareBasedCompensation"/>
            <w:bookmarkEnd w:id="603"/>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bookmarkStart w:id="604" w:name="xdx_98E_eus-gaap--ShareBasedCompensation"/>
            <w:bookmarkEnd w:id="604"/>
          </w:p>
        </w:tc>
        <w:tc>
          <w:tcPr>
            <w:tcW w:w="12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2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bookmarkStart w:id="605" w:name="xdx_984_eus-gaap--SharebasedCompensation"/>
            <w:bookmarkEnd w:id="605"/>
          </w:p>
        </w:tc>
        <w:tc>
          <w:tcPr>
            <w:tcW w:w="12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777,920</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Cancelled or forfeited</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6" w:name="xdx_981_eus-gaap--ShareBasedCompensation"/>
            <w:bookmarkEnd w:id="606"/>
          </w:p>
        </w:tc>
        <w:tc>
          <w:tcPr>
            <w:tcW w:w="111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7" w:name="xdx_98C_eus-gaap--ShareBasedCompensation"/>
            <w:bookmarkEnd w:id="607"/>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8" w:name="xdx_98E_ecustom--ShareBasedCompensationA"/>
            <w:bookmarkEnd w:id="608"/>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09" w:name="xdx_986_eus-gaap--ShareBasedCompensation"/>
            <w:bookmarkEnd w:id="609"/>
          </w:p>
        </w:tc>
        <w:tc>
          <w:tcPr>
            <w:tcW w:w="111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10" w:name="xdx_98A_eus-gaap--ShareBasedCompensation"/>
            <w:bookmarkEnd w:id="610"/>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611" w:name="xdx_90F_eus-gaap--SharebasedCompensation"/>
            <w:bookmarkEnd w:id="611"/>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12" w:name="xdx_98E_eus-gaap--ShareBasedCompensation"/>
            <w:bookmarkEnd w:id="612"/>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as of December 31, 2021</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13" w:name="xdx_98F_eus-gaap--ShareBasedCompensation"/>
            <w:bookmarkEnd w:id="613"/>
          </w:p>
        </w:tc>
        <w:tc>
          <w:tcPr>
            <w:tcW w:w="111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614" w:name="xdx_984_eus-gaap--ShareBasedCompensation"/>
            <w:bookmarkEnd w:id="614"/>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615" w:name="xdx_907_eus-gaap--SharebasedCompensation"/>
            <w:bookmarkEnd w:id="615"/>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616" w:name="xdx_989_eus-gaap--SharebasedCompensation"/>
            <w:bookmarkEnd w:id="616"/>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Outstanding, expected to vest as of December 31, 2021</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17" w:name="xdx_98E_eus-gaap--ShareBasedCompensation"/>
            <w:bookmarkEnd w:id="617"/>
          </w:p>
        </w:tc>
        <w:tc>
          <w:tcPr>
            <w:tcW w:w="111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18" w:name="xdx_986_eus-gaap--ShareBasedCompensation"/>
            <w:bookmarkEnd w:id="618"/>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619" w:name="xdx_90E_eus-gaap--SharebasedCompensation"/>
            <w:bookmarkEnd w:id="619"/>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20" w:name="xdx_984_eus-gaap--ShareBasedCompensation"/>
            <w:bookmarkEnd w:id="620"/>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2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January 1, 2022</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621" w:name="xdx_98A_eus-gaap--ShareBasedCompensation"/>
            <w:bookmarkEnd w:id="621"/>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bookmarkStart w:id="622" w:name="xdx_98D_eus-gaap--ShareBasedCompensation"/>
            <w:bookmarkEnd w:id="622"/>
          </w:p>
        </w:tc>
        <w:tc>
          <w:tcPr>
            <w:tcW w:w="12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248" w:type="dxa"/>
            <w:tcBorders/>
            <w:shd w:fill="CCEEFF" w:val="clear"/>
            <w:vAlign w:val="center"/>
          </w:tcPr>
          <w:p>
            <w:pPr>
              <w:pStyle w:val="TableContents"/>
              <w:bidi w:val="0"/>
              <w:spacing w:before="0" w:after="283"/>
              <w:jc w:val="right"/>
              <w:rPr>
                <w:rFonts w:ascii="Times New Roman;Times;Serif" w:hAnsi="Times New Roman;Times;Serif"/>
              </w:rPr>
            </w:pPr>
            <w:bookmarkStart w:id="623" w:name="xdx_900_eus-gaap--SharebasedCompensation"/>
            <w:bookmarkEnd w:id="623"/>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bookmarkStart w:id="624" w:name="xdx_98A_eus-gaap--ShareBasedCompensation"/>
            <w:bookmarkEnd w:id="624"/>
          </w:p>
        </w:tc>
        <w:tc>
          <w:tcPr>
            <w:tcW w:w="12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625" w:name="xdx_989_eus-gaap--ShareBasedCompensation"/>
            <w:bookmarkEnd w:id="625"/>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w:t>
            </w:r>
            <w:bookmarkStart w:id="626" w:name="xdx_985_eus-gaap--ShareBasedCompensation"/>
            <w:bookmarkEnd w:id="626"/>
          </w:p>
        </w:tc>
        <w:tc>
          <w:tcPr>
            <w:tcW w:w="12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248" w:type="dxa"/>
            <w:tcBorders/>
            <w:shd w:fill="FFFFFF" w:val="clear"/>
            <w:vAlign w:val="center"/>
          </w:tcPr>
          <w:p>
            <w:pPr>
              <w:pStyle w:val="TableContents"/>
              <w:bidi w:val="0"/>
              <w:spacing w:before="0" w:after="283"/>
              <w:jc w:val="right"/>
              <w:rPr>
                <w:rFonts w:ascii="Times New Roman;Times;Serif" w:hAnsi="Times New Roman;Times;Serif"/>
              </w:rPr>
            </w:pPr>
            <w:bookmarkStart w:id="627" w:name="xdx_905_ecustom--SharebasedCompensationA"/>
            <w:bookmarkEnd w:id="627"/>
            <w:r>
              <w:rPr>
                <w:rFonts w:ascii="Times New Roman;Times;Serif" w:hAnsi="Times New Roman;Times;Serif"/>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w:t>
            </w:r>
            <w:bookmarkStart w:id="628" w:name="xdx_983_ecustom--ShareBasedCompensationA"/>
            <w:bookmarkEnd w:id="628"/>
          </w:p>
        </w:tc>
        <w:tc>
          <w:tcPr>
            <w:tcW w:w="12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272,480</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629" w:name="xdx_98F_eus-gaap--ShareBasedCompensation"/>
            <w:bookmarkEnd w:id="629"/>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bookmarkStart w:id="630" w:name="xdx_98B_eus-gaap--ShareBasedCompensation"/>
            <w:bookmarkEnd w:id="630"/>
          </w:p>
        </w:tc>
        <w:tc>
          <w:tcPr>
            <w:tcW w:w="12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2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bookmarkStart w:id="631" w:name="xdx_98F_eus-gaap--SharebasedCompensation"/>
            <w:bookmarkEnd w:id="631"/>
          </w:p>
        </w:tc>
        <w:tc>
          <w:tcPr>
            <w:tcW w:w="12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Cancelled or forfeited</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32" w:name="xdx_98B_eus-gaap--ShareBasedCompensation"/>
            <w:bookmarkEnd w:id="632"/>
          </w:p>
        </w:tc>
        <w:tc>
          <w:tcPr>
            <w:tcW w:w="111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33" w:name="xdx_987_eus-gaap--ShareBasedCompensation"/>
            <w:bookmarkEnd w:id="633"/>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34" w:name="xdx_984_ecustom--ShareBasedCompensationA"/>
            <w:bookmarkEnd w:id="634"/>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35" w:name="xdx_98F_eus-gaap--ShareBasedCompensation"/>
            <w:bookmarkEnd w:id="635"/>
          </w:p>
        </w:tc>
        <w:tc>
          <w:tcPr>
            <w:tcW w:w="111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36" w:name="xdx_98F_eus-gaap--ShareBasedCompensation"/>
            <w:bookmarkEnd w:id="636"/>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637" w:name="xdx_90C_eus-gaap--SharebasedCompensation"/>
            <w:bookmarkEnd w:id="637"/>
            <w:r>
              <w:rPr>
                <w:rFonts w:ascii="Times New Roman;Times;Serif" w:hAnsi="Times New Roman;Times;Serif"/>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38" w:name="xdx_98D_eus-gaap--ShareBasedCompensation"/>
            <w:bookmarkEnd w:id="638"/>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272,480</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as of December 31, 2022</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39" w:name="xdx_983_eus-gaap--ShareBasedCompensation"/>
            <w:bookmarkEnd w:id="639"/>
          </w:p>
        </w:tc>
        <w:tc>
          <w:tcPr>
            <w:tcW w:w="111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640" w:name="xdx_981_eus-gaap--ShareBasedCompensation"/>
            <w:bookmarkEnd w:id="640"/>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641" w:name="xdx_903_eus-gaap--SharebasedCompensation"/>
            <w:bookmarkEnd w:id="641"/>
            <w:r>
              <w:rPr>
                <w:rFonts w:ascii="Times New Roman;Times;Serif" w:hAnsi="Times New Roman;Times;Serif"/>
              </w:rPr>
              <w:t>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642" w:name="xdx_983_eus-gaap--SharebasedCompensation"/>
            <w:bookmarkEnd w:id="642"/>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61,988</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Outstanding, expected to vest as of December 31, 2022</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43" w:name="xdx_986_eus-gaap--ShareBasedCompensation"/>
            <w:bookmarkEnd w:id="643"/>
          </w:p>
        </w:tc>
        <w:tc>
          <w:tcPr>
            <w:tcW w:w="111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303,394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44" w:name="xdx_985_eus-gaap--ShareBasedCompensation"/>
            <w:bookmarkEnd w:id="644"/>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45" w:name="xdx_988_eus-gaap--SharebasedCompensation"/>
            <w:bookmarkEnd w:id="645"/>
          </w:p>
        </w:tc>
        <w:tc>
          <w:tcPr>
            <w:tcW w:w="22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46" w:name="xdx_984_eus-gaap--ShareBasedCompensation"/>
            <w:bookmarkEnd w:id="646"/>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210,492</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2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January 1, 2023</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647" w:name="xdx_983_eus-gaap--ShareBasedCompensation"/>
            <w:bookmarkEnd w:id="647"/>
          </w:p>
        </w:tc>
        <w:tc>
          <w:tcPr>
            <w:tcW w:w="1114"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540,523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w:t>
            </w:r>
            <w:bookmarkStart w:id="648" w:name="xdx_98E_eus-gaap--ShareBasedCompensation"/>
            <w:bookmarkEnd w:id="648"/>
          </w:p>
        </w:tc>
        <w:tc>
          <w:tcPr>
            <w:tcW w:w="12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248" w:type="dxa"/>
            <w:tcBorders/>
            <w:shd w:fill="CCEEFF" w:val="clear"/>
            <w:vAlign w:val="center"/>
          </w:tcPr>
          <w:p>
            <w:pPr>
              <w:pStyle w:val="TableContents"/>
              <w:bidi w:val="0"/>
              <w:spacing w:before="0" w:after="283"/>
              <w:jc w:val="right"/>
              <w:rPr>
                <w:rFonts w:ascii="Times New Roman;Times;Serif" w:hAnsi="Times New Roman;Times;Serif"/>
              </w:rPr>
            </w:pPr>
            <w:bookmarkStart w:id="649" w:name="xdx_90C_eus-gaap--SharebasedCompensation"/>
            <w:bookmarkEnd w:id="649"/>
            <w:r>
              <w:rPr>
                <w:rFonts w:ascii="Times New Roman;Times;Serif" w:hAnsi="Times New Roman;Times;Serif"/>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bookmarkStart w:id="650" w:name="xdx_988_eus-gaap--ShareBasedCompensation"/>
            <w:bookmarkEnd w:id="650"/>
          </w:p>
        </w:tc>
        <w:tc>
          <w:tcPr>
            <w:tcW w:w="12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272,480</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651" w:name="xdx_98D_eus-gaap--ShareBasedCompensation"/>
            <w:bookmarkEnd w:id="651"/>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bookmarkStart w:id="652" w:name="xdx_982_eus-gaap--ShareBasedCompensation"/>
            <w:bookmarkEnd w:id="652"/>
          </w:p>
        </w:tc>
        <w:tc>
          <w:tcPr>
            <w:tcW w:w="12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248" w:type="dxa"/>
            <w:tcBorders/>
            <w:shd w:fill="FFFFFF" w:val="clear"/>
            <w:vAlign w:val="center"/>
          </w:tcPr>
          <w:p>
            <w:pPr>
              <w:pStyle w:val="TableContents"/>
              <w:bidi w:val="0"/>
              <w:spacing w:before="0" w:after="283"/>
              <w:jc w:val="right"/>
              <w:rPr>
                <w:rFonts w:ascii="Times New Roman;Times;Serif" w:hAnsi="Times New Roman;Times;Serif"/>
              </w:rPr>
            </w:pPr>
            <w:bookmarkStart w:id="653" w:name="xdx_900_ecustom--SharebasedCompensationA"/>
            <w:bookmarkEnd w:id="653"/>
            <w:r>
              <w:rPr>
                <w:rFonts w:ascii="Times New Roman;Times;Serif" w:hAnsi="Times New Roman;Times;Serif"/>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bookmarkStart w:id="654" w:name="xdx_987_ecustom--ShareBasedCompensationA"/>
            <w:bookmarkEnd w:id="654"/>
          </w:p>
        </w:tc>
        <w:tc>
          <w:tcPr>
            <w:tcW w:w="12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655" w:name="xdx_98C_eus-gaap--ShareBasedCompensation"/>
            <w:bookmarkEnd w:id="655"/>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bookmarkStart w:id="656" w:name="xdx_988_eus-gaap--ShareBasedCompensation"/>
            <w:bookmarkEnd w:id="656"/>
          </w:p>
        </w:tc>
        <w:tc>
          <w:tcPr>
            <w:tcW w:w="12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2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bookmarkStart w:id="657" w:name="xdx_98B_eus-gaap--SharebasedCompensation"/>
            <w:bookmarkEnd w:id="657"/>
          </w:p>
        </w:tc>
        <w:tc>
          <w:tcPr>
            <w:tcW w:w="12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Cancelled or forfeited</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8" w:name="xdx_98C_eus-gaap--ShareBasedCompensation"/>
            <w:bookmarkEnd w:id="658"/>
          </w:p>
        </w:tc>
        <w:tc>
          <w:tcPr>
            <w:tcW w:w="111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9" w:name="xdx_98F_eus-gaap--ShareBasedCompensation"/>
            <w:bookmarkEnd w:id="659"/>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60" w:name="xdx_985_ecustom--ShareBasedCompensationA"/>
            <w:bookmarkEnd w:id="660"/>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61" w:name="xdx_980_eus-gaap--ShareBasedCompensation"/>
            <w:bookmarkEnd w:id="661"/>
          </w:p>
        </w:tc>
        <w:tc>
          <w:tcPr>
            <w:tcW w:w="111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62" w:name="xdx_984_eus-gaap--ShareBasedCompensation"/>
            <w:bookmarkEnd w:id="662"/>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663" w:name="xdx_90E_eus-gaap--SharebasedCompensation"/>
            <w:bookmarkEnd w:id="663"/>
            <w:r>
              <w:rPr>
                <w:rFonts w:ascii="Times New Roman;Times;Serif" w:hAnsi="Times New Roman;Times;Serif"/>
              </w:rPr>
              <w:t>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64" w:name="xdx_98A_eus-gaap--ShareBasedCompensation"/>
            <w:bookmarkEnd w:id="664"/>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67,596</w:t>
            </w:r>
          </w:p>
        </w:tc>
        <w:tc>
          <w:tcPr>
            <w:tcW w:w="79" w:type="dxa"/>
            <w:tcBorders/>
            <w:shd w:fill="CCEEFF"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as of December 31, 2023</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65" w:name="xdx_980_eus-gaap--ShareBasedCompensation"/>
            <w:bookmarkEnd w:id="665"/>
          </w:p>
        </w:tc>
        <w:tc>
          <w:tcPr>
            <w:tcW w:w="111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666" w:name="xdx_982_eus-gaap--ShareBasedCompensation"/>
            <w:bookmarkEnd w:id="666"/>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667" w:name="xdx_909_eus-gaap--SharebasedCompensation"/>
            <w:bookmarkEnd w:id="667"/>
            <w:r>
              <w:rPr>
                <w:rFonts w:ascii="Times New Roman;Times;Serif" w:hAnsi="Times New Roman;Times;Serif"/>
              </w:rPr>
              <w:t>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bookmarkStart w:id="668" w:name="xdx_989_eus-gaap--SharebasedCompensation"/>
            <w:bookmarkEnd w:id="668"/>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33,796</w:t>
            </w:r>
          </w:p>
        </w:tc>
        <w:tc>
          <w:tcPr>
            <w:tcW w:w="79" w:type="dxa"/>
            <w:tcBorders/>
            <w:shd w:fill="FFFFFF" w:val="clear"/>
            <w:vAlign w:val="center"/>
          </w:tcPr>
          <w:p>
            <w:pPr>
              <w:pStyle w:val="TableContents"/>
              <w:bidi w:val="0"/>
              <w:spacing w:before="0" w:after="283"/>
              <w:jc w:val="left"/>
              <w:rPr/>
            </w:pPr>
            <w:r>
              <w:rPr/>
              <w:t> </w:t>
            </w:r>
          </w:p>
        </w:tc>
      </w:tr>
      <w:tr>
        <w:trPr/>
        <w:tc>
          <w:tcPr>
            <w:tcW w:w="27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Outstanding, expected to vest as of December 31, 2023</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69" w:name="xdx_98F_eus-gaap--ShareBasedCompensation"/>
            <w:bookmarkEnd w:id="669"/>
          </w:p>
        </w:tc>
        <w:tc>
          <w:tcPr>
            <w:tcW w:w="111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204,138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70" w:name="xdx_98C_eus-gaap--ShareBasedCompensation"/>
            <w:bookmarkEnd w:id="670"/>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71" w:name="xdx_98B_eus-gaap--SharebasedCompensation"/>
            <w:bookmarkEnd w:id="671"/>
          </w:p>
        </w:tc>
        <w:tc>
          <w:tcPr>
            <w:tcW w:w="22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72" w:name="xdx_98D_eus-gaap--ShareBasedCompensation"/>
            <w:bookmarkEnd w:id="672"/>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33,800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648"/>
        <w:jc w:val="both"/>
        <w:rPr>
          <w:caps w:val="false"/>
          <w:smallCaps w:val="false"/>
        </w:rPr>
      </w:pPr>
      <w:bookmarkStart w:id="673" w:name="xdx_8A5_zJ9qxZaGbqae"/>
      <w:bookmarkEnd w:id="67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2023, the Company granted non-qualified stock options to certain directors were partially vested and priced based on the “2021-2025 -Plan.” Total recognized expense was approximately €</w:t>
      </w:r>
      <w:bookmarkStart w:id="674" w:name="xdx_902_eus-gaap--EmployeeServiceShareBa"/>
      <w:bookmarkEnd w:id="674"/>
      <w:r>
        <w:rPr>
          <w:rFonts w:ascii="Times New Roman;Times;Serif" w:hAnsi="Times New Roman;Times;Serif"/>
          <w:b w:val="false"/>
          <w:i w:val="false"/>
          <w:caps w:val="false"/>
          <w:smallCaps w:val="false"/>
          <w:sz w:val="20"/>
        </w:rPr>
        <w:t>199,890.</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2022, the Company granted non-qualified stock options to certain directors and employees that were partially vested and priced based on the “2021-2025 Plan.” Total recognized expense was approximately €</w:t>
      </w:r>
      <w:bookmarkStart w:id="675" w:name="xdx_903_eus-gaap--EmployeeServiceShareBa"/>
      <w:bookmarkEnd w:id="675"/>
      <w:r>
        <w:rPr>
          <w:rFonts w:ascii="Times New Roman;Times;Serif" w:hAnsi="Times New Roman;Times;Serif"/>
          <w:b w:val="false"/>
          <w:i w:val="false"/>
          <w:caps w:val="false"/>
          <w:smallCaps w:val="false"/>
          <w:sz w:val="20"/>
        </w:rPr>
        <w:t>482,692.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2022, the Company granted non-qualified stock options to Dr. Squinto, Chairman of the Company at that time, that were fully vested and priced based on a Sub-Plan called “2021-2025 Chairman Sub-Plan” attached to the Plan. Total recognized expense was €</w:t>
      </w:r>
      <w:bookmarkStart w:id="676" w:name="xdx_906_eus-gaap--EmployeeServiceShareBa"/>
      <w:bookmarkEnd w:id="676"/>
      <w:r>
        <w:rPr>
          <w:rFonts w:ascii="Times New Roman;Times;Serif" w:hAnsi="Times New Roman;Times;Serif"/>
          <w:b w:val="false"/>
          <w:i w:val="false"/>
          <w:caps w:val="false"/>
          <w:smallCaps w:val="false"/>
          <w:sz w:val="20"/>
        </w:rPr>
        <w:t>240,043.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2021, there were </w:t>
      </w:r>
      <w:bookmarkStart w:id="677" w:name="xdx_907_eus-gaap--ShareBasedCompensation"/>
      <w:bookmarkEnd w:id="677"/>
      <w:r>
        <w:rPr>
          <w:rFonts w:ascii="Times New Roman;Times;Serif" w:hAnsi="Times New Roman;Times;Serif"/>
          <w:b w:val="false"/>
          <w:i w:val="false"/>
          <w:caps w:val="false"/>
          <w:smallCaps w:val="false"/>
          <w:sz w:val="20"/>
        </w:rPr>
        <w:t>no outstanding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bookmarkStart w:id="678" w:name="xdx_89F_eus-gaap--ScheduleOfEmployeeServ"/>
      <w:bookmarkEnd w:id="678"/>
      <w:r>
        <w:rPr>
          <w:rFonts w:ascii="Times New Roman;Times;Serif" w:hAnsi="Times New Roman;Times;Serif"/>
          <w:b w:val="false"/>
          <w:i w:val="false"/>
          <w:caps w:val="false"/>
          <w:smallCaps w:val="false"/>
          <w:sz w:val="20"/>
        </w:rPr>
        <w:t>The Company’s share-based compensation expense for the years ended December 31, 2023, 2022 and 2021 is represented by the following table:</w:t>
      </w:r>
    </w:p>
    <w:p>
      <w:pPr>
        <w:pStyle w:val="TextBody"/>
        <w:bidi w:val="0"/>
        <w:spacing w:before="0" w:after="0"/>
        <w:ind w:left="0" w:right="0" w:hanging="0"/>
        <w:jc w:val="left"/>
        <w:rPr>
          <w:caps w:val="false"/>
          <w:smallCaps w:val="false"/>
        </w:rPr>
      </w:pPr>
      <w:r>
        <w:rPr>
          <w:caps w:val="false"/>
          <w:smallCaps w:val="false"/>
        </w:rPr>
        <w:t> </w:t>
      </w:r>
      <w:bookmarkStart w:id="679" w:name="xdx_8BA_zANMDl9jS1i1"/>
      <w:bookmarkEnd w:id="679"/>
      <w:r>
        <w:rPr>
          <w:rFonts w:ascii="Times New Roman;Times;Serif" w:hAnsi="Times New Roman;Times;Serif"/>
          <w:b w:val="false"/>
          <w:i w:val="false"/>
          <w:caps w:val="false"/>
          <w:smallCaps w:val="false"/>
          <w:sz w:val="20"/>
        </w:rPr>
        <w:t>Schedule of share based compensation expenses</w:t>
      </w:r>
    </w:p>
    <w:tbl>
      <w:tblPr>
        <w:tblW w:w="7985" w:type="dxa"/>
        <w:jc w:val="left"/>
        <w:tblInd w:w="0" w:type="dxa"/>
        <w:tblLayout w:type="fixed"/>
        <w:tblCellMar>
          <w:top w:w="0" w:type="dxa"/>
          <w:left w:w="0" w:type="dxa"/>
          <w:bottom w:w="0" w:type="dxa"/>
          <w:right w:w="0" w:type="dxa"/>
        </w:tblCellMar>
      </w:tblPr>
      <w:tblGrid>
        <w:gridCol w:w="4610"/>
        <w:gridCol w:w="60"/>
        <w:gridCol w:w="140"/>
        <w:gridCol w:w="800"/>
        <w:gridCol w:w="60"/>
        <w:gridCol w:w="60"/>
        <w:gridCol w:w="140"/>
        <w:gridCol w:w="980"/>
        <w:gridCol w:w="60"/>
        <w:gridCol w:w="60"/>
        <w:gridCol w:w="140"/>
        <w:gridCol w:w="800"/>
        <w:gridCol w:w="75"/>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0" w:name="xdx_498_20230101__20231231_zrTAtR0naGr5"/>
            <w:bookmarkEnd w:id="680"/>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1" w:name="xdx_490_20220101__20221231_zdv30JclZNrj"/>
            <w:bookmarkEnd w:id="681"/>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2" w:name="xdx_493_20210101__20211231_zOAaAstspRS7"/>
            <w:bookmarkEnd w:id="682"/>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75" w:type="dxa"/>
            <w:tcBorders/>
            <w:vAlign w:val="center"/>
          </w:tcPr>
          <w:p>
            <w:pPr>
              <w:pStyle w:val="TableContents"/>
              <w:bidi w:val="0"/>
              <w:spacing w:before="0" w:after="283"/>
              <w:jc w:val="left"/>
              <w:rPr/>
            </w:pPr>
            <w:r>
              <w:rPr/>
              <w:t> </w:t>
            </w:r>
            <w:bookmarkStart w:id="683" w:name="xdx_405_eus-gaap--AllocatedShareBasedCom"/>
            <w:bookmarkEnd w:id="683"/>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&amp; development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82,669</w:t>
            </w:r>
          </w:p>
        </w:tc>
        <w:tc>
          <w:tcPr>
            <w:tcW w:w="75" w:type="dxa"/>
            <w:tcBorders/>
            <w:shd w:fill="CCEEFF" w:val="clear"/>
            <w:vAlign w:val="center"/>
          </w:tcPr>
          <w:p>
            <w:pPr>
              <w:pStyle w:val="TableContents"/>
              <w:bidi w:val="0"/>
              <w:spacing w:before="0" w:after="283"/>
              <w:jc w:val="left"/>
              <w:rPr/>
            </w:pPr>
            <w:r>
              <w:rPr/>
              <w:t> </w:t>
            </w:r>
            <w:bookmarkStart w:id="684" w:name="xdx_406_eus-gaap--AllocatedShareBasedCom"/>
            <w:bookmarkEnd w:id="684"/>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&amp; development expense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179,480</w:t>
            </w:r>
          </w:p>
        </w:tc>
        <w:tc>
          <w:tcPr>
            <w:tcW w:w="75" w:type="dxa"/>
            <w:tcBorders/>
            <w:shd w:fill="FFFFFF" w:val="clear"/>
            <w:vAlign w:val="center"/>
          </w:tcPr>
          <w:p>
            <w:pPr>
              <w:pStyle w:val="TableContents"/>
              <w:bidi w:val="0"/>
              <w:spacing w:before="0" w:after="283"/>
              <w:jc w:val="left"/>
              <w:rPr/>
            </w:pPr>
            <w:r>
              <w:rPr/>
              <w:t> </w:t>
            </w:r>
            <w:bookmarkStart w:id="685" w:name="xdx_402_eus-gaap--AllocatedShareBasedCom"/>
            <w:bookmarkEnd w:id="685"/>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&amp; administrative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234,955</w:t>
            </w:r>
          </w:p>
        </w:tc>
        <w:tc>
          <w:tcPr>
            <w:tcW w:w="75" w:type="dxa"/>
            <w:tcBorders/>
            <w:shd w:fill="CCEEFF" w:val="clear"/>
            <w:vAlign w:val="center"/>
          </w:tcPr>
          <w:p>
            <w:pPr>
              <w:pStyle w:val="TableContents"/>
              <w:bidi w:val="0"/>
              <w:spacing w:before="0" w:after="283"/>
              <w:jc w:val="left"/>
              <w:rPr/>
            </w:pPr>
            <w:r>
              <w:rPr/>
              <w:t> </w:t>
            </w:r>
            <w:bookmarkStart w:id="686" w:name="xdx_402_eus-gaap--AllocatedShareBasedCom"/>
            <w:bookmarkEnd w:id="686"/>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&amp; administrative expense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687" w:name="xdx_40E_eus-gaap--AllocatedShareBasedCom"/>
            <w:bookmarkEnd w:id="687"/>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739,884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497,104</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Unrecognized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688" w:name="xdx_989_eus-gaap--EmployeeServiceShareBa"/>
            <w:bookmarkEnd w:id="688"/>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689" w:name="xdx_985_eus-gaap--EmployeeServiceShareBa"/>
            <w:bookmarkEnd w:id="689"/>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1,639,082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90" w:name="xdx_8AE_zHfw4JTgLp57"/>
      <w:bookmarkEnd w:id="690"/>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2022 and 2021, the Company recorded €</w:t>
      </w:r>
      <w:bookmarkStart w:id="691" w:name="xdx_903_eus-gaap--SharebasedCompensation"/>
      <w:bookmarkEnd w:id="691"/>
      <w:r>
        <w:rPr>
          <w:rFonts w:ascii="Times New Roman;Times;Serif" w:hAnsi="Times New Roman;Times;Serif"/>
          <w:b w:val="false"/>
          <w:i w:val="false"/>
          <w:caps w:val="false"/>
          <w:smallCaps w:val="false"/>
          <w:sz w:val="20"/>
        </w:rPr>
        <w:t>739,884, €</w:t>
      </w:r>
      <w:bookmarkStart w:id="692" w:name="xdx_90D_eus-gaap--SharebasedCompensation"/>
      <w:bookmarkEnd w:id="692"/>
      <w:r>
        <w:rPr>
          <w:rFonts w:ascii="Times New Roman;Times;Serif" w:hAnsi="Times New Roman;Times;Serif"/>
          <w:b w:val="false"/>
          <w:i w:val="false"/>
          <w:caps w:val="false"/>
          <w:smallCaps w:val="false"/>
          <w:sz w:val="20"/>
        </w:rPr>
        <w:t>722,735 and €</w:t>
      </w:r>
      <w:bookmarkStart w:id="693" w:name="xdx_906_eus-gaap--SharebasedCompensation"/>
      <w:bookmarkEnd w:id="693"/>
      <w:r>
        <w:rPr>
          <w:rFonts w:ascii="Times New Roman;Times;Serif" w:hAnsi="Times New Roman;Times;Serif"/>
          <w:b w:val="false"/>
          <w:i w:val="false"/>
          <w:caps w:val="false"/>
          <w:smallCaps w:val="false"/>
          <w:sz w:val="20"/>
        </w:rPr>
        <w:t>497,104 , respectively, as the fair value of the stock options granted.</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unrecognized expense at December 31, 2023 was €</w:t>
      </w:r>
      <w:bookmarkStart w:id="694" w:name="xdx_909_eus-gaap--EmployeeServiceShareBa"/>
      <w:bookmarkEnd w:id="694"/>
      <w:r>
        <w:rPr>
          <w:rFonts w:ascii="Times New Roman;Times;Serif" w:hAnsi="Times New Roman;Times;Serif"/>
          <w:b w:val="false"/>
          <w:i w:val="false"/>
          <w:caps w:val="false"/>
          <w:smallCaps w:val="false"/>
          <w:sz w:val="20"/>
        </w:rPr>
        <w:t>907,683. The amount of unrecognized expense at December 31, 2022 was €</w:t>
      </w:r>
      <w:bookmarkStart w:id="695" w:name="xdx_900_eus-gaap--EmployeeServiceShareBa"/>
      <w:bookmarkEnd w:id="695"/>
      <w:r>
        <w:rPr>
          <w:rFonts w:ascii="Times New Roman;Times;Serif" w:hAnsi="Times New Roman;Times;Serif"/>
          <w:b w:val="false"/>
          <w:i w:val="false"/>
          <w:caps w:val="false"/>
          <w:smallCaps w:val="false"/>
          <w:sz w:val="20"/>
        </w:rPr>
        <w:t>1,639,082. The weighted average fair value of the options granted during 2021 was €</w:t>
      </w:r>
      <w:bookmarkStart w:id="696" w:name="xdx_90F_ecustom--ShareBasedCompensationA"/>
      <w:bookmarkEnd w:id="696"/>
      <w:r>
        <w:rPr>
          <w:rFonts w:ascii="Times New Roman;Times;Serif" w:hAnsi="Times New Roman;Times;Serif"/>
          <w:b w:val="false"/>
          <w:i w:val="false"/>
          <w:caps w:val="false"/>
          <w:smallCaps w:val="false"/>
          <w:sz w:val="20"/>
        </w:rPr>
        <w:t xml:space="preserve">1,088 per quota B. There was </w:t>
      </w:r>
      <w:bookmarkStart w:id="697" w:name="xdx_901_eus-gaap--EmployeeServiceShareBa"/>
      <w:bookmarkEnd w:id="697"/>
      <w:r>
        <w:rPr>
          <w:rFonts w:ascii="Times New Roman;Times;Serif" w:hAnsi="Times New Roman;Times;Serif"/>
          <w:b w:val="false"/>
          <w:i w:val="false"/>
          <w:caps w:val="false"/>
          <w:smallCaps w:val="false"/>
          <w:sz w:val="20"/>
        </w:rPr>
        <w:t>no amount of unrecognized expense at December 31, 2021.</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 of the options granted during the period ended December 31, 2023 and December 31, 2022 was €</w:t>
      </w:r>
      <w:bookmarkStart w:id="698" w:name="xdx_903_eus-gaap--SharebasedCompensation"/>
      <w:bookmarkEnd w:id="698"/>
      <w:r>
        <w:rPr>
          <w:rFonts w:ascii="Times New Roman;Times;Serif" w:hAnsi="Times New Roman;Times;Serif"/>
          <w:b w:val="false"/>
          <w:i w:val="false"/>
          <w:caps w:val="false"/>
          <w:smallCaps w:val="false"/>
          <w:sz w:val="20"/>
        </w:rPr>
        <w:t>4.84 and €</w:t>
      </w:r>
      <w:bookmarkStart w:id="699" w:name="xdx_902_eus-gaap--SharebasedCompensation"/>
      <w:bookmarkEnd w:id="699"/>
      <w:r>
        <w:rPr>
          <w:rFonts w:ascii="Times New Roman;Times;Serif" w:hAnsi="Times New Roman;Times;Serif"/>
          <w:b w:val="false"/>
          <w:i w:val="false"/>
          <w:caps w:val="false"/>
          <w:smallCaps w:val="false"/>
          <w:sz w:val="20"/>
        </w:rPr>
        <w:t>4.99 per share respectively.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Weighted average shares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calculation was performed by taking the number of shares outstanding during a given period and weighting them for the number of days that number of shares were outstanding. For the period ended December 31, 2023, and December 31, 2022, there was a weighted average of </w:t>
      </w:r>
      <w:bookmarkStart w:id="700" w:name="xdx_90B_eus-gaap--WeightedAverageNumberO"/>
      <w:bookmarkEnd w:id="700"/>
      <w:r>
        <w:rPr>
          <w:rFonts w:ascii="Times New Roman;Times;Serif" w:hAnsi="Times New Roman;Times;Serif"/>
          <w:b w:val="false"/>
          <w:i w:val="false"/>
          <w:caps w:val="false"/>
          <w:smallCaps w:val="false"/>
          <w:sz w:val="20"/>
        </w:rPr>
        <w:t xml:space="preserve">18,216,907 and </w:t>
      </w:r>
      <w:bookmarkStart w:id="701" w:name="xdx_903_eus-gaap--WeightedAverageNumberO"/>
      <w:bookmarkEnd w:id="701"/>
      <w:r>
        <w:rPr>
          <w:rFonts w:ascii="Times New Roman;Times;Serif" w:hAnsi="Times New Roman;Times;Serif"/>
          <w:b w:val="false"/>
          <w:i w:val="false"/>
          <w:caps w:val="false"/>
          <w:smallCaps w:val="false"/>
          <w:sz w:val="20"/>
        </w:rPr>
        <w:t xml:space="preserve">18,216,858 shares, respectively, of the Company’s ordinary shares, </w:t>
      </w:r>
      <w:bookmarkStart w:id="702" w:name="xdx_90E_eus-gaap--CommonStockParOrStated"/>
      <w:bookmarkStart w:id="703" w:name="xdx_901_eus-gaap--CommonStockParOrStated"/>
      <w:bookmarkEnd w:id="702"/>
      <w:bookmarkEnd w:id="703"/>
      <w:r>
        <w:rPr>
          <w:rFonts w:ascii="Times New Roman;Times;Serif" w:hAnsi="Times New Roman;Times;Serif"/>
          <w:b w:val="false"/>
          <w:i w:val="false"/>
          <w:caps w:val="false"/>
          <w:smallCaps w:val="false"/>
          <w:sz w:val="20"/>
        </w:rPr>
        <w:t>no par value.</w:t>
      </w:r>
    </w:p>
    <w:p>
      <w:pPr>
        <w:pStyle w:val="TextBody"/>
        <w:bidi w:val="0"/>
        <w:spacing w:before="0" w:after="0"/>
        <w:ind w:left="0" w:right="0" w:firstLine="648"/>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Quota B 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Quota B underlying the Company’s share-based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valuations of the Quota B equity performed by third-party specialists;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the Company’s equity to third-party, arms-length, sophisticated, and qualified investors, which was used in the OPM Backsolve Model;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rights, preferences, and privileges of the Company’s Quota C, D, and E preferred equity classes relative to those of the Company’s equity;</w:t>
            </w:r>
          </w:p>
        </w:tc>
      </w:tr>
    </w:tbl>
    <w:p>
      <w:pPr>
        <w:pStyle w:val="TextBody"/>
        <w:bidi w:val="0"/>
        <w:spacing w:before="0" w:after="0"/>
        <w:ind w:left="0" w:right="0" w:hanging="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marketability of the Quota B;</w:t>
            </w:r>
          </w:p>
        </w:tc>
      </w:tr>
    </w:tbl>
    <w:p>
      <w:pPr>
        <w:pStyle w:val="TextBody"/>
        <w:bidi w:val="0"/>
        <w:spacing w:before="0" w:after="0"/>
        <w:ind w:left="0" w:right="0" w:hanging="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voting rights of the Quota B;</w:t>
            </w:r>
          </w:p>
        </w:tc>
      </w:tr>
    </w:tbl>
    <w:p>
      <w:pPr>
        <w:pStyle w:val="TextBody"/>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business conditions and projections;</w:t>
            </w:r>
          </w:p>
        </w:tc>
      </w:tr>
    </w:tbl>
    <w:p>
      <w:pPr>
        <w:pStyle w:val="TextBody"/>
        <w:bidi w:val="0"/>
        <w:spacing w:before="0" w:after="0"/>
        <w:ind w:left="0" w:right="0" w:hanging="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hiring of key personnel and the experience of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stage of development;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likelihood of achieving a liquidity event, such as an initial public offering, a merger or acquisition of the Company given prevailing market conditions, or other liquidation events;</w:t>
            </w:r>
          </w:p>
        </w:tc>
      </w:tr>
    </w:tbl>
    <w:p>
      <w:pPr>
        <w:pStyle w:val="TextBody"/>
        <w:bidi w:val="0"/>
        <w:spacing w:before="0" w:after="0"/>
        <w:ind w:left="0" w:right="0" w:hanging="0"/>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performance of comparable publicly traded companies; and</w:t>
            </w:r>
          </w:p>
        </w:tc>
      </w:tr>
    </w:tbl>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European, U.S., and global capital market conditions.</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OPM treats each equity class as a call option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publicly traded companies in similar stages of 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the Company’s approach involved the use of estimates, judgment, and assumptions that are highly complex and subjective, such as those regarding the selection of comparable companies, and the expected timing of an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Weighted average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conversion to an S.P.A. in June 2021, the Company converted all its ownership to common shares. From that point forward, the Company was able to calculate both a weighted average and pro forma weighted average number of shares outstanding. The calculation was performed by taking the number of shares outstanding during a given period and weighting them for the number of days that number of shares were outstanding. Prior to June 2021, the Company was unable to convert quota to shares, in part due to the fact that quota carried different rights and privileges, so the Company was not sure how all quota would be treated in the conversion; however, shareholders agreed at the conversion in June 2021 that all classes of quota would be treated equally and all quota were exchanged for shares on a 1:1 basis and all the preferences were removed. Therefore, the Company was able to calculate a weighted average for the Company’s December 31, 2021 consolidated financial statement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December 31, 2023, 2022 and 2021 there was a weighted average of </w:t>
      </w:r>
      <w:bookmarkStart w:id="704" w:name="xdx_90B_eus-gaap--WeightedAverageNumberO"/>
      <w:bookmarkEnd w:id="704"/>
      <w:r>
        <w:rPr>
          <w:rFonts w:ascii="Times New Roman;Times;Serif" w:hAnsi="Times New Roman;Times;Serif"/>
          <w:b w:val="false"/>
          <w:i w:val="false"/>
          <w:caps w:val="false"/>
          <w:smallCaps w:val="false"/>
          <w:sz w:val="20"/>
        </w:rPr>
        <w:t xml:space="preserve">18,216,907, </w:t>
      </w:r>
      <w:bookmarkStart w:id="705" w:name="xdx_903_eus-gaap--WeightedAverageNumberO"/>
      <w:bookmarkEnd w:id="705"/>
      <w:r>
        <w:rPr>
          <w:rFonts w:ascii="Times New Roman;Times;Serif" w:hAnsi="Times New Roman;Times;Serif"/>
          <w:b w:val="false"/>
          <w:i w:val="false"/>
          <w:caps w:val="false"/>
          <w:smallCaps w:val="false"/>
          <w:sz w:val="20"/>
        </w:rPr>
        <w:t xml:space="preserve">18,216,858 and </w:t>
      </w:r>
      <w:bookmarkStart w:id="706" w:name="xdx_90A_eus-gaap--WeightedAverageNumberO"/>
      <w:bookmarkEnd w:id="706"/>
      <w:r>
        <w:rPr>
          <w:rFonts w:ascii="Times New Roman;Times;Serif" w:hAnsi="Times New Roman;Times;Serif"/>
          <w:b w:val="false"/>
          <w:i w:val="false"/>
          <w:caps w:val="false"/>
          <w:smallCaps w:val="false"/>
          <w:sz w:val="20"/>
        </w:rPr>
        <w:t>15,083,825 shares, respectively, of the Company’s ordinary shares, no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7" w:name="xdx_808_eus-gaap--RelatedPartyTransactio"/>
      <w:bookmarkEnd w:id="707"/>
      <w:r>
        <w:rPr>
          <w:rFonts w:ascii="Times New Roman;Times;Serif" w:hAnsi="Times New Roman;Times;Serif"/>
          <w:b/>
          <w:i w:val="false"/>
          <w:caps w:val="false"/>
          <w:smallCaps w:val="false"/>
          <w:sz w:val="20"/>
        </w:rPr>
        <w:t xml:space="preserve">13. </w:t>
      </w:r>
      <w:bookmarkStart w:id="708" w:name="xdx_821_zH8vylQJjX74"/>
      <w:bookmarkEnd w:id="708"/>
      <w:r>
        <w:rPr>
          <w:rFonts w:ascii="Times New Roman;Times;Serif" w:hAnsi="Times New Roman;Times;Serif"/>
          <w:b/>
          <w:i w:val="false"/>
          <w:caps w:val="false"/>
          <w:smallCaps w:val="false"/>
          <w:sz w:val="20"/>
        </w:rPr>
        <w:t>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bookmarkStart w:id="709" w:name="xdx_898_eus-gaap--ScheduleOfRelatedParty"/>
      <w:bookmarkEnd w:id="709"/>
      <w:r>
        <w:rPr>
          <w:rFonts w:ascii="Times New Roman;Times;Serif" w:hAnsi="Times New Roman;Times;Serif"/>
          <w:b w:val="false"/>
          <w:i w:val="false"/>
          <w:caps w:val="false"/>
          <w:smallCaps w:val="false"/>
          <w:sz w:val="20"/>
        </w:rPr>
        <w:t>The Company’s research and development expenses are a combination of third-party expenses, and related party expenses, as detailed below:</w:t>
      </w:r>
    </w:p>
    <w:p>
      <w:pPr>
        <w:pStyle w:val="TextBody"/>
        <w:pBdr/>
        <w:bidi w:val="0"/>
        <w:spacing w:before="0" w:after="0"/>
        <w:ind w:left="0" w:right="0" w:hanging="0"/>
        <w:jc w:val="left"/>
        <w:rPr>
          <w:caps w:val="false"/>
          <w:smallCaps w:val="false"/>
        </w:rPr>
      </w:pPr>
      <w:r>
        <w:rPr>
          <w:caps w:val="false"/>
          <w:smallCaps w:val="false"/>
        </w:rPr>
        <w:t> </w:t>
      </w:r>
      <w:bookmarkStart w:id="710" w:name="xdx_8BA_zoW1knkpi9w2"/>
      <w:bookmarkEnd w:id="710"/>
      <w:r>
        <w:rPr>
          <w:rFonts w:ascii="Times New Roman;Times;Serif" w:hAnsi="Times New Roman;Times;Serif"/>
          <w:b w:val="false"/>
          <w:i w:val="false"/>
          <w:caps w:val="false"/>
          <w:smallCaps w:val="false"/>
          <w:sz w:val="20"/>
        </w:rPr>
        <w:t>Schedule of third party and related party expenses</w:t>
      </w:r>
    </w:p>
    <w:tbl>
      <w:tblPr>
        <w:tblW w:w="6872" w:type="dxa"/>
        <w:jc w:val="left"/>
        <w:tblInd w:w="0" w:type="dxa"/>
        <w:tblLayout w:type="fixed"/>
        <w:tblCellMar>
          <w:top w:w="0" w:type="dxa"/>
          <w:left w:w="0" w:type="dxa"/>
          <w:bottom w:w="0" w:type="dxa"/>
          <w:right w:w="0" w:type="dxa"/>
        </w:tblCellMar>
      </w:tblPr>
      <w:tblGrid>
        <w:gridCol w:w="3170"/>
        <w:gridCol w:w="60"/>
        <w:gridCol w:w="149"/>
        <w:gridCol w:w="905"/>
        <w:gridCol w:w="62"/>
        <w:gridCol w:w="62"/>
        <w:gridCol w:w="174"/>
        <w:gridCol w:w="1060"/>
        <w:gridCol w:w="62"/>
        <w:gridCol w:w="62"/>
        <w:gridCol w:w="146"/>
        <w:gridCol w:w="885"/>
        <w:gridCol w:w="75"/>
      </w:tblGrid>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67"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Euros)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Consultants &amp; other third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w:t>
            </w:r>
            <w:bookmarkStart w:id="711" w:name="xdx_984_eus-gaap--ResearchAndDevelopment"/>
            <w:bookmarkEnd w:id="711"/>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305,289</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w:t>
            </w:r>
            <w:bookmarkStart w:id="712" w:name="xdx_98D_eus-gaap--ResearchAndDevelopment"/>
            <w:bookmarkEnd w:id="712"/>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1,331,166</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w:t>
            </w:r>
            <w:bookmarkStart w:id="713" w:name="xdx_98E_eus-gaap--ResearchAndDevelopment"/>
            <w:bookmarkEnd w:id="713"/>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1,636,455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&amp; supplies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4" w:name="xdx_98B_eus-gaap--ResearchAndDevelopment"/>
            <w:bookmarkEnd w:id="714"/>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3,639,920</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5" w:name="xdx_981_eus-gaap--ResearchAndDevelopment"/>
            <w:bookmarkEnd w:id="715"/>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6" w:name="xdx_98D_eus-gaap--ResearchAndDevelopment"/>
            <w:bookmarkEnd w:id="716"/>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3,639,920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(including share-based)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17" w:name="xdx_98C_eus-gaap--ResearchAndDevelopment"/>
            <w:bookmarkEnd w:id="717"/>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467,557</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18" w:name="xdx_989_eus-gaap--ResearchAndDevelopment"/>
            <w:bookmarkEnd w:id="718"/>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645,932</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19" w:name="xdx_985_eus-gaap--ResearchAndDevelopment"/>
            <w:bookmarkEnd w:id="719"/>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1,113,489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 &amp; entertainment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20" w:name="xdx_984_eus-gaap--ResearchAndDevelopment"/>
            <w:bookmarkEnd w:id="720"/>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44,243</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21" w:name="xdx_98D_eus-gaap--ResearchAndDevelopment"/>
            <w:bookmarkEnd w:id="721"/>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22" w:name="xdx_987_eus-gaap--ResearchAndDevelopment"/>
            <w:bookmarkEnd w:id="722"/>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23" w:name="xdx_980_eus-gaap--ResearchAndDevelopment"/>
            <w:bookmarkEnd w:id="723"/>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39,965</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24" w:name="xdx_989_eus-gaap--ResearchAndDevelopment"/>
            <w:bookmarkEnd w:id="724"/>
          </w:p>
        </w:tc>
        <w:tc>
          <w:tcPr>
            <w:tcW w:w="10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25" w:name="xdx_984_eus-gaap--ResearchAndDevelopment"/>
            <w:bookmarkEnd w:id="725"/>
          </w:p>
        </w:tc>
        <w:tc>
          <w:tcPr>
            <w:tcW w:w="8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726" w:name="xdx_98B_eus-gaap--ResearchAndDevelopment"/>
            <w:bookmarkEnd w:id="726"/>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4,496,974</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727" w:name="xdx_98C_eus-gaap--ResearchAndDevelopment"/>
            <w:bookmarkEnd w:id="727"/>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1,977,467</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728" w:name="xdx_985_eus-gaap--ResearchAndDevelopment"/>
            <w:bookmarkEnd w:id="728"/>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6,474,441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7106" w:type="dxa"/>
        <w:jc w:val="left"/>
        <w:tblInd w:w="0" w:type="dxa"/>
        <w:tblLayout w:type="fixed"/>
        <w:tblCellMar>
          <w:top w:w="0" w:type="dxa"/>
          <w:left w:w="0" w:type="dxa"/>
          <w:bottom w:w="0" w:type="dxa"/>
          <w:right w:w="0" w:type="dxa"/>
        </w:tblCellMar>
      </w:tblPr>
      <w:tblGrid>
        <w:gridCol w:w="3170"/>
        <w:gridCol w:w="60"/>
        <w:gridCol w:w="164"/>
        <w:gridCol w:w="995"/>
        <w:gridCol w:w="61"/>
        <w:gridCol w:w="61"/>
        <w:gridCol w:w="186"/>
        <w:gridCol w:w="1123"/>
        <w:gridCol w:w="143"/>
        <w:gridCol w:w="61"/>
        <w:gridCol w:w="143"/>
        <w:gridCol w:w="864"/>
        <w:gridCol w:w="75"/>
      </w:tblGrid>
      <w:tr>
        <w:trPr/>
        <w:tc>
          <w:tcPr>
            <w:tcW w:w="31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1"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2022</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Parties</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tc>
        <w:tc>
          <w:tcPr>
            <w:tcW w:w="143"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0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1"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Consultants &amp; other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729" w:name="xdx_984_eus-gaap--ResearchAndDevelopment"/>
            <w:bookmarkEnd w:id="729"/>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804,341</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730" w:name="xdx_98A_eus-gaap--ResearchAndDevelopment"/>
            <w:bookmarkEnd w:id="730"/>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726,082</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1" w:name="xdx_985_eus-gaap--ResearchAndDevelopment"/>
            <w:bookmarkEnd w:id="731"/>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1,530,423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&amp; supplies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2" w:name="xdx_98A_eus-gaap--ResearchAndDevelopment"/>
            <w:bookmarkEnd w:id="732"/>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2,790,982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3" w:name="xdx_98C_eus-gaap--ResearchAndDevelopment"/>
            <w:bookmarkEnd w:id="733"/>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4" w:name="xdx_989_eus-gaap--ResearchAndDevelopment"/>
            <w:bookmarkEnd w:id="734"/>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2,790,982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(including share-based)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5" w:name="xdx_98B_eus-gaap--ResearchAndDevelopment"/>
            <w:bookmarkEnd w:id="735"/>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412,085</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6" w:name="xdx_98C_eus-gaap--ResearchAndDevelopment"/>
            <w:bookmarkEnd w:id="736"/>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580,196</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7" w:name="xdx_983_eus-gaap--ResearchAndDevelopment"/>
            <w:bookmarkEnd w:id="737"/>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992,281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38" w:name="xdx_985_eus-gaap--ResearchAndDevelopment"/>
            <w:bookmarkEnd w:id="738"/>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25,276</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39" w:name="xdx_98D_eus-gaap--ResearchAndDevelopment"/>
            <w:bookmarkEnd w:id="739"/>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40" w:name="xdx_985_eus-gaap--ResearchAndDevelopment"/>
            <w:bookmarkEnd w:id="740"/>
          </w:p>
        </w:tc>
        <w:tc>
          <w:tcPr>
            <w:tcW w:w="8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741" w:name="xdx_986_eus-gaap--ResearchAndDevelopment"/>
            <w:bookmarkEnd w:id="741"/>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4,032,684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742" w:name="xdx_98F_eus-gaap--ResearchAndDevelopment"/>
            <w:bookmarkEnd w:id="742"/>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1,306,278</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743" w:name="xdx_98B_eus-gaap--ResearchAndDevelopment"/>
            <w:bookmarkEnd w:id="743"/>
          </w:p>
        </w:tc>
        <w:tc>
          <w:tcPr>
            <w:tcW w:w="8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5,338,962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3170"/>
        <w:gridCol w:w="60"/>
        <w:gridCol w:w="164"/>
        <w:gridCol w:w="995"/>
        <w:gridCol w:w="66"/>
        <w:gridCol w:w="66"/>
        <w:gridCol w:w="219"/>
        <w:gridCol w:w="1090"/>
        <w:gridCol w:w="66"/>
        <w:gridCol w:w="66"/>
        <w:gridCol w:w="154"/>
        <w:gridCol w:w="929"/>
        <w:gridCol w:w="75"/>
      </w:tblGrid>
      <w:tr>
        <w:trPr/>
        <w:tc>
          <w:tcPr>
            <w:tcW w:w="31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1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2021</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Parties</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10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15"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Consultants &amp; other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744" w:name="xdx_98F_eus-gaap--ResearchAndDevelopment"/>
            <w:bookmarkEnd w:id="744"/>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946,156</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745" w:name="xdx_980_eus-gaap--ResearchAndDevelopment"/>
            <w:bookmarkEnd w:id="745"/>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711,464</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746" w:name="xdx_987_eus-gaap--ResearchAndDevelopment"/>
            <w:bookmarkEnd w:id="746"/>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1,657,620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&amp; supplies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7" w:name="xdx_98B_eus-gaap--ResearchAndDevelopment"/>
            <w:bookmarkEnd w:id="747"/>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1,231,019</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8" w:name="xdx_988_eus-gaap--ResearchAndDevelopment"/>
            <w:bookmarkEnd w:id="748"/>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9" w:name="xdx_988_eus-gaap--ResearchAndDevelopment"/>
            <w:bookmarkEnd w:id="749"/>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1,231,019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(including share-based)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0" w:name="xdx_986_eus-gaap--ResearchAndDevelopment"/>
            <w:bookmarkEnd w:id="750"/>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284,957</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1" w:name="xdx_98E_eus-gaap--ResearchAndDevelopment"/>
            <w:bookmarkEnd w:id="751"/>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214,892</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2" w:name="xdx_982_eus-gaap--ResearchAndDevelopment"/>
            <w:bookmarkEnd w:id="752"/>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499,849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 &amp; entertainment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3" w:name="xdx_988_eus-gaap--ResearchAndDevelopment"/>
            <w:bookmarkEnd w:id="753"/>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4" w:name="xdx_98A_eus-gaap--ResearchAndDevelopment"/>
            <w:bookmarkEnd w:id="754"/>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5" w:name="xdx_98F_eus-gaap--ResearchAndDevelopment"/>
            <w:bookmarkEnd w:id="755"/>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56" w:name="xdx_98D_eus-gaap--ResearchAndDevelopment"/>
            <w:bookmarkEnd w:id="756"/>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1,593</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57" w:name="xdx_98E_eus-gaap--ResearchAndDevelopment"/>
            <w:bookmarkEnd w:id="757"/>
          </w:p>
        </w:tc>
        <w:tc>
          <w:tcPr>
            <w:tcW w:w="10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58" w:name="xdx_98B_eus-gaap--ResearchAndDevelopment"/>
            <w:bookmarkEnd w:id="758"/>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759" w:name="xdx_989_eus-gaap--ResearchAndDevelopment"/>
            <w:bookmarkEnd w:id="759"/>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2,463,725</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760" w:name="xdx_981_eus-gaap--ResearchAndDevelopment"/>
            <w:bookmarkEnd w:id="760"/>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926,952</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761" w:name="xdx_988_eus-gaap--ResearchAndDevelopment"/>
            <w:bookmarkEnd w:id="761"/>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3,390,677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left"/>
        <w:rPr>
          <w:caps w:val="false"/>
          <w:smallCaps w:val="false"/>
        </w:rPr>
      </w:pPr>
      <w:bookmarkStart w:id="762" w:name="xdx_8AA_zE0uToA5iIb9"/>
      <w:bookmarkEnd w:id="76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(related party) expenses during the years ended December 31, 2023, 2022, and 2021, mainly relate to the clinical trial activity done as per the agreement with the OSR - San Raffaele Hospital. The increase in research and development expenses related parties for the year ended December 31, 2023, compared to the year ended December 31, 2022, was due to the increase in the number of treated patients and related clinical trial activities. Furthermore, the increase was also determined by the reduction in the offsetting effect of research and development tax credits.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research and development expenses of approximately €</w:t>
      </w:r>
      <w:bookmarkStart w:id="763" w:name="xdx_90A_eus-gaap--ResearchAndDevelopment"/>
      <w:bookmarkEnd w:id="763"/>
      <w:r>
        <w:rPr>
          <w:rFonts w:ascii="Times New Roman;Times;Serif" w:hAnsi="Times New Roman;Times;Serif"/>
          <w:b w:val="false"/>
          <w:i w:val="false"/>
          <w:caps w:val="false"/>
          <w:smallCaps w:val="false"/>
          <w:sz w:val="20"/>
        </w:rPr>
        <w:t>6.5 million in 2023 (€</w:t>
      </w:r>
      <w:bookmarkStart w:id="764" w:name="xdx_907_ecustom--ResearchAndDevelopmentE"/>
      <w:bookmarkEnd w:id="764"/>
      <w:r>
        <w:rPr>
          <w:rFonts w:ascii="Times New Roman;Times;Serif" w:hAnsi="Times New Roman;Times;Serif"/>
          <w:b w:val="false"/>
          <w:i w:val="false"/>
          <w:caps w:val="false"/>
          <w:smallCaps w:val="false"/>
          <w:sz w:val="20"/>
        </w:rPr>
        <w:t>6.9 million less €</w:t>
      </w:r>
      <w:bookmarkStart w:id="765" w:name="xdx_90D_eus-gaap--DeferredTaxAssetsTaxCr"/>
      <w:bookmarkEnd w:id="765"/>
      <w:r>
        <w:rPr>
          <w:rFonts w:ascii="Times New Roman;Times;Serif" w:hAnsi="Times New Roman;Times;Serif"/>
          <w:b w:val="false"/>
          <w:i w:val="false"/>
          <w:caps w:val="false"/>
          <w:smallCaps w:val="false"/>
          <w:sz w:val="20"/>
        </w:rPr>
        <w:t>0.4 million, from the compensation effect of the tax credit benefit), and €</w:t>
      </w:r>
      <w:bookmarkStart w:id="766" w:name="xdx_907_eus-gaap--ResearchAndDevelopment"/>
      <w:bookmarkEnd w:id="766"/>
      <w:r>
        <w:rPr>
          <w:rFonts w:ascii="Times New Roman;Times;Serif" w:hAnsi="Times New Roman;Times;Serif"/>
          <w:b w:val="false"/>
          <w:i w:val="false"/>
          <w:caps w:val="false"/>
          <w:smallCaps w:val="false"/>
          <w:sz w:val="20"/>
        </w:rPr>
        <w:t>5.3 million in 2022 (€</w:t>
      </w:r>
      <w:bookmarkStart w:id="767" w:name="xdx_90E_ecustom--ResearchAndDevelopmentE"/>
      <w:bookmarkEnd w:id="767"/>
      <w:r>
        <w:rPr>
          <w:rFonts w:ascii="Times New Roman;Times;Serif" w:hAnsi="Times New Roman;Times;Serif"/>
          <w:b w:val="false"/>
          <w:i w:val="false"/>
          <w:caps w:val="false"/>
          <w:smallCaps w:val="false"/>
          <w:sz w:val="20"/>
        </w:rPr>
        <w:t>6.0 million less €</w:t>
      </w:r>
      <w:bookmarkStart w:id="768" w:name="xdx_90C_eus-gaap--DeferredTaxAssetsTaxCr"/>
      <w:bookmarkEnd w:id="768"/>
      <w:r>
        <w:rPr>
          <w:rFonts w:ascii="Times New Roman;Times;Serif" w:hAnsi="Times New Roman;Times;Serif"/>
          <w:b w:val="false"/>
          <w:i w:val="false"/>
          <w:caps w:val="false"/>
          <w:smallCaps w:val="false"/>
          <w:sz w:val="20"/>
        </w:rPr>
        <w:t>0.7 million, from the compensation effect of the tax credit benefit).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recorded research and development expenses of approximately €</w:t>
      </w:r>
      <w:bookmarkStart w:id="769" w:name="xdx_901_eus-gaap--ResearchAndDevelopment"/>
      <w:bookmarkEnd w:id="769"/>
      <w:r>
        <w:rPr>
          <w:rFonts w:ascii="Times New Roman;Times;Serif" w:hAnsi="Times New Roman;Times;Serif"/>
          <w:b w:val="false"/>
          <w:i w:val="false"/>
          <w:caps w:val="false"/>
          <w:smallCaps w:val="false"/>
          <w:sz w:val="20"/>
        </w:rPr>
        <w:t>3.4 million (€</w:t>
      </w:r>
      <w:bookmarkStart w:id="770" w:name="xdx_909_ecustom--ResearchAndDevelopmentE"/>
      <w:bookmarkEnd w:id="770"/>
      <w:r>
        <w:rPr>
          <w:rFonts w:ascii="Times New Roman;Times;Serif" w:hAnsi="Times New Roman;Times;Serif"/>
          <w:b w:val="false"/>
          <w:i w:val="false"/>
          <w:caps w:val="false"/>
          <w:smallCaps w:val="false"/>
          <w:sz w:val="20"/>
        </w:rPr>
        <w:t>4.6 million, less €</w:t>
      </w:r>
      <w:bookmarkStart w:id="771" w:name="xdx_907_eus-gaap--DeferredTaxAssetsTaxCr"/>
      <w:bookmarkEnd w:id="771"/>
      <w:r>
        <w:rPr>
          <w:rFonts w:ascii="Times New Roman;Times;Serif" w:hAnsi="Times New Roman;Times;Serif"/>
          <w:b w:val="false"/>
          <w:i w:val="false"/>
          <w:caps w:val="false"/>
          <w:smallCaps w:val="false"/>
          <w:sz w:val="20"/>
        </w:rPr>
        <w:t>1.2 million from the compensation effect of the tax credit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bookmarkStart w:id="772" w:name="xdx_89C_eus-gaap--ScheduleOfRelatedParty"/>
      <w:bookmarkEnd w:id="772"/>
      <w:r>
        <w:rPr>
          <w:rFonts w:ascii="Times New Roman;Times;Serif" w:hAnsi="Times New Roman;Times;Serif"/>
          <w:b w:val="false"/>
          <w:i w:val="false"/>
          <w:caps w:val="false"/>
          <w:smallCaps w:val="false"/>
          <w:sz w:val="20"/>
        </w:rPr>
        <w:t>The Company’s general and administrative expenses are also a combination of third-party and related party expenses, as detailed below:</w:t>
      </w:r>
    </w:p>
    <w:p>
      <w:pPr>
        <w:pStyle w:val="TextBody"/>
        <w:bidi w:val="0"/>
        <w:spacing w:before="0" w:after="0"/>
        <w:ind w:left="0" w:right="0" w:hanging="0"/>
        <w:jc w:val="left"/>
        <w:rPr>
          <w:caps w:val="false"/>
          <w:smallCaps w:val="false"/>
        </w:rPr>
      </w:pPr>
      <w:r>
        <w:rPr>
          <w:caps w:val="false"/>
          <w:smallCaps w:val="false"/>
        </w:rPr>
        <w:t> </w:t>
      </w:r>
      <w:bookmarkStart w:id="773" w:name="xdx_8B6_zDKhjtHYz3fi"/>
      <w:bookmarkEnd w:id="773"/>
      <w:r>
        <w:rPr>
          <w:rFonts w:ascii="Times New Roman;Times;Serif" w:hAnsi="Times New Roman;Times;Serif"/>
          <w:b w:val="false"/>
          <w:i w:val="false"/>
          <w:caps w:val="false"/>
          <w:smallCaps w:val="false"/>
          <w:sz w:val="20"/>
        </w:rPr>
        <w:t>Schedule of third party and general and administrative expenses</w:t>
      </w:r>
    </w:p>
    <w:tbl>
      <w:tblPr>
        <w:tblW w:w="8311" w:type="dxa"/>
        <w:jc w:val="left"/>
        <w:tblInd w:w="0" w:type="dxa"/>
        <w:tblLayout w:type="fixed"/>
        <w:tblCellMar>
          <w:top w:w="0" w:type="dxa"/>
          <w:left w:w="0" w:type="dxa"/>
          <w:bottom w:w="0" w:type="dxa"/>
          <w:right w:w="0" w:type="dxa"/>
        </w:tblCellMar>
      </w:tblPr>
      <w:tblGrid>
        <w:gridCol w:w="3695"/>
        <w:gridCol w:w="60"/>
        <w:gridCol w:w="172"/>
        <w:gridCol w:w="1212"/>
        <w:gridCol w:w="67"/>
        <w:gridCol w:w="67"/>
        <w:gridCol w:w="195"/>
        <w:gridCol w:w="1369"/>
        <w:gridCol w:w="67"/>
        <w:gridCol w:w="67"/>
        <w:gridCol w:w="158"/>
        <w:gridCol w:w="1107"/>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1"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2023</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Third Parties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Related Parties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 Euros)</w:t>
            </w:r>
          </w:p>
        </w:tc>
        <w:tc>
          <w:tcPr>
            <w:tcW w:w="60" w:type="dxa"/>
            <w:tcBorders/>
            <w:vAlign w:val="center"/>
          </w:tcPr>
          <w:p>
            <w:pPr>
              <w:pStyle w:val="TableContents"/>
              <w:bidi w:val="0"/>
              <w:spacing w:before="0" w:after="283"/>
              <w:jc w:val="left"/>
              <w:rPr/>
            </w:pPr>
            <w:r>
              <w:rPr/>
              <w:t> </w:t>
            </w:r>
          </w:p>
        </w:tc>
        <w:tc>
          <w:tcPr>
            <w:tcW w:w="4481" w:type="dxa"/>
            <w:gridSpan w:val="10"/>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(including share-based)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bookmarkStart w:id="774" w:name="xdx_981_eus-gaap--GeneralAndAdministrati"/>
            <w:bookmarkEnd w:id="774"/>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1,218,299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bookmarkStart w:id="775" w:name="xdx_982_eus-gaap--GeneralAndAdministrati"/>
            <w:bookmarkEnd w:id="775"/>
          </w:p>
        </w:tc>
        <w:tc>
          <w:tcPr>
            <w:tcW w:w="13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1,317,068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bookmarkStart w:id="776" w:name="xdx_982_eus-gaap--GeneralAndAdministrati"/>
            <w:bookmarkEnd w:id="776"/>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2,535,367</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legal &amp; other professional</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777" w:name="xdx_98A_eus-gaap--GeneralAndAdministrati"/>
            <w:bookmarkEnd w:id="777"/>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1,026,534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bookmarkStart w:id="778" w:name="xdx_98E_eus-gaap--GeneralAndAdministrati"/>
            <w:bookmarkEnd w:id="778"/>
          </w:p>
        </w:tc>
        <w:tc>
          <w:tcPr>
            <w:tcW w:w="13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779" w:name="xdx_98C_eus-gaap--GeneralAndAdministrati"/>
            <w:bookmarkEnd w:id="779"/>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1,026,534</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 &amp; IT related Facility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780" w:name="xdx_987_eus-gaap--GeneralAndAdministrati"/>
            <w:bookmarkEnd w:id="780"/>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166,416</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bookmarkStart w:id="781" w:name="xdx_983_eus-gaap--GeneralAndAdministrati"/>
            <w:bookmarkEnd w:id="781"/>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166,416</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Facility &amp; insurance related</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782" w:name="xdx_988_eus-gaap--GeneralAndAdministrati"/>
            <w:bookmarkEnd w:id="782"/>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bookmarkStart w:id="783" w:name="xdx_985_eus-gaap--GeneralAndAdministrati"/>
            <w:bookmarkEnd w:id="783"/>
          </w:p>
        </w:tc>
        <w:tc>
          <w:tcPr>
            <w:tcW w:w="13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15,731</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784" w:name="xdx_986_eus-gaap--GeneralAndAdministrati"/>
            <w:bookmarkEnd w:id="784"/>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21,911</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Consultants &amp; other third parties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785" w:name="xdx_985_eus-gaap--GeneralAndAdministrati"/>
            <w:bookmarkEnd w:id="785"/>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610,103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786" w:name="xdx_980_eus-gaap--GeneralAndAdministrati"/>
            <w:bookmarkEnd w:id="786"/>
          </w:p>
        </w:tc>
        <w:tc>
          <w:tcPr>
            <w:tcW w:w="13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bookmarkStart w:id="787" w:name="xdx_989_eus-gaap--GeneralAndAdministrati"/>
            <w:bookmarkEnd w:id="787"/>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610,103</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88" w:name="xdx_985_eus-gaap--GeneralAndAdministrati"/>
            <w:bookmarkEnd w:id="788"/>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896,018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89" w:name="xdx_986_eus-gaap--GeneralAndAdministrati"/>
            <w:bookmarkEnd w:id="789"/>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2,152</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90" w:name="xdx_985_eus-gaap--GeneralAndAdministrati"/>
            <w:bookmarkEnd w:id="790"/>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898,170</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91" w:name="xdx_980_eus-gaap--GeneralAndAdministrati"/>
            <w:bookmarkEnd w:id="791"/>
          </w:p>
        </w:tc>
        <w:tc>
          <w:tcPr>
            <w:tcW w:w="12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3,923,550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92" w:name="xdx_989_eus-gaap--GeneralAndAdministrati"/>
            <w:bookmarkEnd w:id="792"/>
          </w:p>
        </w:tc>
        <w:tc>
          <w:tcPr>
            <w:tcW w:w="13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1,334,951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93" w:name="xdx_989_eus-gaap--GeneralAndAdministrati"/>
            <w:bookmarkEnd w:id="793"/>
          </w:p>
        </w:tc>
        <w:tc>
          <w:tcPr>
            <w:tcW w:w="11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5,258,501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067" w:type="dxa"/>
        <w:jc w:val="left"/>
        <w:tblInd w:w="0" w:type="dxa"/>
        <w:tblLayout w:type="fixed"/>
        <w:tblCellMar>
          <w:top w:w="0" w:type="dxa"/>
          <w:left w:w="0" w:type="dxa"/>
          <w:bottom w:w="0" w:type="dxa"/>
          <w:right w:w="0" w:type="dxa"/>
        </w:tblCellMar>
      </w:tblPr>
      <w:tblGrid>
        <w:gridCol w:w="3185"/>
        <w:gridCol w:w="60"/>
        <w:gridCol w:w="164"/>
        <w:gridCol w:w="995"/>
        <w:gridCol w:w="62"/>
        <w:gridCol w:w="62"/>
        <w:gridCol w:w="185"/>
        <w:gridCol w:w="1124"/>
        <w:gridCol w:w="62"/>
        <w:gridCol w:w="62"/>
        <w:gridCol w:w="146"/>
        <w:gridCol w:w="885"/>
        <w:gridCol w:w="75"/>
      </w:tblGrid>
      <w:tr>
        <w:trPr/>
        <w:tc>
          <w:tcPr>
            <w:tcW w:w="3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47"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Parties</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47"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(including share-based)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794" w:name="xdx_98E_eus-gaap--GeneralAndAdministrati"/>
            <w:bookmarkEnd w:id="794"/>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1,293,880</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795" w:name="xdx_986_eus-gaap--GeneralAndAdministrati"/>
            <w:bookmarkEnd w:id="795"/>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1,268,974</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796" w:name="xdx_980_eus-gaap--GeneralAndAdministrati"/>
            <w:bookmarkEnd w:id="796"/>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2,562,854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legal &amp; other professional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7" w:name="xdx_98F_eus-gaap--GeneralAndAdministrati"/>
            <w:bookmarkEnd w:id="797"/>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781,817</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8" w:name="xdx_984_eus-gaap--GeneralAndAdministrati"/>
            <w:bookmarkEnd w:id="798"/>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9" w:name="xdx_98E_eus-gaap--GeneralAndAdministrati"/>
            <w:bookmarkEnd w:id="799"/>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781,817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&amp; IT related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0" w:name="xdx_988_eus-gaap--GeneralAndAdministrati"/>
            <w:bookmarkEnd w:id="800"/>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171,380</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1" w:name="xdx_983_eus-gaap--GeneralAndAdministrati"/>
            <w:bookmarkEnd w:id="801"/>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2" w:name="xdx_98E_eus-gaap--GeneralAndAdministrati"/>
            <w:bookmarkEnd w:id="802"/>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&amp; insurance related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3" w:name="xdx_989_eus-gaap--GeneralAndAdministrati"/>
            <w:bookmarkEnd w:id="803"/>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1,241,692</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4" w:name="xdx_983_eus-gaap--GeneralAndAdministrati"/>
            <w:bookmarkEnd w:id="804"/>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14,815</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5" w:name="xdx_984_eus-gaap--GeneralAndAdministrati"/>
            <w:bookmarkEnd w:id="805"/>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1,256,507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Consultants &amp; other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6" w:name="xdx_984_eus-gaap--GeneralAndAdministrati"/>
            <w:bookmarkEnd w:id="806"/>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593,788</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7" w:name="xdx_985_eus-gaap--GeneralAndAdministrati"/>
            <w:bookmarkEnd w:id="807"/>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8" w:name="xdx_98A_eus-gaap--GeneralAndAdministrati"/>
            <w:bookmarkEnd w:id="808"/>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593,788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09" w:name="xdx_984_eus-gaap--GeneralAndAdministrati"/>
            <w:bookmarkEnd w:id="809"/>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331,824</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10" w:name="xdx_983_eus-gaap--GeneralAndAdministrati"/>
            <w:bookmarkEnd w:id="810"/>
          </w:p>
        </w:tc>
        <w:tc>
          <w:tcPr>
            <w:tcW w:w="11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6,860</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11" w:name="xdx_98C_eus-gaap--GeneralAndAdministrati"/>
            <w:bookmarkEnd w:id="811"/>
          </w:p>
        </w:tc>
        <w:tc>
          <w:tcPr>
            <w:tcW w:w="8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338,684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812" w:name="xdx_985_eus-gaap--GeneralAndAdministrati"/>
            <w:bookmarkEnd w:id="812"/>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4,414,381</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813" w:name="xdx_982_eus-gaap--GeneralAndAdministrati"/>
            <w:bookmarkEnd w:id="813"/>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1,290,649</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814" w:name="xdx_98D_eus-gaap--GeneralAndAdministrati"/>
            <w:bookmarkEnd w:id="814"/>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5,705,030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3185"/>
        <w:gridCol w:w="60"/>
        <w:gridCol w:w="164"/>
        <w:gridCol w:w="995"/>
        <w:gridCol w:w="66"/>
        <w:gridCol w:w="66"/>
        <w:gridCol w:w="219"/>
        <w:gridCol w:w="1090"/>
        <w:gridCol w:w="66"/>
        <w:gridCol w:w="66"/>
        <w:gridCol w:w="154"/>
        <w:gridCol w:w="929"/>
        <w:gridCol w:w="75"/>
      </w:tblGrid>
      <w:tr>
        <w:trPr/>
        <w:tc>
          <w:tcPr>
            <w:tcW w:w="3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1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2021</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Parties</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10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15"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(including share-based)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815" w:name="xdx_985_eus-gaap--GeneralAndAdministrati"/>
            <w:bookmarkEnd w:id="815"/>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353,177</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816" w:name="xdx_98E_eus-gaap--GeneralAndAdministrati"/>
            <w:bookmarkEnd w:id="816"/>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567,624</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w:t>
            </w:r>
            <w:bookmarkStart w:id="817" w:name="xdx_982_eus-gaap--GeneralAndAdministrati"/>
            <w:bookmarkEnd w:id="817"/>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920,801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legal &amp; other professional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18" w:name="xdx_987_eus-gaap--GeneralAndAdministrati"/>
            <w:bookmarkEnd w:id="818"/>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390,134</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19" w:name="xdx_983_eus-gaap--GeneralAndAdministrati"/>
            <w:bookmarkEnd w:id="819"/>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20" w:name="xdx_980_eus-gaap--GeneralAndAdministrati"/>
            <w:bookmarkEnd w:id="820"/>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&amp; IT related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1" w:name="xdx_984_eus-gaap--GeneralAndAdministrati"/>
            <w:bookmarkEnd w:id="821"/>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52,230</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2" w:name="xdx_985_eus-gaap--GeneralAndAdministrati"/>
            <w:bookmarkEnd w:id="822"/>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3" w:name="xdx_984_eus-gaap--GeneralAndAdministrati"/>
            <w:bookmarkEnd w:id="823"/>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&amp; insurance related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24" w:name="xdx_98C_eus-gaap--GeneralAndAdministrati"/>
            <w:bookmarkEnd w:id="824"/>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71,181</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25" w:name="xdx_983_eus-gaap--GeneralAndAdministrati"/>
            <w:bookmarkEnd w:id="825"/>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14,399</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26" w:name="xdx_98E_eus-gaap--GeneralAndAdministrati"/>
            <w:bookmarkEnd w:id="826"/>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Consultants &amp; other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7" w:name="xdx_983_eus-gaap--GeneralAndAdministrati"/>
            <w:bookmarkEnd w:id="827"/>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675,688</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8" w:name="xdx_985_eus-gaap--GeneralAndAdministrati"/>
            <w:bookmarkEnd w:id="828"/>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9" w:name="xdx_98A_eus-gaap--GeneralAndAdministrati"/>
            <w:bookmarkEnd w:id="829"/>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675,688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30" w:name="xdx_98B_eus-gaap--GeneralAndAdministrati"/>
            <w:bookmarkEnd w:id="830"/>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164,468</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31" w:name="xdx_98E_eus-gaap--GeneralAndAdministrati"/>
            <w:bookmarkEnd w:id="831"/>
          </w:p>
        </w:tc>
        <w:tc>
          <w:tcPr>
            <w:tcW w:w="10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7,695</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32" w:name="xdx_98D_eus-gaap--GeneralAndAdministrati"/>
            <w:bookmarkEnd w:id="832"/>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172,163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833" w:name="xdx_98D_eus-gaap--GeneralAndAdministrati"/>
            <w:bookmarkEnd w:id="833"/>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1,706,878</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834" w:name="xdx_98E_eus-gaap--GeneralAndAdministrati"/>
            <w:bookmarkEnd w:id="834"/>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589,718</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bookmarkStart w:id="835" w:name="xdx_982_eus-gaap--GeneralAndAdministrati"/>
            <w:bookmarkEnd w:id="835"/>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2,296,596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836" w:name="xdx_8AC_zFq4izbPtsa8"/>
      <w:bookmarkEnd w:id="83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changes in general and administrative expenses related parties during the year ended December 31, 2023, compared to the year ended December 31, 2022. General and administrative expenses, other than related party, decreased mainly because of the decrease in the Company’s limited liability insurance cost, aka director and officer (“D&amp;O”) insurance.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general and administrative expenses related parties during the year ended December 31, 2022, compared to the year ended December 31, 2021 was mainly due to the increase in management compensation. General and administrative expenses, other than related party, increased due to the increase in D&amp;O insurance and to the increase in legal and audit fees as result of the post IPO administrative and compliance activities.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bookmarkStart w:id="837" w:name="xdx_894_ecustom--ScheduleOfAccountsPayab"/>
      <w:bookmarkEnd w:id="837"/>
      <w:r>
        <w:rPr>
          <w:rFonts w:ascii="Times New Roman;Times;Serif" w:hAnsi="Times New Roman;Times;Serif"/>
          <w:b w:val="false"/>
          <w:i w:val="false"/>
          <w:caps w:val="false"/>
          <w:smallCaps w:val="false"/>
          <w:sz w:val="20"/>
        </w:rPr>
        <w:t>The Company’s accounts payable to related parties are comprised as follows:</w:t>
      </w:r>
    </w:p>
    <w:p>
      <w:pPr>
        <w:pStyle w:val="TextBody"/>
        <w:bidi w:val="0"/>
        <w:spacing w:before="0" w:after="0"/>
        <w:ind w:left="0" w:right="0" w:firstLine="648"/>
        <w:jc w:val="both"/>
        <w:rPr>
          <w:caps w:val="false"/>
          <w:smallCaps w:val="false"/>
        </w:rPr>
      </w:pPr>
      <w:r>
        <w:rPr>
          <w:caps w:val="false"/>
          <w:smallCaps w:val="false"/>
        </w:rPr>
        <w:t> </w:t>
      </w:r>
      <w:bookmarkStart w:id="838" w:name="xdx_8B9_z2gD34ARo6N9"/>
      <w:bookmarkEnd w:id="838"/>
      <w:r>
        <w:rPr>
          <w:rFonts w:ascii="Times New Roman;Times;Serif" w:hAnsi="Times New Roman;Times;Serif"/>
          <w:b w:val="false"/>
          <w:i w:val="false"/>
          <w:caps w:val="false"/>
          <w:smallCaps w:val="false"/>
          <w:sz w:val="20"/>
        </w:rPr>
        <w:t>Schedule of accounts payable to related parties</w:t>
      </w:r>
    </w:p>
    <w:tbl>
      <w:tblPr>
        <w:tblW w:w="5870" w:type="dxa"/>
        <w:jc w:val="left"/>
        <w:tblInd w:w="0" w:type="dxa"/>
        <w:tblLayout w:type="fixed"/>
        <w:tblCellMar>
          <w:top w:w="0" w:type="dxa"/>
          <w:left w:w="0" w:type="dxa"/>
          <w:bottom w:w="0" w:type="dxa"/>
          <w:right w:w="0" w:type="dxa"/>
        </w:tblCellMar>
      </w:tblPr>
      <w:tblGrid>
        <w:gridCol w:w="2795"/>
        <w:gridCol w:w="60"/>
        <w:gridCol w:w="140"/>
        <w:gridCol w:w="800"/>
        <w:gridCol w:w="60"/>
        <w:gridCol w:w="60"/>
        <w:gridCol w:w="140"/>
        <w:gridCol w:w="800"/>
        <w:gridCol w:w="60"/>
        <w:gridCol w:w="60"/>
        <w:gridCol w:w="140"/>
        <w:gridCol w:w="68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9" w:name="xdx_49A_20231231_zyX5dZnE9Aol"/>
            <w:bookmarkEnd w:id="839"/>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0" w:name="xdx_498_20221231_zDDrWNdvoPw2"/>
            <w:bookmarkEnd w:id="840"/>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1" w:name="xdx_494_20211231_zR5zSKDQv6x3"/>
            <w:bookmarkEnd w:id="841"/>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75" w:type="dxa"/>
            <w:tcBorders/>
            <w:vAlign w:val="center"/>
          </w:tcPr>
          <w:p>
            <w:pPr>
              <w:pStyle w:val="TableContents"/>
              <w:bidi w:val="0"/>
              <w:spacing w:before="0" w:after="283"/>
              <w:jc w:val="left"/>
              <w:rPr/>
            </w:pPr>
            <w:r>
              <w:rPr/>
              <w:t> </w:t>
            </w:r>
            <w:bookmarkStart w:id="842" w:name="xdx_40B_eus-gaap--AccountsPayableCurrent"/>
            <w:bookmarkEnd w:id="842"/>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 Raffaele Hospital (OSR)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25,047</w:t>
            </w:r>
          </w:p>
        </w:tc>
        <w:tc>
          <w:tcPr>
            <w:tcW w:w="75" w:type="dxa"/>
            <w:tcBorders/>
            <w:shd w:fill="CCEEFF" w:val="clear"/>
            <w:vAlign w:val="center"/>
          </w:tcPr>
          <w:p>
            <w:pPr>
              <w:pStyle w:val="TableContents"/>
              <w:bidi w:val="0"/>
              <w:spacing w:before="0" w:after="283"/>
              <w:jc w:val="left"/>
              <w:rPr/>
            </w:pPr>
            <w:r>
              <w:rPr/>
              <w:t> </w:t>
            </w:r>
            <w:bookmarkStart w:id="843" w:name="xdx_401_eus-gaap--AccountsPayableCurrent"/>
            <w:bookmarkEnd w:id="843"/>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Pierluigi Paracchi</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75" w:type="dxa"/>
            <w:tcBorders/>
            <w:shd w:fill="FFFFFF" w:val="clear"/>
            <w:vAlign w:val="center"/>
          </w:tcPr>
          <w:p>
            <w:pPr>
              <w:pStyle w:val="TableContents"/>
              <w:bidi w:val="0"/>
              <w:spacing w:before="0" w:after="283"/>
              <w:jc w:val="left"/>
              <w:rPr/>
            </w:pPr>
            <w:r>
              <w:rPr/>
              <w:t> </w:t>
            </w:r>
            <w:bookmarkStart w:id="844" w:name="xdx_403_eus-gaap--AccountsPayableCurrent"/>
            <w:bookmarkEnd w:id="844"/>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Carlo Russo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845" w:name="xdx_409_eus-gaap--AccountsPayableCurrent"/>
            <w:bookmarkEnd w:id="845"/>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Richard Slansky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846" w:name="xdx_404_eus-gaap--AccountsPayableCurrent"/>
            <w:bookmarkEnd w:id="846"/>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648"/>
        <w:jc w:val="both"/>
        <w:rPr>
          <w:caps w:val="false"/>
          <w:smallCaps w:val="false"/>
        </w:rPr>
      </w:pPr>
      <w:bookmarkStart w:id="847" w:name="xdx_8AA_zohIecWpp4J8"/>
      <w:bookmarkEnd w:id="847"/>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bookmarkStart w:id="848" w:name="xdx_89E_ecustom--ScheduleOfAccruedExpens"/>
      <w:bookmarkEnd w:id="848"/>
      <w:r>
        <w:rPr>
          <w:rFonts w:ascii="Times New Roman;Times;Serif" w:hAnsi="Times New Roman;Times;Serif"/>
          <w:b w:val="false"/>
          <w:i w:val="false"/>
          <w:caps w:val="false"/>
          <w:smallCaps w:val="false"/>
          <w:sz w:val="20"/>
        </w:rPr>
        <w:t>The Company’s accrued expenses to related parties are comprised as follows:</w:t>
      </w:r>
    </w:p>
    <w:p>
      <w:pPr>
        <w:pStyle w:val="TextBody"/>
        <w:bidi w:val="0"/>
        <w:spacing w:before="0" w:after="0"/>
        <w:ind w:left="0" w:right="0" w:hanging="0"/>
        <w:jc w:val="left"/>
        <w:rPr>
          <w:caps w:val="false"/>
          <w:smallCaps w:val="false"/>
        </w:rPr>
      </w:pPr>
      <w:r>
        <w:rPr>
          <w:caps w:val="false"/>
          <w:smallCaps w:val="false"/>
        </w:rPr>
        <w:t> </w:t>
      </w:r>
      <w:bookmarkStart w:id="849" w:name="xdx_8BD_zG7swxXo4rFf"/>
      <w:bookmarkEnd w:id="849"/>
      <w:r>
        <w:rPr>
          <w:rFonts w:ascii="Times New Roman;Times;Serif" w:hAnsi="Times New Roman;Times;Serif"/>
          <w:b w:val="false"/>
          <w:i w:val="false"/>
          <w:caps w:val="false"/>
          <w:smallCaps w:val="false"/>
          <w:sz w:val="20"/>
        </w:rPr>
        <w:t>Schedule of accrued expenses to related parties</w:t>
      </w:r>
    </w:p>
    <w:tbl>
      <w:tblPr>
        <w:tblW w:w="5990" w:type="dxa"/>
        <w:jc w:val="left"/>
        <w:tblInd w:w="0" w:type="dxa"/>
        <w:tblLayout w:type="fixed"/>
        <w:tblCellMar>
          <w:top w:w="0" w:type="dxa"/>
          <w:left w:w="0" w:type="dxa"/>
          <w:bottom w:w="0" w:type="dxa"/>
          <w:right w:w="0" w:type="dxa"/>
        </w:tblCellMar>
      </w:tblPr>
      <w:tblGrid>
        <w:gridCol w:w="2795"/>
        <w:gridCol w:w="60"/>
        <w:gridCol w:w="140"/>
        <w:gridCol w:w="800"/>
        <w:gridCol w:w="60"/>
        <w:gridCol w:w="60"/>
        <w:gridCol w:w="140"/>
        <w:gridCol w:w="800"/>
        <w:gridCol w:w="60"/>
        <w:gridCol w:w="60"/>
        <w:gridCol w:w="140"/>
        <w:gridCol w:w="80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0" w:name="xdx_495_20231231_zxLfNXKy7gf2"/>
            <w:bookmarkEnd w:id="850"/>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1" w:name="xdx_498_20221231_zpqsBRczmoUf"/>
            <w:bookmarkEnd w:id="851"/>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2" w:name="xdx_495_20211231_zUPhWYJUQzHf"/>
            <w:bookmarkEnd w:id="852"/>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75" w:type="dxa"/>
            <w:tcBorders/>
            <w:vAlign w:val="center"/>
          </w:tcPr>
          <w:p>
            <w:pPr>
              <w:pStyle w:val="TableContents"/>
              <w:bidi w:val="0"/>
              <w:spacing w:before="0" w:after="283"/>
              <w:jc w:val="left"/>
              <w:rPr/>
            </w:pPr>
            <w:r>
              <w:rPr/>
              <w:t> </w:t>
            </w:r>
            <w:bookmarkStart w:id="853" w:name="xdx_40D_eus-gaap--AccruedLiabilitiesCurr"/>
            <w:bookmarkEnd w:id="853"/>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 Raffaele Hospital (OSR)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19,201</w:t>
            </w:r>
          </w:p>
        </w:tc>
        <w:tc>
          <w:tcPr>
            <w:tcW w:w="75" w:type="dxa"/>
            <w:tcBorders/>
            <w:shd w:fill="CCEEFF" w:val="clear"/>
            <w:vAlign w:val="center"/>
          </w:tcPr>
          <w:p>
            <w:pPr>
              <w:pStyle w:val="TableContents"/>
              <w:bidi w:val="0"/>
              <w:spacing w:before="0" w:after="283"/>
              <w:jc w:val="left"/>
              <w:rPr/>
            </w:pPr>
            <w:r>
              <w:rPr/>
              <w:t> </w:t>
            </w:r>
            <w:bookmarkStart w:id="854" w:name="xdx_407_eus-gaap--AccruedLiabilitiesCurr"/>
            <w:bookmarkEnd w:id="854"/>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Pierluigi Paracchi</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w:t>
            </w:r>
          </w:p>
        </w:tc>
        <w:tc>
          <w:tcPr>
            <w:tcW w:w="75" w:type="dxa"/>
            <w:tcBorders/>
            <w:shd w:fill="FFFFFF" w:val="clear"/>
            <w:vAlign w:val="center"/>
          </w:tcPr>
          <w:p>
            <w:pPr>
              <w:pStyle w:val="TableContents"/>
              <w:bidi w:val="0"/>
              <w:spacing w:before="0" w:after="283"/>
              <w:jc w:val="left"/>
              <w:rPr/>
            </w:pPr>
            <w:r>
              <w:rPr/>
              <w:t> </w:t>
            </w:r>
            <w:bookmarkStart w:id="855" w:name="xdx_401_eus-gaap--AccruedLiabilitiesCurr"/>
            <w:bookmarkEnd w:id="855"/>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Richard Slansky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53,502</w:t>
            </w:r>
          </w:p>
        </w:tc>
        <w:tc>
          <w:tcPr>
            <w:tcW w:w="75" w:type="dxa"/>
            <w:tcBorders/>
            <w:shd w:fill="CCEEFF" w:val="clear"/>
            <w:vAlign w:val="center"/>
          </w:tcPr>
          <w:p>
            <w:pPr>
              <w:pStyle w:val="TableContents"/>
              <w:bidi w:val="0"/>
              <w:spacing w:before="0" w:after="283"/>
              <w:jc w:val="left"/>
              <w:rPr/>
            </w:pPr>
            <w:r>
              <w:rPr/>
              <w:t> </w:t>
            </w:r>
            <w:bookmarkStart w:id="856" w:name="xdx_40F_eus-gaap--AccruedLiabilitiesCurr"/>
            <w:bookmarkEnd w:id="856"/>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Carlo Russo</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34,438</w:t>
            </w:r>
          </w:p>
        </w:tc>
        <w:tc>
          <w:tcPr>
            <w:tcW w:w="75" w:type="dxa"/>
            <w:tcBorders/>
            <w:shd w:fill="FFFFFF" w:val="clear"/>
            <w:vAlign w:val="center"/>
          </w:tcPr>
          <w:p>
            <w:pPr>
              <w:pStyle w:val="TableContents"/>
              <w:bidi w:val="0"/>
              <w:spacing w:before="0" w:after="283"/>
              <w:jc w:val="left"/>
              <w:rPr/>
            </w:pPr>
            <w:r>
              <w:rPr/>
              <w:t> </w:t>
            </w:r>
            <w:bookmarkStart w:id="857" w:name="xdx_406_eus-gaap--AccruedLiabilitiesCurr"/>
            <w:bookmarkEnd w:id="857"/>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58" w:name="xdx_8A2_zaMMHOBKA4El"/>
      <w:bookmarkEnd w:id="858"/>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 following related parties:</w:t>
      </w:r>
    </w:p>
    <w:p>
      <w:pPr>
        <w:pStyle w:val="TextBody"/>
        <w:bidi w:val="0"/>
        <w:spacing w:before="0" w:after="0"/>
        <w:ind w:left="0" w:right="0" w:hanging="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Pierluigi Paracchi</w:t>
            </w:r>
            <w:r>
              <w:rPr>
                <w:rFonts w:ascii="Times New Roman;Times;Serif" w:hAnsi="Times New Roman;Times;Serif"/>
                <w:b w:val="false"/>
                <w:i w:val="false"/>
                <w:caps w:val="false"/>
                <w:smallCaps w:val="false"/>
                <w:sz w:val="20"/>
              </w:rPr>
              <w:t xml:space="preserve"> (director and co-founder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Luigi Naldini</w:t>
            </w:r>
            <w:r>
              <w:rPr>
                <w:rFonts w:ascii="Times New Roman;Times;Serif" w:hAnsi="Times New Roman;Times;Serif"/>
                <w:b w:val="false"/>
                <w:i w:val="false"/>
                <w:caps w:val="false"/>
                <w:smallCaps w:val="false"/>
                <w:sz w:val="20"/>
              </w:rPr>
              <w:t xml:space="preserve"> (co-founder of the Company and chair of the scientific advisory board);</w:t>
            </w:r>
          </w:p>
        </w:tc>
      </w:tr>
    </w:tbl>
    <w:p>
      <w:pPr>
        <w:pStyle w:val="TextBody"/>
        <w:bidi w:val="0"/>
        <w:spacing w:before="0" w:after="0"/>
        <w:ind w:left="0" w:right="0" w:hanging="0"/>
        <w:jc w:val="left"/>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Bernhard Rudolph Gentner</w:t>
            </w:r>
            <w:r>
              <w:rPr>
                <w:rFonts w:ascii="Times New Roman;Times;Serif" w:hAnsi="Times New Roman;Times;Serif"/>
                <w:b w:val="false"/>
                <w:i w:val="false"/>
                <w:caps w:val="false"/>
                <w:smallCaps w:val="false"/>
                <w:sz w:val="20"/>
              </w:rPr>
              <w:t xml:space="preserve"> (co- founders of the Company and member of the scientific advisory board);</w:t>
            </w:r>
          </w:p>
        </w:tc>
      </w:tr>
    </w:tbl>
    <w:p>
      <w:pPr>
        <w:pStyle w:val="TextBody"/>
        <w:bidi w:val="0"/>
        <w:spacing w:before="0" w:after="0"/>
        <w:ind w:left="0" w:right="0" w:hanging="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17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Carlo Russo</w:t>
            </w:r>
            <w:r>
              <w:rPr>
                <w:rFonts w:ascii="Times New Roman;Times;Serif" w:hAnsi="Times New Roman;Times;Serif"/>
                <w:b w:val="false"/>
                <w:i w:val="false"/>
                <w:caps w:val="false"/>
                <w:smallCaps w:val="false"/>
                <w:sz w:val="20"/>
              </w:rPr>
              <w:t xml:space="preserve"> (former XDG Biomed - chief medical officer); and,</w:t>
            </w:r>
          </w:p>
        </w:tc>
      </w:tr>
    </w:tbl>
    <w:p>
      <w:pPr>
        <w:pStyle w:val="TextBody"/>
        <w:bidi w:val="0"/>
        <w:spacing w:before="0" w:after="0"/>
        <w:ind w:left="0" w:right="0" w:hanging="0"/>
        <w:jc w:val="left"/>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Richard Slansky</w:t>
            </w:r>
            <w:r>
              <w:rPr>
                <w:rFonts w:ascii="Times New Roman;Times;Serif" w:hAnsi="Times New Roman;Times;Serif"/>
                <w:b w:val="false"/>
                <w:i w:val="false"/>
                <w:caps w:val="false"/>
                <w:smallCaps w:val="false"/>
                <w:sz w:val="20"/>
              </w:rPr>
              <w:t xml:space="preserve">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OSR - San Raffaele Hospital</w:t>
            </w:r>
            <w:r>
              <w:rPr>
                <w:rFonts w:ascii="Times New Roman;Times;Serif" w:hAnsi="Times New Roman;Times;Serif"/>
                <w:b w:val="false"/>
                <w:i w:val="false"/>
                <w:caps w:val="false"/>
                <w:smallCaps w:val="false"/>
                <w:sz w:val="20"/>
              </w:rPr>
              <w:t xml:space="preserve"> (co-founder of the Company, shareholder, main service provider for clinical activity and licensor of brands of any product that can be obtained through research).</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nature of the transactions between the Company and these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Pierluigi Paracchi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Pierluigi Paracchi, President and Chairman of the Company prior to the conversion, is the current Chief Executive Officer, Vice-Chairman, as well as co-founder. His current employment arrangement with the Company provides an annual gross salary of €</w:t>
      </w:r>
      <w:bookmarkStart w:id="859" w:name="xdx_900_eus-gaap--SalariesWagesAndOffice"/>
      <w:bookmarkEnd w:id="859"/>
      <w:r>
        <w:rPr>
          <w:rFonts w:ascii="Times New Roman;Times;Serif" w:hAnsi="Times New Roman;Times;Serif"/>
          <w:b w:val="false"/>
          <w:i w:val="false"/>
          <w:caps w:val="false"/>
          <w:smallCaps w:val="false"/>
          <w:sz w:val="20"/>
        </w:rPr>
        <w:t xml:space="preserve">420,000 plus a </w:t>
      </w:r>
      <w:bookmarkStart w:id="860" w:name="xdx_901_ecustom--PercentageOfAnnualBonus"/>
      <w:bookmarkEnd w:id="860"/>
      <w:r>
        <w:rPr>
          <w:rFonts w:ascii="Times New Roman;Times;Serif" w:hAnsi="Times New Roman;Times;Serif"/>
          <w:b w:val="false"/>
          <w:i w:val="false"/>
          <w:caps w:val="false"/>
          <w:smallCaps w:val="false"/>
          <w:sz w:val="20"/>
        </w:rPr>
        <w:t>40% annual bonus subject to Board approval. Mr. Paracchi also has use of a Company car, for which the Company entered an operating lease agreement in February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Mr. Paracchi received a bonus of €</w:t>
      </w:r>
      <w:bookmarkStart w:id="861" w:name="xdx_900_eus-gaap--AccruedBonusesCurrentA"/>
      <w:bookmarkEnd w:id="861"/>
      <w:r>
        <w:rPr>
          <w:rFonts w:ascii="Times New Roman;Times;Serif" w:hAnsi="Times New Roman;Times;Serif"/>
          <w:b w:val="false"/>
          <w:i w:val="false"/>
          <w:caps w:val="false"/>
          <w:smallCaps w:val="false"/>
          <w:sz w:val="20"/>
        </w:rPr>
        <w:t>60,000 (gross amount), of which €</w:t>
      </w:r>
      <w:bookmarkStart w:id="862" w:name="xdx_909_eus-gaap--AccruedBonusesCurrentA"/>
      <w:bookmarkEnd w:id="862"/>
      <w:r>
        <w:rPr>
          <w:rFonts w:ascii="Times New Roman;Times;Serif" w:hAnsi="Times New Roman;Times;Serif"/>
          <w:b w:val="false"/>
          <w:i w:val="false"/>
          <w:caps w:val="false"/>
          <w:smallCaps w:val="false"/>
          <w:sz w:val="20"/>
        </w:rPr>
        <w:t>23,000 related to the activity performed in the second half of 2021 and €</w:t>
      </w:r>
      <w:bookmarkStart w:id="863" w:name="xdx_90F_eus-gaap--AccruedBonusesCurrentA"/>
      <w:bookmarkEnd w:id="863"/>
      <w:r>
        <w:rPr>
          <w:rFonts w:ascii="Times New Roman;Times;Serif" w:hAnsi="Times New Roman;Times;Serif"/>
          <w:b w:val="false"/>
          <w:i w:val="false"/>
          <w:caps w:val="false"/>
          <w:smallCaps w:val="false"/>
          <w:sz w:val="20"/>
        </w:rPr>
        <w:t xml:space="preserve">37,000 for the activity performed following the IPO in the first few months of 2022. In July 2022, the Board approved an increase in Mr. Paracchi’s bonus from </w:t>
      </w:r>
      <w:bookmarkStart w:id="864" w:name="xdx_90E_ecustom--PercentageOfAnnualBonus"/>
      <w:bookmarkEnd w:id="864"/>
      <w:r>
        <w:rPr>
          <w:rFonts w:ascii="Times New Roman;Times;Serif" w:hAnsi="Times New Roman;Times;Serif"/>
          <w:b w:val="false"/>
          <w:i w:val="false"/>
          <w:caps w:val="false"/>
          <w:smallCaps w:val="false"/>
          <w:sz w:val="20"/>
        </w:rPr>
        <w:t xml:space="preserve">20% to </w:t>
      </w:r>
      <w:bookmarkStart w:id="865" w:name="xdx_90C_ecustom--PercentageOfAnnualBonus"/>
      <w:bookmarkEnd w:id="865"/>
      <w:r>
        <w:rPr>
          <w:rFonts w:ascii="Times New Roman;Times;Serif" w:hAnsi="Times New Roman;Times;Serif"/>
          <w:b w:val="false"/>
          <w:i w:val="false"/>
          <w:caps w:val="false"/>
          <w:smallCaps w:val="false"/>
          <w:sz w:val="20"/>
        </w:rPr>
        <w:t>40% to begin effective January 1, 2023.</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and 2022, the Company expensed approximately €</w:t>
      </w:r>
      <w:bookmarkStart w:id="866" w:name="xdx_90F_eus-gaap--EmployeeBenefitsAndSha"/>
      <w:bookmarkEnd w:id="866"/>
      <w:r>
        <w:rPr>
          <w:rFonts w:ascii="Times New Roman;Times;Serif" w:hAnsi="Times New Roman;Times;Serif"/>
          <w:b w:val="false"/>
          <w:i w:val="false"/>
          <w:caps w:val="false"/>
          <w:smallCaps w:val="false"/>
          <w:sz w:val="20"/>
        </w:rPr>
        <w:t>692,000 and €</w:t>
      </w:r>
      <w:bookmarkStart w:id="867" w:name="xdx_90E_eus-gaap--EmployeeBenefitsAndSha"/>
      <w:bookmarkEnd w:id="867"/>
      <w:r>
        <w:rPr>
          <w:rFonts w:ascii="Times New Roman;Times;Serif" w:hAnsi="Times New Roman;Times;Serif"/>
          <w:b w:val="false"/>
          <w:i w:val="false"/>
          <w:caps w:val="false"/>
          <w:smallCaps w:val="false"/>
          <w:sz w:val="20"/>
        </w:rPr>
        <w:t>624,000, respectively, related to compensation for Mr. Paracchi.</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the Company accrued €</w:t>
      </w:r>
      <w:bookmarkStart w:id="868" w:name="xdx_908_eus-gaap--AccruedBonusesCurrent_"/>
      <w:bookmarkEnd w:id="868"/>
      <w:r>
        <w:rPr>
          <w:rFonts w:ascii="Times New Roman;Times;Serif" w:hAnsi="Times New Roman;Times;Serif"/>
          <w:b w:val="false"/>
          <w:i w:val="false"/>
          <w:caps w:val="false"/>
          <w:smallCaps w:val="false"/>
          <w:sz w:val="20"/>
        </w:rPr>
        <w:t>168,000 for Mr. Paracchi’s bonus to reward the activity performed in 2023, while at December 31, 2022, the Company accrued €</w:t>
      </w:r>
      <w:bookmarkStart w:id="869" w:name="xdx_905_eus-gaap--AccruedBonusesCurrent_"/>
      <w:bookmarkEnd w:id="869"/>
      <w:r>
        <w:rPr>
          <w:rFonts w:ascii="Times New Roman;Times;Serif" w:hAnsi="Times New Roman;Times;Serif"/>
          <w:b w:val="false"/>
          <w:i w:val="false"/>
          <w:caps w:val="false"/>
          <w:smallCaps w:val="false"/>
          <w:sz w:val="20"/>
        </w:rPr>
        <w:t>112,501 for Mr. Paracchi’s bonus from July to December, that was paid in March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Luigi Naldini/Bernhard Rudolph Gentner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Drs. Naldini and Gentner are co-founders of Genenta and part of the SAB – Scientific Advisory Board, with Dr. Naldini as Chairman, and Dr. Gentner as a member. Dr. Naldini has an advisory agreement approved by the Board of Directors and performs the pre-clinical studies for the Company. In particular, the pre- clinical experiments are in solid tumor indications. The last consulting agreement with Dr. Naldini was signed on June 20, 2022, which included an annual fee of €</w:t>
      </w:r>
      <w:bookmarkStart w:id="870" w:name="xdx_90C_ecustom--AnnualFee_c20220701__20"/>
      <w:bookmarkEnd w:id="870"/>
      <w:r>
        <w:rPr>
          <w:rFonts w:ascii="Times New Roman;Times;Serif" w:hAnsi="Times New Roman;Times;Serif"/>
          <w:b w:val="false"/>
          <w:i w:val="false"/>
          <w:caps w:val="false"/>
          <w:smallCaps w:val="false"/>
          <w:sz w:val="20"/>
        </w:rPr>
        <w:t>100,000 starting July 1, 2022. At December 31, 2023, Dr. Naldini billed €</w:t>
      </w:r>
      <w:bookmarkStart w:id="871" w:name="xdx_901_eus-gaap--EmployeeBenefitsAndSha"/>
      <w:bookmarkEnd w:id="871"/>
      <w:r>
        <w:rPr>
          <w:rFonts w:ascii="Times New Roman;Times;Serif" w:hAnsi="Times New Roman;Times;Serif"/>
          <w:b w:val="false"/>
          <w:i w:val="false"/>
          <w:caps w:val="false"/>
          <w:smallCaps w:val="false"/>
          <w:sz w:val="20"/>
        </w:rPr>
        <w:t>100,000 and all the issued invoices were paid before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Gentner, like Dr. Naldini, oversees pre-clinical research related to the platform technology. In addition, he analyzes clinical biological data. The last agreement with Dr. Gentner, started on July 1, 2022 and provided fees in the amount of €</w:t>
      </w:r>
      <w:bookmarkStart w:id="872" w:name="xdx_90D_ecustom--AnnualFee_c20220701__20"/>
      <w:bookmarkEnd w:id="872"/>
      <w:r>
        <w:rPr>
          <w:rFonts w:ascii="Times New Roman;Times;Serif" w:hAnsi="Times New Roman;Times;Serif"/>
          <w:b w:val="false"/>
          <w:i w:val="false"/>
          <w:caps w:val="false"/>
          <w:smallCaps w:val="false"/>
          <w:sz w:val="20"/>
        </w:rPr>
        <w:t>45,000 per year. At December 31, 2023, Dr. Gentner billed €</w:t>
      </w:r>
      <w:bookmarkStart w:id="873" w:name="xdx_90C_eus-gaap--EmployeeBenefitsAndSha"/>
      <w:bookmarkEnd w:id="873"/>
      <w:r>
        <w:rPr>
          <w:rFonts w:ascii="Times New Roman;Times;Serif" w:hAnsi="Times New Roman;Times;Serif"/>
          <w:b w:val="false"/>
          <w:i w:val="false"/>
          <w:caps w:val="false"/>
          <w:smallCaps w:val="false"/>
          <w:sz w:val="20"/>
        </w:rPr>
        <w:t>45,000. All the issued invoiced were paid before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Carlo Russo – former XDG Biomed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XDG Biomed is the LLC of Dr. Carlo Russo. Dr. Russo has a single contract signed by XDG and the Company that has been approved by the Board of Directors and was subject to multiple amendments. In particular, Dr. Russo, via XDG, served as the Company’s Chief Medical Officer and Head of Development. Dr. Russo is responsible for the clinical development of Temferon™, the Company’s gene therapy platform. The applicable recurring fees until the IPO date was €</w:t>
      </w:r>
      <w:bookmarkStart w:id="874" w:name="xdx_901_ecustom--RecurringFees_c20230101"/>
      <w:bookmarkEnd w:id="874"/>
      <w:r>
        <w:rPr>
          <w:rFonts w:ascii="Times New Roman;Times;Serif" w:hAnsi="Times New Roman;Times;Serif"/>
          <w:b w:val="false"/>
          <w:i w:val="false"/>
          <w:caps w:val="false"/>
          <w:smallCaps w:val="false"/>
          <w:sz w:val="20"/>
        </w:rPr>
        <w:t>300,000 per year, plus a performance bonus of €</w:t>
      </w:r>
      <w:bookmarkStart w:id="875" w:name="xdx_908_eus-gaap--EmployeeRelatedLiabili"/>
      <w:bookmarkEnd w:id="875"/>
      <w:r>
        <w:rPr>
          <w:rFonts w:ascii="Times New Roman;Times;Serif" w:hAnsi="Times New Roman;Times;Serif"/>
          <w:b w:val="false"/>
          <w:i w:val="false"/>
          <w:caps w:val="false"/>
          <w:smallCaps w:val="false"/>
          <w:sz w:val="20"/>
        </w:rPr>
        <w:t>50,000 maturing for the period July-June of each year and payable after Board of Directors approval. From the IPO date, December 15, 2021, Dr. Russo has been employed by Genenta Science Inc. with the same role and responsibilities under a new employment agreement. The annual gross salary of Dr. Russo, as an employee, amounts to $</w:t>
      </w:r>
      <w:bookmarkStart w:id="876" w:name="xdx_903_eus-gaap--SalariesAndWages_uUSD_"/>
      <w:bookmarkEnd w:id="876"/>
      <w:r>
        <w:rPr>
          <w:rFonts w:ascii="Times New Roman;Times;Serif" w:hAnsi="Times New Roman;Times;Serif"/>
          <w:b w:val="false"/>
          <w:i w:val="false"/>
          <w:caps w:val="false"/>
          <w:smallCaps w:val="false"/>
          <w:sz w:val="20"/>
        </w:rPr>
        <w:t xml:space="preserve">500,000 per year plus a </w:t>
      </w:r>
      <w:bookmarkStart w:id="877" w:name="xdx_903_ecustom--PercentageOfAnnualBonus"/>
      <w:bookmarkEnd w:id="877"/>
      <w:r>
        <w:rPr>
          <w:rFonts w:ascii="Times New Roman;Times;Serif" w:hAnsi="Times New Roman;Times;Serif"/>
          <w:b w:val="false"/>
          <w:i w:val="false"/>
          <w:caps w:val="false"/>
          <w:smallCaps w:val="false"/>
          <w:sz w:val="20"/>
        </w:rPr>
        <w:t>30% annual bonus subject to board of director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and 2022, the Company expensed approximately €</w:t>
      </w:r>
      <w:bookmarkStart w:id="878" w:name="xdx_901_eus-gaap--InterestExpense_c20230"/>
      <w:bookmarkEnd w:id="878"/>
      <w:r>
        <w:rPr>
          <w:rFonts w:ascii="Times New Roman;Times;Serif" w:hAnsi="Times New Roman;Times;Serif"/>
          <w:b w:val="false"/>
          <w:i w:val="false"/>
          <w:caps w:val="false"/>
          <w:smallCaps w:val="false"/>
          <w:sz w:val="20"/>
        </w:rPr>
        <w:t>592,000 and €</w:t>
      </w:r>
      <w:bookmarkStart w:id="879" w:name="xdx_901_eus-gaap--InterestExpense_c20220"/>
      <w:bookmarkEnd w:id="879"/>
      <w:r>
        <w:rPr>
          <w:rFonts w:ascii="Times New Roman;Times;Serif" w:hAnsi="Times New Roman;Times;Serif"/>
          <w:b w:val="false"/>
          <w:i w:val="false"/>
          <w:caps w:val="false"/>
          <w:smallCaps w:val="false"/>
          <w:sz w:val="20"/>
        </w:rPr>
        <w:t>580,000, respectively, related to compensation for Dr. Russo.</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the Company accrued approximately €</w:t>
      </w:r>
      <w:bookmarkStart w:id="880" w:name="xdx_90C_eus-gaap--AccruedBonusesCurrentA"/>
      <w:bookmarkEnd w:id="880"/>
      <w:r>
        <w:rPr>
          <w:rFonts w:ascii="Times New Roman;Times;Serif" w:hAnsi="Times New Roman;Times;Serif"/>
          <w:b w:val="false"/>
          <w:i w:val="false"/>
          <w:caps w:val="false"/>
          <w:smallCaps w:val="false"/>
          <w:sz w:val="20"/>
        </w:rPr>
        <w:t>156,000 for Dr. Russo’s bonus to reward the activity performed in 2023, while at December 31, 2022, the Company accrued approximately €</w:t>
      </w:r>
      <w:bookmarkStart w:id="881" w:name="xdx_909_eus-gaap--AccruedBonusesCurrentA"/>
      <w:bookmarkEnd w:id="881"/>
      <w:r>
        <w:rPr>
          <w:rFonts w:ascii="Times New Roman;Times;Serif" w:hAnsi="Times New Roman;Times;Serif"/>
          <w:b w:val="false"/>
          <w:i w:val="false"/>
          <w:caps w:val="false"/>
          <w:smallCaps w:val="false"/>
          <w:sz w:val="20"/>
        </w:rPr>
        <w:t>112,000 for Dr. Russo’s bonus to reward the activity performed in 2022 paid in March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Slansky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Slansky is the Chief Financial Officer of the Company. Prior the IPO, he was engaged by the Company to assist with financial, accounting and audit support under an advisory agreement until the end of October 2021. On November 1, 2021, he joined the Company full time and has been employed as Chief Financial Officer. Under the new employment agreement, Mr. Slansky is entitled to receive a gross annual compensation of $</w:t>
      </w:r>
      <w:bookmarkStart w:id="882" w:name="xdx_909_eus-gaap--DeferredCompensationAr"/>
      <w:bookmarkEnd w:id="882"/>
      <w:r>
        <w:rPr>
          <w:rFonts w:ascii="Times New Roman;Times;Serif" w:hAnsi="Times New Roman;Times;Serif"/>
          <w:b w:val="false"/>
          <w:i w:val="false"/>
          <w:caps w:val="false"/>
          <w:smallCaps w:val="false"/>
          <w:sz w:val="20"/>
        </w:rPr>
        <w:t xml:space="preserve">300,000 per year plus a </w:t>
      </w:r>
      <w:bookmarkStart w:id="883" w:name="xdx_905_ecustom--PercentageOfAnnualBonus"/>
      <w:bookmarkEnd w:id="883"/>
      <w:r>
        <w:rPr>
          <w:rFonts w:ascii="Times New Roman;Times;Serif" w:hAnsi="Times New Roman;Times;Serif"/>
          <w:b w:val="false"/>
          <w:i w:val="false"/>
          <w:caps w:val="false"/>
          <w:smallCaps w:val="false"/>
          <w:sz w:val="20"/>
        </w:rPr>
        <w:t>30% annual bonus subject to board of director approval. Starting from January 1, 2023, the new gross annual compensation for Mr. Slansky was increased to $</w:t>
      </w:r>
      <w:bookmarkStart w:id="884" w:name="xdx_904_eus-gaap--DeferredCompensationAr"/>
      <w:bookmarkEnd w:id="884"/>
      <w:r>
        <w:rPr>
          <w:rFonts w:ascii="Times New Roman;Times;Serif" w:hAnsi="Times New Roman;Times;Serif"/>
          <w:b w:val="false"/>
          <w:i w:val="false"/>
          <w:caps w:val="false"/>
          <w:smallCaps w:val="false"/>
          <w:sz w:val="20"/>
        </w:rPr>
        <w:t xml:space="preserve">375,000 plus a </w:t>
      </w:r>
      <w:bookmarkStart w:id="885" w:name="xdx_907_ecustom--PercentageOfAnnualBonus"/>
      <w:bookmarkEnd w:id="885"/>
      <w:r>
        <w:rPr>
          <w:rFonts w:ascii="Times New Roman;Times;Serif" w:hAnsi="Times New Roman;Times;Serif"/>
          <w:b w:val="false"/>
          <w:i w:val="false"/>
          <w:caps w:val="false"/>
          <w:smallCaps w:val="false"/>
          <w:sz w:val="20"/>
        </w:rPr>
        <w:t>30% annual bonus subject to board of director approval.</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and 2022, the Company expensed approximately €</w:t>
      </w:r>
      <w:bookmarkStart w:id="886" w:name="xdx_900_eus-gaap--InterestExpense_c20230"/>
      <w:bookmarkEnd w:id="886"/>
      <w:r>
        <w:rPr>
          <w:rFonts w:ascii="Times New Roman;Times;Serif" w:hAnsi="Times New Roman;Times;Serif"/>
          <w:b w:val="false"/>
          <w:i w:val="false"/>
          <w:caps w:val="false"/>
          <w:smallCaps w:val="false"/>
          <w:sz w:val="20"/>
        </w:rPr>
        <w:t>456,000 and €</w:t>
      </w:r>
      <w:bookmarkStart w:id="887" w:name="xdx_900_eus-gaap--InterestExpense_c20220"/>
      <w:bookmarkEnd w:id="887"/>
      <w:r>
        <w:rPr>
          <w:rFonts w:ascii="Times New Roman;Times;Serif" w:hAnsi="Times New Roman;Times;Serif"/>
          <w:b w:val="false"/>
          <w:i w:val="false"/>
          <w:caps w:val="false"/>
          <w:smallCaps w:val="false"/>
          <w:sz w:val="20"/>
        </w:rPr>
        <w:t>445,000, respectively, related to compensation for Mr. Slansky. At December 31, 2023 the Company accrued approximately €</w:t>
      </w:r>
      <w:bookmarkStart w:id="888" w:name="xdx_901_eus-gaap--AccruedBonusesCurrentA"/>
      <w:bookmarkEnd w:id="888"/>
      <w:r>
        <w:rPr>
          <w:rFonts w:ascii="Times New Roman;Times;Serif" w:hAnsi="Times New Roman;Times;Serif"/>
          <w:b w:val="false"/>
          <w:i w:val="false"/>
          <w:caps w:val="false"/>
          <w:smallCaps w:val="false"/>
          <w:sz w:val="20"/>
        </w:rPr>
        <w:t>116,000 for Mr. Slansky’s bonus to reward the activity performed in 2023, while at December 31, 2022, the Company accrued approximately €</w:t>
      </w:r>
      <w:bookmarkStart w:id="889" w:name="xdx_90D_eus-gaap--AccruedBonusesCurrentA"/>
      <w:bookmarkEnd w:id="889"/>
      <w:r>
        <w:rPr>
          <w:rFonts w:ascii="Times New Roman;Times;Serif" w:hAnsi="Times New Roman;Times;Serif"/>
          <w:b w:val="false"/>
          <w:i w:val="false"/>
          <w:caps w:val="false"/>
          <w:smallCaps w:val="false"/>
          <w:sz w:val="20"/>
        </w:rPr>
        <w:t>77,000 for Mr. Slansky’s bonus to reward the activity performed in 2022.</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Mr. Slansky was awarded a stock option grant and part of it was immediately vested, with value accrued into the Company’s Consolidated Statements of Operations and Comprehensive Loss of approximately €</w:t>
      </w:r>
      <w:bookmarkStart w:id="890" w:name="xdx_901_eus-gaap--OtherComprehensiveInco"/>
      <w:bookmarkEnd w:id="890"/>
      <w:r>
        <w:rPr>
          <w:rFonts w:ascii="Times New Roman;Times;Serif" w:hAnsi="Times New Roman;Times;Serif"/>
          <w:b w:val="false"/>
          <w:i w:val="false"/>
          <w:caps w:val="false"/>
          <w:smallCaps w:val="false"/>
          <w:sz w:val="20"/>
        </w:rPr>
        <w:t>201,000.</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OSR – San Raffaele Hospital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OSR - San Raffaele Hospital is a co-founder of the Company, and the Company is a corporate and research spin-off of OSR.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OSR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Amended and Restated License Agreement (the “ARLA”) with OSR in March 2023. The ARLA replaced the Company’s original license agreement originally entered into with OSR on December 15, 2014, as subsequently amended on March 16, 2017, February 1, 2019, December 23, 2020, September 28, 2021, January 22, 2022, September 29, 2022, and December 22, 2022 (the “Original OSR License Agreement”).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ARLA was subject to Italy’s Law Decree No. 21 of March 15, 2012 (i.e., the Italian Golden Power regulations), as subsequently amended and supplemented, and would not become effective until the applicable Italian governmental authority consented to the ARLA. On April 20, 2023, such consent was received and the ARLA became effective.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ARLA, OSR has granted the Company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based-hematopoietic stem and progenitor cells (“HSPC”) gene transfer with respect to any solid cancer indication (including glioblastoma and solid liver cancer) and/or (b) any lympho-hematopoietic indication for which the Company exercises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retained by OSR, and extending to its affiliates, include the right to use the licensed technology for internal research within the field(s) of use, the right to use the licensed technology within the field(s) of use other than in relation to the licensed products, and the right to use the licensed technology for any use outside the field(s) of use, but subject to the options described below. In addition, the Company granted OSR a perpetual, worldwide, royalty-free, non-exclusive license to any improvement generated by the Company with respect to the licensed technology, to conduct internal research within the field(s) of use directly, or in or with the collaboration third parties; and, for any use outside the field(s) of use, in which case the license is sublicensable by OSR. Finally, the world-wide rights for the field(s) of use granted to the Company regarding the Lentigen know-how are non-exclusive and cannot be sublicensed due to a pre-existing nonexclusive sublicense to these rights between OSR and GlaxoSmithKline Intellectual Property Development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ARLA, the Company has an exclusive option exercisable until April 20, 2026 to any OSR product improvements at no additional cost, which could be useful for the development and/or commercialization of licensed products in the field of use. The Company also has an exclusive option exercisable until April 20, 2026 (the “LHI Option Period”) to any lympho-hematopoietic indication(s) to be included as part of the field of use, on an indication-by-indication basis, subject to the payment of specified option fees and milestone payments:</w:t>
      </w:r>
    </w:p>
    <w:p>
      <w:pPr>
        <w:pStyle w:val="TextBody"/>
        <w:bidi w:val="0"/>
        <w:spacing w:before="0" w:after="0"/>
        <w:ind w:left="0" w:right="0" w:hanging="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85"/>
        <w:gridCol w:w="6200"/>
      </w:tblGrid>
      <w:tr>
        <w:trPr/>
        <w:tc>
          <w:tcPr>
            <w:tcW w:w="185"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left"/>
              <w:rPr/>
            </w:pPr>
            <w:r>
              <w:rPr/>
              <w:t>€</w:t>
            </w:r>
            <w:bookmarkStart w:id="891" w:name="xdx_90B_ecustom--FutureOptionFees_pn5n6_"/>
            <w:bookmarkEnd w:id="891"/>
            <w:r>
              <w:rPr>
                <w:rFonts w:ascii="Times New Roman;Times;Serif" w:hAnsi="Times New Roman;Times;Serif"/>
              </w:rPr>
              <w:t>1.0 million for the first lympho-hematopoietic indication;</w:t>
            </w:r>
          </w:p>
        </w:tc>
      </w:tr>
      <w:tr>
        <w:trPr/>
        <w:tc>
          <w:tcPr>
            <w:tcW w:w="185"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left"/>
              <w:rPr/>
            </w:pPr>
            <w:r>
              <w:rPr/>
              <w:t>€</w:t>
            </w:r>
            <w:bookmarkStart w:id="892" w:name="xdx_901_ecustom--FutureOptionFees_pn5n6_"/>
            <w:bookmarkEnd w:id="892"/>
            <w:r>
              <w:rPr>
                <w:rFonts w:ascii="Times New Roman;Times;Serif" w:hAnsi="Times New Roman;Times;Serif"/>
              </w:rPr>
              <w:t>0.5 million for the second lympho-hematopoietic indication; and</w:t>
            </w:r>
          </w:p>
        </w:tc>
      </w:tr>
      <w:tr>
        <w:trPr/>
        <w:tc>
          <w:tcPr>
            <w:tcW w:w="185"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left"/>
              <w:rPr/>
            </w:pPr>
            <w:r>
              <w:rPr/>
              <w:t>€</w:t>
            </w:r>
            <w:bookmarkStart w:id="893" w:name="xdx_90F_ecustom--FutureOptionFees_pn5n6_"/>
            <w:bookmarkEnd w:id="893"/>
            <w:r>
              <w:rPr>
                <w:rFonts w:ascii="Times New Roman;Times;Serif" w:hAnsi="Times New Roman;Times;Serif"/>
              </w:rPr>
              <w:t>0.3 million for the third lympho-hematopoietic indication.</w:t>
            </w:r>
          </w:p>
        </w:tc>
      </w:tr>
    </w:tbl>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 fee is due for the fourth lympho-hematopoietic indication and any subsequent lympho-hematopoietic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right to extend the LHI Option Period twice for additional 12-month periods, subject to the payment of specified extension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effective date of the ARLA, the Company paid OSR an upfront fee in amount equal to €</w:t>
      </w:r>
      <w:bookmarkStart w:id="894" w:name="xdx_908_ecustom--UpfrontFee_c20230101__2"/>
      <w:bookmarkEnd w:id="894"/>
      <w:r>
        <w:rPr>
          <w:rFonts w:ascii="Times New Roman;Times;Serif" w:hAnsi="Times New Roman;Times;Serif"/>
          <w:b w:val="false"/>
          <w:i w:val="false"/>
          <w:caps w:val="false"/>
          <w:smallCaps w:val="false"/>
          <w:sz w:val="20"/>
        </w:rPr>
        <w:t>250,000 pursuant to the Original OSR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ARLA, as consideration, the Company agreed to pay OSR additional license fees equal to up to €</w:t>
      </w:r>
      <w:bookmarkStart w:id="895" w:name="xdx_90F_eus-gaap--TaxesAndLicenses_c2023"/>
      <w:bookmarkEnd w:id="895"/>
      <w:r>
        <w:rPr>
          <w:rFonts w:ascii="Times New Roman;Times;Serif" w:hAnsi="Times New Roman;Times;Serif"/>
          <w:b w:val="false"/>
          <w:i w:val="false"/>
          <w:caps w:val="false"/>
          <w:smallCaps w:val="false"/>
          <w:sz w:val="20"/>
        </w:rPr>
        <w:t>875,000 in total, which are payable on April 20, 2023, December 31, 2023, and upon our entering into a sublicense agreement with a third party sublicensee (pursuant to which the Company is entitled to receive an upfront payment in an amount exceeding a specified threshold from such sublicensee) during the period between September 30, 2022 and April 20, 2028 (with most of these additional license fees being triggered upon our entering into such a sublicense agreement). In addition, the Company has agreed to pay OSR royalties and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our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United States and certain E.U. countries, and achievement of certain net sales levels.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ARLA, the Company has agreed to use reasonable efforts to involve OSR in Phase I clinical trials for licensed products in the field of use, subject to OSR maintaining any required quality standards and providing its services on customary and reasonable terms and consistent with then-applicable market standards. </w:t>
      </w:r>
      <w:bookmarkStart w:id="896" w:name="xdx_90A_eus-gaap--OtherCommitmentsDescri"/>
      <w:bookmarkEnd w:id="896"/>
      <w:r>
        <w:rPr>
          <w:rFonts w:ascii="Times New Roman;Times;Serif" w:hAnsi="Times New Roman;Times;Serif"/>
          <w:b w:val="false"/>
          <w:i w:val="false"/>
          <w:caps w:val="false"/>
          <w:smallCaps w:val="false"/>
          <w:sz w:val="20"/>
        </w:rPr>
        <w:t>We are also obligated to carry out our development activities using qualified and experienced professionals and sufficient level of resources. In particular, consistent with the terms of the Original OSR License Agreement, the ARLA continues to require us to invest (a) at least €5,425,000 with respect to the development of the licensed products, and (b) at least €2,420,000 with respect to the manufacturing of such licensed products (subject to certain adjustments). (See Note 14.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OSR maintains control of the preparation, prosecution and maintenance of the patents licensed. The Company is obligated to pay those costs unless additional licensees benefit from these rights, in which case the cost will be shared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OSR controls enforcement of the patents and know-how rights, at its own expense. In the event that OSR fails to file suit to enforce such rights after notice from the Company, the Company has the right to enforce the licensed technology within the field of use. Both the Company and OSR must consent to settlement of any such litigation, and all monies recovered will be shared, after reimbursement for costs, in relation to the damages suffered by each party, or failing a bona fide agreement between the Company and OSR, on a 50% - 50%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ARLA expires upon the expiry of the “Royalty Term” for all licensed products and all countries, unless terminated earlier. The Royalty Term begins on the first commercial sale of a licensed product in each country, on a country by country basis, and ends upon the later of the (a) expiration of the commercial exclusivity for such product in that country (wherein the commercial exclusivity refers to any remaining valid licensed patent claims covering such licensed product, any remaining regulatory exclusivity to market and sell such licensed product or any remaining regulatory data exclusivity for such licensed product), and (b) 10 years from the first commercial sale of such licensed product in such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the Company fail to pay any of the upfront payment, additional license fees, sublicensing income or milestone payments within 30 days of due dates for each. In addition, OSR may terminate (with a 60-business-day prior written notice) the Company’s rights as to certain fields of use for the Company’s failure to achieve certain development milestones for specified licensed products within certain time periods, which may be subject to extension.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OSR Amended and Restated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2023, the Company and OSR entered into an amendment to the ARLA, whereby the Company and OSR agreed that the Company had fulfilled the obligations as set forth in the ARLA specific to Candidate Products 1 pursuant to the CP1 SRA. Furthermore, the amendment provides that the Company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 research agreement with regards to Candidate Products 2, OSR granted the Company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the Company’s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the cumulative total amount of expenses for the OSR clinical trial activity from inception amounted to approximately €</w:t>
      </w:r>
      <w:bookmarkStart w:id="897" w:name="xdx_904_eus-gaap--OperatingCostsAndExpen"/>
      <w:bookmarkEnd w:id="897"/>
      <w:r>
        <w:rPr>
          <w:rFonts w:ascii="Times New Roman;Times;Serif" w:hAnsi="Times New Roman;Times;Serif"/>
          <w:b w:val="false"/>
          <w:i w:val="false"/>
          <w:caps w:val="false"/>
          <w:smallCaps w:val="false"/>
          <w:sz w:val="20"/>
        </w:rPr>
        <w:t>10.8 million and it includes the cost for the exercise of the first and the second solid cancer indication option fee of €</w:t>
      </w:r>
      <w:bookmarkStart w:id="898" w:name="xdx_90D_ecustom--OptionFee_pn5n6_c202301"/>
      <w:bookmarkEnd w:id="898"/>
      <w:r>
        <w:rPr>
          <w:rFonts w:ascii="Times New Roman;Times;Serif" w:hAnsi="Times New Roman;Times;Serif"/>
          <w:b w:val="false"/>
          <w:i w:val="false"/>
          <w:caps w:val="false"/>
          <w:smallCaps w:val="false"/>
          <w:sz w:val="20"/>
        </w:rPr>
        <w:t>1.0 million as well as the cost for ARLA fees for approximately €</w:t>
      </w:r>
      <w:bookmarkStart w:id="899" w:name="xdx_90D_ecustom--AgreementFee_pn5n6_c202"/>
      <w:bookmarkEnd w:id="899"/>
      <w:r>
        <w:rPr>
          <w:rFonts w:ascii="Times New Roman;Times;Serif" w:hAnsi="Times New Roman;Times;Serif"/>
          <w:b w:val="false"/>
          <w:i w:val="false"/>
          <w:caps w:val="false"/>
          <w:smallCaps w:val="false"/>
          <w:sz w:val="20"/>
        </w:rPr>
        <w:t>0.4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there were no pending activities with OSR related to any agreement in place prior to the ARLA effective date, except for the project called “TEM-MM unspent budget reallocated to the TEM-GBM study”, for which the last tranche of activities corresponding to the 20% of the total project amounting to €</w:t>
      </w:r>
      <w:bookmarkStart w:id="900" w:name="xdx_903_ecustom--TotalProjectCashConside"/>
      <w:bookmarkEnd w:id="900"/>
      <w:r>
        <w:rPr>
          <w:rFonts w:ascii="Times New Roman;Times;Serif" w:hAnsi="Times New Roman;Times;Serif"/>
          <w:b w:val="false"/>
          <w:i w:val="false"/>
          <w:caps w:val="false"/>
          <w:smallCaps w:val="false"/>
          <w:sz w:val="20"/>
        </w:rPr>
        <w:t>197,500, as a whole, is still to be completed.</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OSR Sponsor Research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the Company entered into a Sponsored Research Agreement (“CP1 SRA”), which was contemplated under the ARLA, pursuant to which the Company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the Company and provide an estimate for completing the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the date of execution from the CP1 SRA until six months from the last report delivered to the Company under the CP1 SRA (the “CP1 Option Period”), the Company has the exclusive option to include certain intellectual property related to Candidate Products 1 and Candidate Products 1 as part of the licensed patents and licensed products under the ARLA. To exercise this option, the Company must pay an option exercise fee. The Company also has the right to extend the CP1 Option Period twice for additional 24-month periods. The extension requires payment of an extension fee for each 24-month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2023 the Company recorded and paid € </w:t>
      </w:r>
      <w:bookmarkStart w:id="901" w:name="xdx_907_eus-gaap--PaymentsToAcquireInPro"/>
      <w:bookmarkEnd w:id="901"/>
      <w:r>
        <w:rPr>
          <w:rFonts w:ascii="Times New Roman;Times;Serif" w:hAnsi="Times New Roman;Times;Serif"/>
          <w:b w:val="false"/>
          <w:i w:val="false"/>
          <w:caps w:val="false"/>
          <w:smallCaps w:val="false"/>
          <w:sz w:val="20"/>
        </w:rPr>
        <w:t>250,000 for the CP1 SRA studies to date.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non-cancelable lease agreement for office space in January 2020 (see Note 14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02" w:name="xdx_803_eus-gaap--CommitmentsAndContinge"/>
      <w:bookmarkEnd w:id="902"/>
      <w:r>
        <w:rPr>
          <w:rFonts w:ascii="Times New Roman;Times;Serif" w:hAnsi="Times New Roman;Times;Serif"/>
          <w:b/>
          <w:i w:val="false"/>
          <w:caps w:val="false"/>
          <w:smallCaps w:val="false"/>
          <w:sz w:val="20"/>
        </w:rPr>
        <w:t xml:space="preserve">14. </w:t>
      </w:r>
      <w:bookmarkStart w:id="903" w:name="xdx_82C_zqiiDck8DIs7"/>
      <w:bookmarkEnd w:id="90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04" w:name="xdx_896_esrt--ContractualObligationFisca"/>
      <w:bookmarkEnd w:id="904"/>
      <w:r>
        <w:rPr>
          <w:rFonts w:ascii="Times New Roman;Times;Serif" w:hAnsi="Times New Roman;Times;Serif"/>
          <w:b w:val="false"/>
          <w:i w:val="false"/>
          <w:caps w:val="false"/>
          <w:smallCaps w:val="false"/>
          <w:sz w:val="20"/>
        </w:rPr>
        <w:t>The following table summarizes the Company obligations by contractual maturity at December 31, 2023:</w:t>
      </w:r>
    </w:p>
    <w:p>
      <w:pPr>
        <w:pStyle w:val="TextBody"/>
        <w:bidi w:val="0"/>
        <w:spacing w:before="0" w:after="0"/>
        <w:ind w:left="0" w:right="0" w:hanging="0"/>
        <w:jc w:val="left"/>
        <w:rPr>
          <w:caps w:val="false"/>
          <w:smallCaps w:val="false"/>
        </w:rPr>
      </w:pPr>
      <w:r>
        <w:rPr>
          <w:caps w:val="false"/>
          <w:smallCaps w:val="false"/>
        </w:rPr>
        <w:t> </w:t>
      </w:r>
      <w:bookmarkStart w:id="905" w:name="xdx_8B3_znOFw9ajB5Wg"/>
      <w:bookmarkEnd w:id="905"/>
      <w:r>
        <w:rPr>
          <w:rFonts w:ascii="Times New Roman;Times;Serif" w:hAnsi="Times New Roman;Times;Serif"/>
          <w:b w:val="false"/>
          <w:i w:val="false"/>
          <w:caps w:val="false"/>
          <w:smallCaps w:val="false"/>
          <w:sz w:val="20"/>
        </w:rPr>
        <w:t>Schedule of company obligations by contractual maturity</w:t>
      </w:r>
    </w:p>
    <w:tbl>
      <w:tblPr>
        <w:tblW w:w="10205" w:type="dxa"/>
        <w:jc w:val="left"/>
        <w:tblInd w:w="0" w:type="dxa"/>
        <w:tblLayout w:type="fixed"/>
        <w:tblCellMar>
          <w:top w:w="0" w:type="dxa"/>
          <w:left w:w="0" w:type="dxa"/>
          <w:bottom w:w="28" w:type="dxa"/>
          <w:right w:w="0" w:type="dxa"/>
        </w:tblCellMar>
      </w:tblPr>
      <w:tblGrid>
        <w:gridCol w:w="3179"/>
        <w:gridCol w:w="60"/>
        <w:gridCol w:w="140"/>
        <w:gridCol w:w="800"/>
        <w:gridCol w:w="60"/>
        <w:gridCol w:w="60"/>
        <w:gridCol w:w="233"/>
        <w:gridCol w:w="1337"/>
        <w:gridCol w:w="60"/>
        <w:gridCol w:w="60"/>
        <w:gridCol w:w="169"/>
        <w:gridCol w:w="969"/>
        <w:gridCol w:w="60"/>
        <w:gridCol w:w="60"/>
        <w:gridCol w:w="642"/>
        <w:gridCol w:w="438"/>
        <w:gridCol w:w="60"/>
        <w:gridCol w:w="60"/>
        <w:gridCol w:w="999"/>
        <w:gridCol w:w="680"/>
        <w:gridCol w:w="79"/>
      </w:tblGrid>
      <w:tr>
        <w:trPr/>
        <w:tc>
          <w:tcPr>
            <w:tcW w:w="3179" w:type="dxa"/>
            <w:tcBorders>
              <w:bottom w:val="single" w:sz="12" w:space="0" w:color="000000"/>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 Euros)</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Less than a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8"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 to 3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 to 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More than 5 years</w:t>
            </w:r>
          </w:p>
        </w:tc>
        <w:tc>
          <w:tcPr>
            <w:tcW w:w="79" w:type="dxa"/>
            <w:tcBorders/>
            <w:tcMar>
              <w:bottom w:w="0" w:type="dxa"/>
            </w:tcMar>
            <w:vAlign w:val="center"/>
          </w:tcPr>
          <w:p>
            <w:pPr>
              <w:pStyle w:val="TableContents"/>
              <w:bidi w:val="0"/>
              <w:spacing w:before="0" w:after="283"/>
              <w:jc w:val="left"/>
              <w:rPr/>
            </w:pPr>
            <w:r>
              <w:rPr/>
              <w:t> </w:t>
            </w:r>
          </w:p>
        </w:tc>
      </w:tr>
      <w:tr>
        <w:trPr/>
        <w:tc>
          <w:tcPr>
            <w:tcW w:w="317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OSR operating leases and office 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06" w:name="xdx_983_eus-gaap--ContractualObligation_"/>
            <w:bookmarkEnd w:id="906"/>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907" w:name="xdx_981_ecustom--ContractualObligationDu"/>
            <w:bookmarkEnd w:id="907"/>
          </w:p>
        </w:tc>
        <w:tc>
          <w:tcPr>
            <w:tcW w:w="133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left"/>
              <w:rPr/>
            </w:pPr>
            <w:r>
              <w:rPr/>
              <w:t>€</w:t>
            </w:r>
            <w:bookmarkStart w:id="908" w:name="xdx_982_eus-gaap--ContractualObligationD"/>
            <w:bookmarkEnd w:id="908"/>
          </w:p>
        </w:tc>
        <w:tc>
          <w:tcPr>
            <w:tcW w:w="43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left"/>
              <w:rPr/>
            </w:pPr>
            <w:r>
              <w:rPr/>
              <w:t>€</w:t>
            </w:r>
            <w:bookmarkStart w:id="909" w:name="xdx_984_eus-gaap--ContractualObligationD"/>
            <w:bookmarkEnd w:id="909"/>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7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OSR - SRA ARLA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10" w:name="xdx_989_eus-gaap--ContractualObligation_"/>
            <w:bookmarkEnd w:id="910"/>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bookmarkStart w:id="911" w:name="xdx_985_ecustom--ContractualObligationDu"/>
            <w:bookmarkEnd w:id="911"/>
          </w:p>
        </w:tc>
        <w:tc>
          <w:tcPr>
            <w:tcW w:w="133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bookmarkStart w:id="912" w:name="xdx_988_ecustom--ContractualObligationDu"/>
            <w:bookmarkEnd w:id="912"/>
          </w:p>
        </w:tc>
        <w:tc>
          <w:tcPr>
            <w:tcW w:w="96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left"/>
              <w:rPr/>
            </w:pPr>
            <w:r>
              <w:rPr/>
              <w:t> </w:t>
            </w:r>
          </w:p>
        </w:tc>
        <w:tc>
          <w:tcPr>
            <w:tcW w:w="43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7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AGC manufacturing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13" w:name="xdx_98D_eus-gaap--ContractualObligation_"/>
            <w:bookmarkEnd w:id="913"/>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234,754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914" w:name="xdx_981_ecustom--ContractualObligationDu"/>
            <w:bookmarkEnd w:id="914"/>
          </w:p>
        </w:tc>
        <w:tc>
          <w:tcPr>
            <w:tcW w:w="133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209,704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bookmarkStart w:id="915" w:name="xdx_987_ecustom--ContractualObligationDu"/>
            <w:bookmarkEnd w:id="915"/>
          </w:p>
        </w:tc>
        <w:tc>
          <w:tcPr>
            <w:tcW w:w="9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left"/>
              <w:rPr/>
            </w:pPr>
            <w:r>
              <w:rPr/>
              <w:t> </w:t>
            </w:r>
            <w:bookmarkStart w:id="916" w:name="xdx_984_eus-gaap--ContractualObligationD"/>
            <w:bookmarkEnd w:id="916"/>
          </w:p>
        </w:tc>
        <w:tc>
          <w:tcPr>
            <w:tcW w:w="43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left"/>
              <w:rPr/>
            </w:pPr>
            <w:r>
              <w:rPr/>
              <w:t> </w:t>
            </w:r>
            <w:bookmarkStart w:id="917" w:name="xdx_981_eus-gaap--ContractualObligationD"/>
            <w:bookmarkEnd w:id="917"/>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7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policies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bookmarkStart w:id="918" w:name="xdx_98D_eus-gaap--ContractualObligation_"/>
            <w:bookmarkEnd w:id="918"/>
          </w:p>
        </w:tc>
        <w:tc>
          <w:tcPr>
            <w:tcW w:w="80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bottom w:val="single" w:sz="12" w:space="0" w:color="000000"/>
            </w:tcBorders>
            <w:shd w:fill="FFFFFF" w:val="clear"/>
            <w:vAlign w:val="center"/>
          </w:tcPr>
          <w:p>
            <w:pPr>
              <w:pStyle w:val="TableContents"/>
              <w:bidi w:val="0"/>
              <w:spacing w:before="0" w:after="283"/>
              <w:jc w:val="left"/>
              <w:rPr/>
            </w:pPr>
            <w:r>
              <w:rPr/>
              <w:t> </w:t>
            </w:r>
            <w:bookmarkStart w:id="919" w:name="xdx_987_ecustom--ContractualObligationDu"/>
            <w:bookmarkEnd w:id="919"/>
          </w:p>
        </w:tc>
        <w:tc>
          <w:tcPr>
            <w:tcW w:w="133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bottom w:val="single" w:sz="12" w:space="0" w:color="000000"/>
            </w:tcBorders>
            <w:shd w:fill="FFFFFF" w:val="clear"/>
            <w:vAlign w:val="center"/>
          </w:tcPr>
          <w:p>
            <w:pPr>
              <w:pStyle w:val="TableContents"/>
              <w:bidi w:val="0"/>
              <w:spacing w:before="0" w:after="283"/>
              <w:jc w:val="left"/>
              <w:rPr/>
            </w:pPr>
            <w:r>
              <w:rPr/>
              <w:t> </w:t>
            </w:r>
            <w:bookmarkStart w:id="920" w:name="xdx_98C_ecustom--ContractualObligationDu"/>
            <w:bookmarkEnd w:id="920"/>
          </w:p>
        </w:tc>
        <w:tc>
          <w:tcPr>
            <w:tcW w:w="96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2" w:type="dxa"/>
            <w:tcBorders>
              <w:bottom w:val="single" w:sz="12" w:space="0" w:color="000000"/>
            </w:tcBorders>
            <w:shd w:fill="FFFFFF" w:val="clear"/>
            <w:vAlign w:val="center"/>
          </w:tcPr>
          <w:p>
            <w:pPr>
              <w:pStyle w:val="TableContents"/>
              <w:bidi w:val="0"/>
              <w:spacing w:before="0" w:after="283"/>
              <w:jc w:val="left"/>
              <w:rPr/>
            </w:pPr>
            <w:r>
              <w:rPr/>
              <w:t> </w:t>
            </w:r>
            <w:bookmarkStart w:id="921" w:name="xdx_98B_eus-gaap--ContractualObligationD"/>
            <w:bookmarkEnd w:id="921"/>
          </w:p>
        </w:tc>
        <w:tc>
          <w:tcPr>
            <w:tcW w:w="438"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vAlign w:val="center"/>
          </w:tcPr>
          <w:p>
            <w:pPr>
              <w:pStyle w:val="TableContents"/>
              <w:bidi w:val="0"/>
              <w:spacing w:before="0" w:after="283"/>
              <w:jc w:val="left"/>
              <w:rPr/>
            </w:pPr>
            <w:r>
              <w:rPr/>
              <w:t> </w:t>
            </w:r>
            <w:bookmarkStart w:id="922" w:name="xdx_987_eus-gaap--ContractualObligationD"/>
            <w:bookmarkEnd w:id="922"/>
          </w:p>
        </w:tc>
        <w:tc>
          <w:tcPr>
            <w:tcW w:w="68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7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bookmarkStart w:id="923" w:name="xdx_986_eus-gaap--ContractualObligation_"/>
            <w:bookmarkEnd w:id="923"/>
          </w:p>
        </w:tc>
        <w:tc>
          <w:tcPr>
            <w:tcW w:w="80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514,299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bottom w:val="single" w:sz="12" w:space="0" w:color="000000"/>
            </w:tcBorders>
            <w:shd w:fill="CCEEFF" w:val="clear"/>
            <w:vAlign w:val="center"/>
          </w:tcPr>
          <w:p>
            <w:pPr>
              <w:pStyle w:val="TableContents"/>
              <w:bidi w:val="0"/>
              <w:spacing w:before="0" w:after="283"/>
              <w:jc w:val="left"/>
              <w:rPr/>
            </w:pPr>
            <w:r>
              <w:rPr/>
              <w:t>€</w:t>
            </w:r>
            <w:bookmarkStart w:id="924" w:name="xdx_987_ecustom--ContractualObligationDu"/>
            <w:bookmarkEnd w:id="924"/>
          </w:p>
        </w:tc>
        <w:tc>
          <w:tcPr>
            <w:tcW w:w="133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bottom w:val="single" w:sz="12" w:space="0" w:color="000000"/>
            </w:tcBorders>
            <w:shd w:fill="CCEEFF" w:val="clear"/>
            <w:vAlign w:val="center"/>
          </w:tcPr>
          <w:p>
            <w:pPr>
              <w:pStyle w:val="TableContents"/>
              <w:bidi w:val="0"/>
              <w:spacing w:before="0" w:after="283"/>
              <w:jc w:val="left"/>
              <w:rPr/>
            </w:pPr>
            <w:r>
              <w:rPr/>
              <w:t>€</w:t>
            </w:r>
            <w:bookmarkStart w:id="925" w:name="xdx_98B_ecustom--ContractualObligationDu"/>
            <w:bookmarkEnd w:id="925"/>
          </w:p>
        </w:tc>
        <w:tc>
          <w:tcPr>
            <w:tcW w:w="96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12" w:space="0" w:color="000000"/>
            </w:tcBorders>
            <w:shd w:fill="CCEEFF" w:val="clear"/>
            <w:vAlign w:val="center"/>
          </w:tcPr>
          <w:p>
            <w:pPr>
              <w:pStyle w:val="TableContents"/>
              <w:bidi w:val="0"/>
              <w:spacing w:before="0" w:after="283"/>
              <w:jc w:val="left"/>
              <w:rPr/>
            </w:pPr>
            <w:r>
              <w:rPr/>
              <w:t>€</w:t>
            </w:r>
            <w:bookmarkStart w:id="926" w:name="xdx_98A_eus-gaap--ContractualObligationD"/>
            <w:bookmarkEnd w:id="926"/>
          </w:p>
        </w:tc>
        <w:tc>
          <w:tcPr>
            <w:tcW w:w="43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vAlign w:val="center"/>
          </w:tcPr>
          <w:p>
            <w:pPr>
              <w:pStyle w:val="TableContents"/>
              <w:bidi w:val="0"/>
              <w:spacing w:before="0" w:after="283"/>
              <w:jc w:val="left"/>
              <w:rPr/>
            </w:pPr>
            <w:r>
              <w:rPr/>
              <w:t>€</w:t>
            </w:r>
            <w:bookmarkStart w:id="927" w:name="xdx_98E_eus-gaap--ContractualObligationD"/>
            <w:bookmarkEnd w:id="927"/>
          </w:p>
        </w:tc>
        <w:tc>
          <w:tcPr>
            <w:tcW w:w="68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28" w:name="xdx_8A5_zne5JLDBmQ0g"/>
      <w:bookmarkEnd w:id="928"/>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commitments with OSR relate to the office rent agreement and the ARLA while the commitments with AGC Biologics (“AGC”) relate to product manufacturing and biologic stability studies on plasmid batches. Insurance on operating leases are related to the non-lease insurance component of the Company’s auto lease agreement, which was entered into in February 2022 and has a term of four (4) years.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CMOs and CROs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OSR - San Raffaele Hospital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ARLA, the Company is obligated to carry out development activities using qualified and experienced professionals and sufficient level of resources. </w:t>
      </w:r>
      <w:bookmarkStart w:id="929" w:name="xdx_90F_eus-gaap--OtherCommitmentsDescri"/>
      <w:bookmarkEnd w:id="929"/>
      <w:r>
        <w:rPr>
          <w:rFonts w:ascii="Times New Roman;Times;Serif" w:hAnsi="Times New Roman;Times;Serif"/>
          <w:b w:val="false"/>
          <w:i w:val="false"/>
          <w:caps w:val="false"/>
          <w:smallCaps w:val="false"/>
          <w:sz w:val="20"/>
        </w:rPr>
        <w:t>In particular, consistent with the terms of the Original OSR License Agreement, the ARLA continues to require us to invest (a) at least €</w:t>
      </w:r>
      <w:bookmarkStart w:id="930" w:name="xdx_901_eus-gaap--InvestmentOwnedBalance"/>
      <w:bookmarkEnd w:id="930"/>
      <w:r>
        <w:rPr>
          <w:rFonts w:ascii="Times New Roman;Times;Serif" w:hAnsi="Times New Roman;Times;Serif"/>
          <w:b w:val="false"/>
          <w:i w:val="false"/>
          <w:caps w:val="false"/>
          <w:smallCaps w:val="false"/>
          <w:sz w:val="20"/>
        </w:rPr>
        <w:t>5,425,000 with respect to the development of the licensed products, and (b) at least €2,420,000 with respect to the manufacturing of such licensed products (subject to certain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w:t>
      </w:r>
      <w:bookmarkStart w:id="931" w:name="xdx_904_eus-gaap--CostsAndExpensesRelate"/>
      <w:bookmarkEnd w:id="931"/>
      <w:r>
        <w:rPr>
          <w:rFonts w:ascii="Times New Roman;Times;Serif" w:hAnsi="Times New Roman;Times;Serif"/>
          <w:b w:val="false"/>
          <w:i w:val="false"/>
          <w:caps w:val="false"/>
          <w:smallCaps w:val="false"/>
          <w:sz w:val="20"/>
        </w:rPr>
        <w:t>2.5 million and €</w:t>
      </w:r>
      <w:bookmarkStart w:id="932" w:name="xdx_906_eus-gaap--CostsAndExpensesRelate"/>
      <w:bookmarkEnd w:id="932"/>
      <w:r>
        <w:rPr>
          <w:rFonts w:ascii="Times New Roman;Times;Serif" w:hAnsi="Times New Roman;Times;Serif"/>
          <w:b w:val="false"/>
          <w:i w:val="false"/>
          <w:caps w:val="false"/>
          <w:smallCaps w:val="false"/>
          <w:sz w:val="20"/>
        </w:rPr>
        <w:t>1.3 million of expenses during the period ended December 31, 2023, and December 31, 2022, respectively. The cumulative expense to date is €</w:t>
      </w:r>
      <w:bookmarkStart w:id="933" w:name="xdx_909_eus-gaap--ManufacturingCosts_pn5"/>
      <w:bookmarkEnd w:id="933"/>
      <w:r>
        <w:rPr>
          <w:rFonts w:ascii="Times New Roman;Times;Serif" w:hAnsi="Times New Roman;Times;Serif"/>
          <w:b w:val="false"/>
          <w:i w:val="false"/>
          <w:caps w:val="false"/>
          <w:smallCaps w:val="false"/>
          <w:sz w:val="20"/>
        </w:rPr>
        <w:t>9.1 million, therefore there is no residual commitment for the Company at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agreed to pay OSR royalties for </w:t>
      </w:r>
      <w:bookmarkStart w:id="934" w:name="xdx_90F_ecustom--PercentageOfRoyalties_p"/>
      <w:bookmarkEnd w:id="934"/>
      <w:r>
        <w:rPr>
          <w:rFonts w:ascii="Times New Roman;Times;Serif" w:hAnsi="Times New Roman;Times;Serif"/>
          <w:b w:val="false"/>
          <w:i w:val="false"/>
          <w:caps w:val="false"/>
          <w:smallCaps w:val="false"/>
          <w:sz w:val="20"/>
        </w:rPr>
        <w:t>4%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the Company’s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United States and certain E.U. countries, and achievement of certain net sales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events have occurred or have been achieved (and none are considered probable) to trigger any contingent payments under the ARLA during the period ended December 31, 2023. For information relating to the contingency payments or future milestones for these indications, please refer to Note 14 -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AGC Biologics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AGC agreement is non-cancelable, except in the case of breach of contract, and includes a potential milestone of €</w:t>
      </w:r>
      <w:bookmarkStart w:id="935" w:name="xdx_905_ecustom--PotentialMilestone_pn5n"/>
      <w:bookmarkEnd w:id="935"/>
      <w:r>
        <w:rPr>
          <w:rFonts w:ascii="Times New Roman;Times;Serif" w:hAnsi="Times New Roman;Times;Serif"/>
          <w:b w:val="false"/>
          <w:i w:val="false"/>
          <w:caps w:val="false"/>
          <w:smallCaps w:val="false"/>
          <w:sz w:val="20"/>
        </w:rPr>
        <w:t xml:space="preserve">0.3 million if a phase 3 study is approved by the relevant authority, as well as potential royalty fees between </w:t>
      </w:r>
      <w:bookmarkStart w:id="936" w:name="xdx_908_ecustom--RoyaltyFeePercentage_pi"/>
      <w:bookmarkEnd w:id="936"/>
      <w:r>
        <w:rPr>
          <w:rFonts w:ascii="Times New Roman;Times;Serif" w:hAnsi="Times New Roman;Times;Serif"/>
          <w:b w:val="false"/>
          <w:i w:val="false"/>
          <w:caps w:val="false"/>
          <w:smallCaps w:val="false"/>
          <w:sz w:val="20"/>
        </w:rPr>
        <w:t xml:space="preserve">0.5% and </w:t>
      </w:r>
      <w:bookmarkStart w:id="937" w:name="xdx_905_ecustom--RoyaltyFeePercentage_pi"/>
      <w:bookmarkEnd w:id="937"/>
      <w:r>
        <w:rPr>
          <w:rFonts w:ascii="Times New Roman;Times;Serif" w:hAnsi="Times New Roman;Times;Serif"/>
          <w:b w:val="false"/>
          <w:i w:val="false"/>
          <w:caps w:val="false"/>
          <w:smallCaps w:val="false"/>
          <w:sz w:val="20"/>
        </w:rPr>
        <w:t>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w:t>
      </w:r>
      <w:bookmarkStart w:id="938" w:name="xdx_901_ecustom--TechnologyTransferFee_p"/>
      <w:bookmarkEnd w:id="938"/>
      <w:r>
        <w:rPr>
          <w:rFonts w:ascii="Times New Roman;Times;Serif" w:hAnsi="Times New Roman;Times;Serif"/>
          <w:b w:val="false"/>
          <w:i w:val="false"/>
          <w:caps w:val="false"/>
          <w:smallCaps w:val="false"/>
          <w:sz w:val="20"/>
        </w:rPr>
        <w:t>0.5 million related to the transfer of the manufacturing know-how and €</w:t>
      </w:r>
      <w:bookmarkStart w:id="939" w:name="xdx_908_eus-gaap--ManufacturingCosts_pn5"/>
      <w:bookmarkEnd w:id="939"/>
      <w:r>
        <w:rPr>
          <w:rFonts w:ascii="Times New Roman;Times;Serif" w:hAnsi="Times New Roman;Times;Serif"/>
          <w:b w:val="false"/>
          <w:i w:val="false"/>
          <w:caps w:val="false"/>
          <w:smallCaps w:val="false"/>
          <w:sz w:val="20"/>
        </w:rPr>
        <w:t>1.0 million related to the marketability approval by regulatory authorities. The agreement is a “pay-as-you-go” type arrangement with all services expensed in the period the services were performed.</w:t>
      </w:r>
    </w:p>
    <w:p>
      <w:pPr>
        <w:pStyle w:val="TextBody"/>
        <w:bidi w:val="0"/>
        <w:spacing w:before="0" w:after="0"/>
        <w:ind w:left="0" w:right="0" w:firstLine="648"/>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2021, the Company entered into Side Letter to the Framework Service Agreement with ACG Biologics to perform the manufacture of one (1) additional </w:t>
      </w:r>
      <w:r>
        <w:rPr>
          <w:rFonts w:ascii="Times New Roman;Times;Serif" w:hAnsi="Times New Roman;Times;Serif"/>
          <w:b w:val="false"/>
          <w:i/>
          <w:caps w:val="false"/>
          <w:smallCaps w:val="false"/>
          <w:sz w:val="20"/>
        </w:rPr>
        <w:t>GMP</w:t>
      </w:r>
      <w:r>
        <w:rPr>
          <w:rFonts w:ascii="Times New Roman;Times;Serif" w:hAnsi="Times New Roman;Times;Serif"/>
          <w:b w:val="false"/>
          <w:i w:val="false"/>
          <w:caps w:val="false"/>
          <w:smallCaps w:val="false"/>
          <w:sz w:val="20"/>
        </w:rPr>
        <w:t xml:space="preserve"> batch of 24L INFa LV vector (TIA-126 LV- the “LVV Batch”), in connection with the Study TEM-GBM001, completed in the first six months ended June 30, 2022, for a total amount of €</w:t>
      </w:r>
      <w:bookmarkStart w:id="940" w:name="xdx_908_eus-gaap--ManufacturingCosts_c20"/>
      <w:bookmarkEnd w:id="940"/>
      <w:r>
        <w:rPr>
          <w:rFonts w:ascii="Times New Roman;Times;Serif" w:hAnsi="Times New Roman;Times;Serif"/>
          <w:b w:val="false"/>
          <w:i w:val="false"/>
          <w:caps w:val="false"/>
          <w:smallCaps w:val="false"/>
          <w:sz w:val="20"/>
        </w:rPr>
        <w:t>311,280.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Company entered into Side Letter to the Framework Service Agreement with ACG Biologics to perform the manufacture of one (1) additional GMP batch of 24L INFa LV vector (TIA-126 LV) completed in November 2022, for €</w:t>
      </w:r>
      <w:bookmarkStart w:id="941" w:name="xdx_90B_eus-gaap--ManufacturingCosts_c20"/>
      <w:bookmarkEnd w:id="941"/>
      <w:r>
        <w:rPr>
          <w:rFonts w:ascii="Times New Roman;Times;Serif" w:hAnsi="Times New Roman;Times;Serif"/>
          <w:b w:val="false"/>
          <w:i w:val="false"/>
          <w:caps w:val="false"/>
          <w:smallCaps w:val="false"/>
          <w:sz w:val="20"/>
        </w:rPr>
        <w:t>311,280.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Company entered into Side Letter to the Master Service Agreement dated March 6, 2019 to negotiate a technology transfer agreement regarding the transfer and implementation of the manufacturing process in the AGC facility located in Bresso, Italy, including timeline, budget and the technology transfer protocol (the “Tech Transfer”) and AGC agreed with the Company to procure raw materials to be use under the Tech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Company signed respectively: (i) the Amendment No. 1 to the Master Service Agreement dated March 6, 2019 mainly to update the definition of raw materials; and (ii) a Process Transfer Agreement to agree on producing the raw materials necessary for the performance of the services related to the Tech Transfer for a total commitment of €</w:t>
      </w:r>
      <w:bookmarkStart w:id="942" w:name="xdx_902_eus-gaap--AdvancesOnInventoryPur"/>
      <w:bookmarkEnd w:id="942"/>
      <w:r>
        <w:rPr>
          <w:rFonts w:ascii="Times New Roman;Times;Serif" w:hAnsi="Times New Roman;Times;Serif"/>
          <w:b w:val="false"/>
          <w:i w:val="false"/>
          <w:caps w:val="false"/>
          <w:smallCaps w:val="false"/>
          <w:sz w:val="20"/>
        </w:rPr>
        <w:t xml:space="preserve">405,000 for raw materials, € </w:t>
      </w:r>
      <w:bookmarkStart w:id="943" w:name="xdx_90D_eus-gaap--OtherInventorySupplies"/>
      <w:bookmarkEnd w:id="943"/>
      <w:r>
        <w:rPr>
          <w:rFonts w:ascii="Times New Roman;Times;Serif" w:hAnsi="Times New Roman;Times;Serif"/>
          <w:b w:val="false"/>
          <w:i w:val="false"/>
          <w:caps w:val="false"/>
          <w:smallCaps w:val="false"/>
          <w:sz w:val="20"/>
        </w:rPr>
        <w:t>40,500 for handling and €</w:t>
      </w:r>
      <w:bookmarkStart w:id="944" w:name="xdx_909_eus-gaap--InventoryRawMaterials_"/>
      <w:bookmarkEnd w:id="944"/>
      <w:r>
        <w:rPr>
          <w:rFonts w:ascii="Times New Roman;Times;Serif" w:hAnsi="Times New Roman;Times;Serif"/>
          <w:b w:val="false"/>
          <w:i w:val="false"/>
          <w:caps w:val="false"/>
          <w:smallCaps w:val="false"/>
          <w:sz w:val="20"/>
        </w:rPr>
        <w:t>24,000 for the stability timepoints. At December 31, 2023, the project was approximately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the Company entered into a new Development and Manufacturing Service Agreement providing the framework under which AGC will provide services pursuant to one or more work statements to be entered into from time to time during the agreement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entered into work statements (“SOW”) Nos. 1 and 2 to produce LVV for ex-vivo application (TIA-126-LV) for an estimated amount, including raw material and third party costs, of approximately €</w:t>
      </w:r>
      <w:bookmarkStart w:id="945" w:name="xdx_90A_eus-gaap--CostDirectMaterial_pn5"/>
      <w:bookmarkEnd w:id="945"/>
      <w:r>
        <w:rPr>
          <w:rFonts w:ascii="Times New Roman;Times;Serif" w:hAnsi="Times New Roman;Times;Serif"/>
          <w:b w:val="false"/>
          <w:i w:val="false"/>
          <w:caps w:val="false"/>
          <w:smallCaps w:val="false"/>
          <w:sz w:val="20"/>
        </w:rPr>
        <w:t>0.7 million and €</w:t>
      </w:r>
      <w:bookmarkStart w:id="946" w:name="xdx_904_eus-gaap--InventoryRawMaterials_"/>
      <w:bookmarkEnd w:id="946"/>
      <w:r>
        <w:rPr>
          <w:rFonts w:ascii="Times New Roman;Times;Serif" w:hAnsi="Times New Roman;Times;Serif"/>
          <w:b w:val="false"/>
          <w:i w:val="false"/>
          <w:caps w:val="false"/>
          <w:smallCaps w:val="false"/>
          <w:sz w:val="20"/>
        </w:rPr>
        <w:t>1.5 million respectively. AT December 31, 2023 the SOW n.1 was completed, while the to complete the SOW n.2 approximately €</w:t>
      </w:r>
      <w:bookmarkStart w:id="947" w:name="xdx_90C_eus-gaap--InventoryRawMaterials_"/>
      <w:bookmarkEnd w:id="947"/>
      <w:r>
        <w:rPr>
          <w:rFonts w:ascii="Times New Roman;Times;Serif" w:hAnsi="Times New Roman;Times;Serif"/>
          <w:b w:val="false"/>
          <w:i w:val="false"/>
          <w:caps w:val="false"/>
          <w:smallCaps w:val="false"/>
          <w:sz w:val="20"/>
        </w:rPr>
        <w:t>0.6 million of activities were still to be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entered into purchase orders n. 41 and 42 under the Master Service Agreement dated March 6, 2019 as amended in December 2022, for e total amount of approximately €</w:t>
      </w:r>
      <w:bookmarkStart w:id="948" w:name="xdx_908_eus-gaap--ProductionCosts_pn5n6_"/>
      <w:bookmarkEnd w:id="948"/>
      <w:r>
        <w:rPr>
          <w:rFonts w:ascii="Times New Roman;Times;Serif" w:hAnsi="Times New Roman;Times;Serif"/>
          <w:b w:val="false"/>
          <w:i w:val="false"/>
          <w:caps w:val="false"/>
          <w:smallCaps w:val="false"/>
          <w:sz w:val="20"/>
        </w:rPr>
        <w:t>0.2 million. At December 31, 2023 the production activity was not performed yet.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2019, the Company began a six-year non-cancelable (and renewable for further six (6) years) lease agreement for office space with OSR. Withdrawal is allowed from the fourth year with a notice of 12 months. Since the annual rent amounts to approximately €</w:t>
      </w:r>
      <w:bookmarkStart w:id="949" w:name="xdx_908_eus-gaap--PaymentsForRent_c20230"/>
      <w:bookmarkEnd w:id="949"/>
      <w:r>
        <w:rPr>
          <w:rFonts w:ascii="Times New Roman;Times;Serif" w:hAnsi="Times New Roman;Times;Serif"/>
          <w:b w:val="false"/>
          <w:i w:val="false"/>
          <w:caps w:val="false"/>
          <w:smallCaps w:val="false"/>
          <w:sz w:val="20"/>
        </w:rPr>
        <w:t>15,000, at December 31, 2023, outstanding minimum payments amount to approximately €</w:t>
      </w:r>
      <w:bookmarkStart w:id="950" w:name="xdx_904_eus-gaap--LeaseCost_c20230101__2"/>
      <w:bookmarkEnd w:id="950"/>
      <w:r>
        <w:rPr>
          <w:rFonts w:ascii="Times New Roman;Times;Serif" w:hAnsi="Times New Roman;Times;Serif"/>
          <w:b w:val="false"/>
          <w:i w:val="false"/>
          <w:caps w:val="false"/>
          <w:smallCaps w:val="false"/>
          <w:sz w:val="20"/>
        </w:rPr>
        <w:t>15,000 until December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party to any material legal proceedings. At each reporting date, the Company evaluates whether a potential loss amount or a potential range of loss is probable and reasonably estimable under the provisions of ASC 450,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1" w:name="xdx_80D_eus-gaap--SubsequentEventsTextBl"/>
      <w:bookmarkEnd w:id="951"/>
      <w:r>
        <w:rPr>
          <w:rFonts w:ascii="Times New Roman;Times;Serif" w:hAnsi="Times New Roman;Times;Serif"/>
          <w:b/>
          <w:i w:val="false"/>
          <w:caps w:val="false"/>
          <w:smallCaps w:val="false"/>
          <w:sz w:val="20"/>
        </w:rPr>
        <w:t xml:space="preserve">15. </w:t>
      </w:r>
      <w:bookmarkStart w:id="952" w:name="xdx_82F_zQchrrSmg6Hg"/>
      <w:bookmarkEnd w:id="952"/>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aware of any subsequent events. Subsequent events are events that occur after a company’s year-end period but before the release of the financial statements.</w:t>
      </w:r>
    </w:p>
    <w:p>
      <w:pPr>
        <w:pStyle w:val="TextBody"/>
        <w:bidi w:val="0"/>
        <w:spacing w:before="0" w:after="0"/>
        <w:ind w:left="0" w:right="0" w:firstLine="720"/>
        <w:jc w:val="both"/>
        <w:rPr>
          <w:caps w:val="false"/>
          <w:smallCaps w:val="false"/>
        </w:rPr>
      </w:pPr>
      <w:bookmarkStart w:id="953" w:name="xdx_810_zCz0qWz3yEo2"/>
      <w:bookmarkEnd w:id="95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954" w:name="ex3-2.htm"/>
      <w:bookmarkStart w:id="955" w:name="ksex32"/>
      <w:bookmarkEnd w:id="954"/>
      <w:bookmarkEnd w:id="95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5"/>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an English translation of a document in Italian language. In preparing this document, an attempt has been made to translate as literally as possible without jeopardizing the overall continuity of the text. Inevitably, however, differences may occur in translation and if they do, the Italian text will govern by law. In this translation, Italian legal concepts are expressed in English terms and not in their original Italian terms. The concepts concerned may not be identical to concepts described by the English terms as such terms may be understood under the laws of other jurisdictions.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NAME – CORPORATE PURPOSE – REGISTERED OFFICE – SHAREHOLDERS’ DOMICILE –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 Corporate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joint stock company has been incorporated under the name: “Genenta Science 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 Registered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Company has its registered office in the Municipality of Milan, at the address resulting from the registration with the Register of Enterprises of Milan, pursuant to section 111 -ter of the preliminary dispositions prefacing the Italian Civil Code and transitory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Board of Directors is entitled to establish or close down, both in Italy and abroad, local units (such as, for instance, branch offices, subsidiaries, administrative offices, representative offices, warehouses and stores), or to resolve upon the establishment of secondary offices or upon the transfer of the registered office to a Municipality other than the one above indicated, provided that it is within the national territory of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 Shareholders’ domicile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shareholder’s address for all relationships with the Company is deemed to be the address resulting from the Shareholders’ ledger. Each Shareholder must communicate any change in address to the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6"/>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 Corporate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achieves the following purpose: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development, production, mass production and sale of new therapeutic compounds of bio-technological, biologic and chemical origin relating to the pharmaceutical, biotechnological, molecular and cellular medicine, genetic and diagnostic segments of industry (hereinafter also the “Business”);</w:t>
            </w:r>
          </w:p>
        </w:tc>
      </w:tr>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processing of materials and provision of services in relation to the Business;</w:t>
            </w:r>
          </w:p>
        </w:tc>
      </w:tr>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improvement of new technologies and procedures in relation to the Business;</w:t>
            </w:r>
          </w:p>
        </w:tc>
      </w:tr>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 production, production and distribution on own behalf and on behalf of third parties of pharmaceutical and para-pharmaceutical products, bio-technological, biologic and chemical products and their derivatives;</w:t>
            </w:r>
          </w:p>
        </w:tc>
      </w:tr>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promotion and organization or updates to its offering of scientific courses.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achieve the Company purpose, the Company may execute any transaction it considers necessary or useful, albeit only secondarily and only as a means to achieving its stated purpose, which may involve transactions in securities, real property, commercial, industrial or financial in nature, including taking on mortgages and unsecured debt, in any form, with private individuals, companies, and banks, and issue collateral and other guarantees, including personal guarantees, letters of indemnity and guarantee. The Company may also take on and sell, directly or indirectly, interests in or investments in other companies or enterprise whether established or in the process of establishment, whose purpose is similar, related or in any way connected to its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Expressly excluded from the company purpose is any activity vis-à-vis the public that the law defines as “financial activity” and, except in certain cases and the full compliance with the related provisions set forth by law, any reserved professional activities and activities allowed by law only to certain individuals and legal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Company is scheduled to expire on 31 December 2050.</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7"/>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AND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 Capital and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corporate capital of the Company is equal to Euro 371,695.80 and is divided into number 18,216,958 shares without an expressed nominal value. Pursuant to section 2441 of the Italian Civil Code, the corporate capital may be increased and subscribed proportionately by the shareholders, all at once or at different times, through contributions in kind and/or contributions of receivables and/or capitalization of available reserves, by means of resolutions of the Shareholders’ meeting and in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The corporate capital may also be increased by issuing shares entailing rights other than those granted by the previous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The capital increase may take place through contribution in cash or in kind or of receivables, whether proportional or not, in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The shareholders may also grant the Company loans, which shall be governed by the laws and regulations then in effect. Shareholder loans calling for repayment of principal need not be made in proportion to shares held in the Company’s corporate capital, in compliance with procedures and restrictions set out in applicable laws and regulations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Pursuant to section 2346, par. 1, of the Italian Civil Code, unless otherwise provided by applicable law, evidencing shares representing the Company’s capital shall not be represented by share certificates. The shares shall be uncertificated (dematerializzate) pursuant to section 83-bis et seq. of Legislative Decree no. 58 of 24 February 1998.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Pursuant to section 2443 of the Italian Civil Code, Shareholders acting at a properly convened Shareholders’ meeting may delegate to the Board of Directors the power to increase the corporate capital, on one or more occasions, up to a specified amount for a period not to exceed the maximum term of five years from the date of the relevant resolution.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8"/>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meeting dated 20 May 2021 resolved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the share capital against payment, in one or more instalments on a divisible basis, excluding the pre-emption right under Article 2441 paragraph 5, Italian Civil Code up to a maximum sum of Euro 115,000,000 (including share premium), with a contribution to the share capital of Euro 0.10 per share, by issuing a maximum of 11,500,000 new ordinary shares with no indication of their nominal value and with regular dividend entitlement, in order to service the admission of the Company’s ADSs to listing on the Nasdaq Capital Market, granting a mandate to the Board of Directors to execute, even in several tranches, the proposed capital increase, in the amounts indicated above, by 31 December 2021, of which a maximum of 10,000.000 ordinary shares, for a countervalue of Euro 100,000,000 (including share premium), to service the IPO (i.e. the ADS Placing and the Reserved Shareholders’ Placing); a maximum of 1,500.000 ordinary shares (and in any case up to a maximum limit of 15% of the number of shares that will be issued servicing the IPO and the admission of the Company to listing on the Nasdaq Capital Market), for a countervalue of Euro 15,000,000 (including the share premium), servicing the possible exercise of the Greenshoe Option;</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grant the Board of Directors, in accordance with the Article 2443 of the Italian Civil Code, the power to approve the issuance of up to a maximum of 500,000 warrants to be assigned to the Underwriters, approving the related regulations, and therefore the power to further increase the share capital in one or more tranches to service the exercise of the warrants by a further maximum nominal amount of Euro 5,000,000 (including share premium), with a contribution to the share capital of Euro 0.10 per share, through the issuance of up to a further maximum of 500,000 ordinary shares (and therefore the power to increase the share capital in one or more tranches) by Euro 0.10 per share, to service the exercise of the Greenshoe Option; and 500,000 ordinary shares (and in any case within the maximum limit of 4% of the ADSs servicing the IPO and the criteria set forth in the agreements entered into by the Company in connection with the IPO), represented by ADSs, faculty to be exercised no later than 31 December 2021 (it being understood that the Board of Directors may, when exercising its delegated powers, set the terms and conditions of the issue) with the express waiver by the shareholders of any further terms and conditions when exercising the proxy;</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the share capital against payment, in one or more instalments on a divisible basis, excluding pre-emption right under Article 2441, paragraph 5 of the Italian Civil Code, up to a maximum amount of Euro 1,000,000 (one hundred and twenty-five per cent), up to a maximum amount of Euro 27,000,000 (including share premium) with a contribution to the share capital of Euro 0.10 per share, through the issue of up to 2,700,000 new ordinary shares with no indication of their express par value and regular dividend rights (and in any case within the maximum limit of 10% of the number of shares outstanding at the time of issue in addition to those that may be issued based on the existing Warrants), to service the stock option plan called “Equity Incentive Plan 2021 – 2025”, authorizing the Board of Directors to execute the proposed capital increase, even in several tranches, by the deadline of 31 December 2025, as well as to define the issue price and the amount to be allocated to share capital and the amount to be allocated to share premium;</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ind w:left="0" w:right="0" w:hanging="0"/>
        <w:jc w:val="left"/>
        <w:rPr/>
      </w:pPr>
      <w:r>
        <w:rPr/>
        <w:t> </w:t>
      </w:r>
    </w:p>
    <w:p>
      <w:pPr>
        <w:pStyle w:val="TextBody"/>
        <w:bidi w:val="0"/>
        <w:spacing w:before="0" w:after="283"/>
        <w:jc w:val="left"/>
        <w:rPr/>
      </w:pPr>
      <w:r>
        <w:rPr/>
        <w:drawing>
          <wp:inline distT="0" distB="0" distL="0" distR="0">
            <wp:extent cx="1714500" cy="47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39"/>
                    <a:stretch>
                      <a:fillRect/>
                    </a:stretch>
                  </pic:blipFill>
                  <pic:spPr bwMode="auto">
                    <a:xfrm>
                      <a:off x="0" y="0"/>
                      <a:ext cx="1714500" cy="476250"/>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grant the Board of Directors a proxy, pursuant to Article 2443 of the Italian Civil Code, to increase the share capital against payment, in accordance with the provisions of Article 2443 of the Italian Civil Code, to increase the share capital for cash, on one or more occasions and in separate issues, up to a maximum amount of Euro 300,000,000 (including share premium), by issuing up to 30,000,000 new ordinary shares with no indication of their express par value and regular dividend rights, also excluding pre-emption rights or on a free basis, also pursuant to Article 2441, paragraphs 4, 5 and 8 of the Italian Civil Code, for a period of 5 years, in accordance with Article 2441, paragraph 2 of the Italian Civil Code. The Board of Directors may also grant a proxy pursuant to Article 2420-ter of the Italian Civil Code, for a period of 5 years, for the contribution by third parties of equity investments and/or industrial and intellectual property rights and similar intangible assets (such as patents, trademarks, know-how) that can be conferred and are deemed by the Board of Directors to be instrumental to the achievement of the corporate purpose, to issue, in one or more instalments, bonds convertible into ordinary shares, up to the same maximum total amount of Euro 300,000,000 (including share premium), with a consequent increase in share capital to service the conversion, also excluding pre-emption right, also pursuant to Article 2441, paragraphs 4, 5 and 8 of the Italian Civil Code for a period of 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by resolution dated November 8, 2021, in execution of the authority granted by the shareholders’ meeting dated May 20, 2021, resolved to increase the share capital of a maximum amount of Euro 5,000,000 (including share premium), with a contribution to the share capital of Euro 0.10 per share, to be executed, in one or more instalments, by issuing a maximum of no. 500,000 ordinary shares with a nominal value of EUR 0.10 each (and in any case within the maximum limit of 4% of the ADSs to the service of the IPO and according to the criteria set out in the agreements entered into by the Company in relation to the IPO) within the final term of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 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may be freely transferred.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DEBT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 Issuance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approve the issuance of debt securities (obbligazioni) in registered or bearer form, with the terms and conditions thereof to be set forth in the applicable resolutions of the Board of Directors, subject to compliance with section 2412 of the Italian Civil Code. Shareholders acting at a properly convened Shareholders’ meeting may resolve to issue convertible debt securities, with the conversion rate and other terms and conditions, including conversion procedures being set forth in the applicable resolutions, as well as to issue participating securities, with the terms and conditions thereof being set forth in the applicable resolutions.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40"/>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 Shareholders’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Shareholders’ meetings shall be held at the registered office of the Company or elsewhere, provided that the location is in Italy or in another country within the European Union or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meetings can be called at any time as the Board of Directors deems it necessary or upon request by Shareholders representing at least 10% of the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Shareholders’ meetings shall be held at least once a year, within 120 days following the end of the financial year or, if special circumstances so warrant or the Company is required to prepare consolidated financial statements, within 180 days following the end of the financial year. In such cases the Board of Directors shall specify the reasons for such extension in its report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Shareholders with voting rights are entitled to attend Shareholders’ meetings. The right to attend the meeting and exercise voting rights shall be attested by a a report of eligible Shareholders delivered to the Company by the transfer agent based on its books and records as of the close of business on the seventh business day prior to the date established for the Shareholders’ meeting (assuming that the meeting is convened on the earliest date noticed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Shareholders entitled to vote at a Shareholders’ Meeting may vote in advance of the Shareholders’ Meeting by mail or, if specified in the notice of the meeting, electronically in such manner as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Shareholders’ meetings, both ordinary and special, shall be called by notice published in the Italian daily newspaper “Il Sole 24 Ore” at least fifteen days prior to the date of the meeting or otherwise given by the Company, provided that so long as the Company is allowed by applicable Italian law, by sending, either in the alternative to or in addition to the foregoing published notice, a notice to the Shareholders, to the members of the Board of Directors and to the members of the Board of Auditors, by:</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85"/>
        <w:gridCol w:w="4115"/>
      </w:tblGrid>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mail with return receipt requested;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with electronic acknowledgment of receipt;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the notice is received by the addressee at least 8 calendar days before the date set for the meeting with evidence thereof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also be posted on the Company’s web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set forth the agenda for the meeting as well as the date and place where the meeting is to be held and the date for an adjourned meeting in the event a quorum is missing on the original date set for the meeting.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1"/>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The Shareholders’ meeting shall be chaired by a person selected by those in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Both ordinary and special Shareholders’ meetings may also be held via teleconference or videoconference, provided that all participants can be identified, that they can follow the discussion and that they can hear and be heard live with respect to the matters on the agenda and are able to express their vote simultaneously on such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notice may specify alternative locations, whether in the registered office or elsewhere, where Shareholders may convene to participate via teleconference or videoconference connection.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these conditions be met, it is not necessary for the person chairing the meeting and the person acting as secretary for the meeting to be present at the same location. The meeting shall be deemed to be held at the location where the person acting as secretary to record the minutes of the meeting is present. In the event that the above conditions are not met, the meeting shall be deemed to have been validly convened and held so long as the entire share capital is present or duly represented and a majority of the members of the Board of Directors and the Board of Auditors are in attendance; provided that in such event, any Shareholder or other participant present may object to the discussion of items with respect to which he/she does not deem to have been adequately informed.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A Shareholders’ meeting shall be deemed to have been validly called and convened and can duly act according to such majorities as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At an ordinary Shareholders’ meeting Shareholders may adopt resolutions with respect to any and all matters as to which Shareholders have the power to vote pursuant to applicable law or this corporate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At a special Shareholders’ meeting Shareholders may adopt resolutions with respect to any amendments to this corporate charter, the issuance of debt securities convertible into shares, any issuance of additional shares (aumento di capitale), the appointment, replacement and powers of receivers and liquidators, and any and all other matters as to which Shareholders have the power to vote pursuant to applicable law or this corporate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Each share entitles the holder to one vote, subject to the provisions of this corporate charter with respect to particular classes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Any shareholder may name a proxy to represent such Shareholder at the Shareholders’ meeting subject to section 2372 of the Italian Civil Code.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42"/>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The Company shall be managed by a Board of Directors composed of a minimum of three directors and a maximum of seven directors, as determined by the resolution of the shareholders at the time of the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non-compete obligation upon directors, pursuant to Article 2390 of the Italian Civil Code, does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Candidates for election to the Board of Directors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directors is on the agenda. Any Shareholder, acting individually or through a nominee, may submit or join in the submission of a single slate and may cast its vote for a single slate. Each candidate for election to the Board of Directors may be listed on a single slate and shall automatically be ineligible for election if named on multiple slates. Only Shareholders who, alone or together with other Shareholders joining in the submission of the slate, represent at least 6% of the share capital eligible to vote at the Shareholders’ meeting at which directors are to be elected,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Directors, as well as the satisfaction of the requirements prescribed by applicable law to be a director of the Company, including, where applicable, whether the candidate would be an independent director, if elected, and (iv) such other statements or information as required by law or applicable securities exchange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slates submitted without compliance with the above requirements shall be deemed not to have been submitted.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43"/>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be elected as follows: a) candidates for election as directors equal to the number of seats on the Board of Directors minus 1 shall be selected from the slate that receives the greatest number of votes cast (the “Majority Slate”) shall be elected in the order in which they are listed on the slate; b) the first candidate listed on the slate that receives the second greatest number of votes cast (the “Minority Slate”) shall be elected as director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Directors to be filled as provided in clause a) above, all candidates listed in the Majority Slate shall be elected directors and the remaining directors shall be elected from the Minority Slate according to the order in which they are listed in such slate. The voting procedure according to slates provided above shall be applicable only in case of election of the entire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tie between slates, a new vote shall be taken and the candidates obtaining the largest number of votes shall be elected without regard to the slate on which they are listed or application of the slate voting 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entirely elected, or it is otherwise not possible for any reason to elect the Board of Directors in accordance with the provisions of this title, the members of the Board of Directors shall be elected at the Shareholders’ meeting in accordance with generally applicable procedures and required majorities under applicable law, without application of the slate voting 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Directors shall be elected for a three-year term and may be re-elected, except as otherwise resolved by Shareholders at the time of their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The Board of Directors shall appoint a Chairman among its members, unless the Chairman is not appointed by a vote of Shareholders’, as well as a Deputy Chairman.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Meetings of the Board of Directors may be called by the Chairman or the Deputy Chairman and shall be called upon request by at least one director or by the Board of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Resolutions of the Board of Directors’ shall be deemed validly adopted if a majority of directors in office are present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Resolutions of the Board of Directors shall be deemed approved with the favorable vote of a majority of the directors present at the meeting.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44"/>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The Board of Directors may act with respect to any and all matters related to the ordinary and extraordinary affairs of the Company as necessary and/or appropriate for the conduct of the Company’s business in accordance with its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also have authority with respect to the following matters:</w:t>
      </w:r>
    </w:p>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85"/>
        <w:gridCol w:w="974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concerning mergers in the cases referred to in Articles 2505, 2505-bis and 2506-ter of the Italian Civil Code;</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of the share capital in case of withdrawal of a shareholder;</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the Articles of Association to comply with applicable law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delegate its powers to one or more of its members or to an executive committee comprised of members of the Board of Directors and shall determine the scope of their delegated authority and related restrictions, policies and procedures, in compliance with this corporate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The Board of Directors may appoint one or more deputy chairs and designate a Secretary, which need not be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If the Board of Directors delegate some of its powers to one or more managing directors and/or an executive committee, they shall report to the full Board of Directors at least every six months (or more frequently if resolved by the Board of Directors in delegating such powers) on their activities generally and their expected activities as well as on the most important matters, in a quantitative or qualitative sense, carried out by the Company or by any of its controlled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Shareholders acting at a regular meeting may establish aggregate compensation for the entire Board of Directors, which the Board of Directors shall have authority to allocate among individual directors on the basis of their respective duties and responsibilities, including service on specific committees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 shall be entitled to reimbursement of the expenses incurred in fulfilling to their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The Board of Directors may appoint such officers, agents and other representatives of the Company, which need not be employees of the Company, and delegate to them such powers with respect to specific matters or categories of matters in the name and on behalf of the Company. The Board of Directors may also appoint one or more General Managers, establishing their powers and duties.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45"/>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The power to bind the Company and to act as its legal representative with third parties and in front of courts shall belong to the Chairman of the Board of Directors, the Deputy Chairman and such managing director(s), if any, in accordance with the powers delegated to them upon their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Notice of any meeting of the Board of Directors shall be sent by the Chairman, the Deputy Chairman or any managing director by registered letter or e-mail to be sent at least four calendar days prior to the meeting to each director and to the members of the Board of Auditors, or, in case of urgency, by telegram or fax or by e-mail sent at least twenty-four hours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 meeting must indicate the place of the meeting, which may be the registered office or the Company or elsewhere, provided that it is in Italy, in another country within the European Union or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Meetings of the Board of Directors may also be held via teleconference or videoconference, provided that all directors in attendance can be identified, can participate in the discussion and may hear and be heard live on the matters to be dealt with and acted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Subject to satisfaction of the above requirements, it is not necessary for the Chairman and the person acting as the secretary for the meeting to be present in the same location. The meeting is deemed to be held in the location where the person acting as the secretary for the meeting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the Board of Directors shall be chaired by the Chairman or, in the event of his or her absence, incapacity or refusal, by the Deputy Chairman or by a managing director, if one has been appointed, or by a director designated by the directors present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Any director who has a conflict of interest with respect to a matter to be acted upon must disclose it to the other directors according section 2391 of the Italian Civil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 Meetings of the Board of Directors shall be deemed to have been validly held even in the absence of any formal call, provided that all directors and all members of the Board of Auditors are in attendance, including via teleconference or videoconference.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 Board of Directors’ resolutions shall be set forth in minutes signed by the Chairman and the secretary of the meeting.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46"/>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 Board of Auditors and Internal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The Board of Auditors shall consist of three statutory and two alternate members and shall act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Auditors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members of the Board of Auditors is on the agenda. Any Shareholder, acting individually or through a nominee, may submit or join in the submission of a single slate and may cast its vote for a single slate. Each candidate for election to the Board of Auditors may be listed on a single slate, and shall automatically be ineligible for election if named on multiple slates. Only Shareholders who, alone or together with other Shareholders joining in the submission of the slate, represent at least 6% of the share capital eligible to vote at the Shareholders’ meeting at which members of the Board of Auditors are to be elected,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Auditors, as well as the satisfaction of the requirements prescribed by applicable law to be an internal auditor, including those relating to independency, and (iv) such other statements or information as required by law or applicable securities exchange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slates submitted without compliance with the above requirements shall be deemed not to have been submitted.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714500" cy="4762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47"/>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Auditors shall be elected as follows: a) candidates for election as auditors equal to two statutory members and one alternate for the Board of Auditors shall be selected from the slate that receives the greatest number of votes cast (the “Majority Slate”) shall be elected in the order in which they are listed on the slate; b) the remaining statutory member (who will act as President of the Board of Auditors) and alternate for the Board of Auditors will be drawn from the slate that receives the second greatest number of votes cast (the “Minority Slate”)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Auditors to be filled as provided in clause a) above, all candidates listed in the Majority Slate shall be elected internal auditors and the remaining internal auditors shall be drawn from the Minority Slate according to the order in which they are listed in such slate. The voting procedure according to slates provided above shall be applicable only in case of election of the entire Board of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tie between slates, a new vote shall be taken and the candidates obtaining the largest number of votes shall be elected without regard to the slate on which they are listed or application of the slate voting 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single slate be submitted, the Shareholders eligible to vote at the meeting shall cast their vote on such slate and, so long as more votes are cast for such slate than votes cast against such slate, all the members of the Board of Auditors shall be elected from that slate in accordance with applicable law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slates are submitted, or a single slate is submitted and such slate does not obtain the requisite number of votes, or the number of internal auditors to be elected on the basis of the slates submitted is less than the full number of internal auditors to be elected, or the Board of Auditors is not to be entirely elected, or it is otherwise not possible for any reason to elect the Board of Auditors in accordance with the provisions of this title, the members of the Board of Auditors shall be elected at the Shareholders’ meeting in accordance with generally applicable procedures and required majorities under applicable law, without application of the slate voting 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resignation or removal termination of a member of the Board of Auditors who was drawn from the Majority Slate or from the Minority Slate, as the case may be, alternate internal auditors drawn from the same slate shall fill the vacancy in declining order of age, subject to compliance with the requirements of this corporate charter regarding the composition of the Board of Auditors. The election of internal auditors to fill other vacancies on the Board of Auditors pursuant to Article 2401 of the Italian Civil Code shall be approved at a Shareholders’ Meeting with the affirmative vote of an absolute majority of those present and voting and in compliance with the principle of the appropriate representation of minority shareholders. In the event of the removal or resignation of an internal auditor chosen from the Minority Slate, the principle of appropriate representation of minority shareholders shall be deemed to have been complied with is an alternate auditor drawn from the Minority Slate is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Should the Board of Auditors also be engaged to audit the financial statements and accounts of the Company pursuant to section 2409-bis, par. 2, of the Italian Civil Code, the Board of Auditors shall be comprised entirely of auditors listed in the applicable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Meetings of the Board of Auditors may be held via teleconference or videoconference, provided that all internal auditors in attendance can be identified, can participate in the discussion and may hear and be heard live on the matters to be dealt with and acted upon. The meeting shall be deemed to have been held at the location where the President and the Secretary are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For anything not provided herein, the Italian Civil Code and applicable laws concerning internal audit committees and the auditing function shall apply.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76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48"/>
                    <a:stretch>
                      <a:fillRect/>
                    </a:stretch>
                  </pic:blipFill>
                  <pic:spPr bwMode="auto">
                    <a:xfrm>
                      <a:off x="0" y="0"/>
                      <a:ext cx="17145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 –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Shareholders may exercise their right of withdrawal in the cases, and according to the procedures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However, withdrawal right shall be excluded for those shareholders who have not taken part in or have voted against the resolutions concerning:</w:t>
      </w:r>
    </w:p>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85"/>
        <w:gridCol w:w="6215"/>
      </w:tblGrid>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or removal of any restraint on circulation of the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extension of the Company’s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13 – Financial statements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The Company’s fiscal year shall end on 31 December of each year. At the end of each fiscal year, the Board of Directors shall have financial statements prepared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5% of the net profits resulting from the year-end financial statements shall be set aside as legal reserves, until the aggregate amount allocated to such reserve equals one fifth of the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The remaining net profits shall be available for the payment of dividends as approved at a meeting of Shareholders or for such other purposes as the Shareholders will deem most appropriate or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Dividends not collected within five years following the day on which they became payable shall be deemed forfeited back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14 – Winding-up and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Company be wound up at any time, the Shareholders acting at a duly called and convened meeting shall approve procedures to be followed for liquidation and shall appoint one or more receivers or liquidators, as their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15 – Final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not specifically provided in this corporate charter shall be governed by the provisions of the Italian Civil Code and other applicable laws then in force with respect to joint stock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above, disputes to which the Company, the directors and/or liquidators, shareholders or other persons who have acted in the interest and on behalf of the Company are part of and which derive from, or are inherent to, the provisions of the United States Securities Act of 1933 and / or of the United States Exchange Act of 1934, as subsequently amended and supplemented, and the related implementing provisions, are subject, as permitted by applicable law, to the exclusive jurisdiction of the United States Federal Court of New York.</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56" w:name="ex8-1.htm"/>
      <w:bookmarkStart w:id="957" w:name="ksex81"/>
      <w:bookmarkEnd w:id="956"/>
      <w:bookmarkEnd w:id="95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8.1</w:t>
      </w:r>
    </w:p>
    <w:p>
      <w:pPr>
        <w:pStyle w:val="TextBody"/>
        <w:bidi w:val="0"/>
        <w:spacing w:before="0" w:after="0"/>
        <w:jc w:val="center"/>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775"/>
        <w:gridCol w:w="60"/>
        <w:gridCol w:w="1955"/>
      </w:tblGrid>
      <w:tr>
        <w:trPr/>
        <w:tc>
          <w:tcPr>
            <w:tcW w:w="3790"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Subsidiaries of Genenta Science S.p.A.</w:t>
            </w:r>
          </w:p>
        </w:tc>
      </w:tr>
      <w:tr>
        <w:trPr/>
        <w:tc>
          <w:tcPr>
            <w:tcW w:w="3790"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17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w:t>
            </w:r>
          </w:p>
        </w:tc>
        <w:tc>
          <w:tcPr>
            <w:tcW w:w="60" w:type="dxa"/>
            <w:tcBorders/>
            <w:vAlign w:val="center"/>
          </w:tcPr>
          <w:p>
            <w:pPr>
              <w:pStyle w:val="TableContents"/>
              <w:bidi w:val="0"/>
              <w:spacing w:before="0" w:after="283"/>
              <w:jc w:val="center"/>
              <w:rPr/>
            </w:pPr>
            <w:r>
              <w:rPr/>
              <w:t> </w:t>
            </w:r>
          </w:p>
        </w:tc>
        <w:tc>
          <w:tcPr>
            <w:tcW w:w="19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Incorporation</w:t>
            </w:r>
          </w:p>
        </w:tc>
      </w:tr>
      <w:tr>
        <w:trPr/>
        <w:tc>
          <w:tcPr>
            <w:tcW w:w="1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Inc.</w:t>
            </w:r>
          </w:p>
        </w:tc>
        <w:tc>
          <w:tcPr>
            <w:tcW w:w="60" w:type="dxa"/>
            <w:tcBorders/>
            <w:vAlign w:val="center"/>
          </w:tcPr>
          <w:p>
            <w:pPr>
              <w:pStyle w:val="TableContents"/>
              <w:bidi w:val="0"/>
              <w:spacing w:before="0" w:after="283"/>
              <w:jc w:val="center"/>
              <w:rPr/>
            </w:pPr>
            <w:r>
              <w:rPr/>
              <w:t> </w:t>
            </w:r>
          </w:p>
        </w:tc>
        <w:tc>
          <w:tcPr>
            <w:tcW w:w="19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58" w:name="ex12-1.htm"/>
      <w:bookmarkStart w:id="959" w:name="ksex121"/>
      <w:bookmarkEnd w:id="958"/>
      <w:bookmarkEnd w:id="95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 (Principal Executive Officer) pursuant to Rule 13a-14(a) of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Pierluigi Paracchi, certify that:</w:t>
      </w:r>
    </w:p>
    <w:p>
      <w:pPr>
        <w:pStyle w:val="TextBody"/>
        <w:bidi w:val="0"/>
        <w:spacing w:before="0" w:after="0"/>
        <w:ind w:left="0" w:right="0" w:hanging="0"/>
        <w:jc w:val="left"/>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Genenta Science S.p.A.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29, 2024</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590"/>
        <w:gridCol w:w="236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60" w:name="ex12-2.htm"/>
      <w:bookmarkStart w:id="961" w:name="ksex122"/>
      <w:bookmarkEnd w:id="960"/>
      <w:bookmarkEnd w:id="96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Financial Officer (Principal Financial Officer) pursuant to Rule 13a-14(a) of the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Richard B. Slansky,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20-F of Genenta Science S.p.A.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29, 2024</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545"/>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Slansky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62" w:name="ex13-1.htm"/>
      <w:bookmarkStart w:id="963" w:name="ksex131"/>
      <w:bookmarkEnd w:id="962"/>
      <w:bookmarkEnd w:id="96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 and Chief Financial Officer pursuant to 18 U.S.C.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U.S.C. Section 1350 of the Sarbanes-Oxley Act of 2002 (subsections (a) and (b) of Section 1350, Chapter 63 of Title 18, United States Code), as adopted pursuant to Section 906 of the Sarbanes-Oxley Act of 2002, each of the undersigned officers of Genenta Science S.p.A. (the “Company”), does hereby certify, to such officer’s knowledge,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on Form 20-F for the year ended December 31, 2023 of the Company (the “Annual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1325"/>
        <w:gridCol w:w="545"/>
        <w:gridCol w:w="3650"/>
      </w:tblGrid>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41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41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2024</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2024</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Slansky</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964" w:name="ex97-1.htm"/>
      <w:bookmarkStart w:id="965" w:name="ksex971"/>
      <w:bookmarkEnd w:id="964"/>
      <w:bookmarkEnd w:id="96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97.1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81750" cy="80295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49"/>
                    <a:stretch>
                      <a:fillRect/>
                    </a:stretch>
                  </pic:blipFill>
                  <pic:spPr bwMode="auto">
                    <a:xfrm>
                      <a:off x="0" y="0"/>
                      <a:ext cx="6381750" cy="8029575"/>
                    </a:xfrm>
                    <a:prstGeom prst="rect">
                      <a:avLst/>
                    </a:prstGeom>
                  </pic:spPr>
                </pic:pic>
              </a:graphicData>
            </a:graphic>
          </wp:inline>
        </w:drawing>
      </w: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1 of 9</w:t>
            </w:r>
          </w:p>
        </w:tc>
      </w:tr>
    </w:tbl>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ind w:left="0" w:right="0" w:firstLine="720"/>
              <w:jc w:val="left"/>
              <w:rPr/>
            </w:pPr>
            <w:r>
              <w:rPr/>
              <w:t>Effective Date: 2023.10.17</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290"/>
        <w:gridCol w:w="5495"/>
        <w:gridCol w:w="530"/>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NOTES, PURPOSE, AND APPLICATION</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ROLES AND RESPONSIBILITIES</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ROLES AND RESPONSIBILITIES CHART</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PERSONS AND APPLICABLE COMPENSATION</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TRIGGERING EVENT</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RECOUPMENT AMOUNT</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RECOUPMENT</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RECOVERY PROCESS; IMPRACTICABILITY</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NON-EXCLUSIVITY</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INDEMNIFICATION</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PERSON ACKNOWLEDGEMENT AND AGREEMENT</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 OF POLICY</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TERMINATION</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CALCULATION GUIDELINES</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 CERTIFICATION</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bl>
    <w:p>
      <w:pPr>
        <w:pStyle w:val="TextBody"/>
        <w:bidi w:val="0"/>
        <w:spacing w:before="0" w:after="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2 of 9</w:t>
            </w:r>
          </w:p>
        </w:tc>
      </w:tr>
    </w:tbl>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ind w:left="0" w:right="0" w:firstLine="720"/>
              <w:jc w:val="left"/>
              <w:rPr/>
            </w:pPr>
            <w:r>
              <w:rPr/>
              <w:t>Effective Date: 2023.10.17</w:t>
            </w:r>
          </w:p>
        </w:tc>
      </w:tr>
    </w:tbl>
    <w:p>
      <w:pPr>
        <w:pStyle w:val="TextBody"/>
        <w:bidi w:val="0"/>
        <w:spacing w:before="0" w:after="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NOTES, PURPOSE, AND APPLICATION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purpose of this Policy is to describe the process to recover from specified current and former Company executives erroneously awarded incentive-based compensation as described below.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it is in the best interests of the Company and its shareholders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US federal securities laws. Capitalized terms are defined in Section 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designed to comply with Rule 10D-1 of the Exchange Act and shall become effective on the Effective Date and shall apply to Incentive-Based Compensation Received by Covered Persons on or after October 2,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Genenta Science S.p.A. and Genenta Science, Inc. executives.</w:t>
      </w:r>
    </w:p>
    <w:p>
      <w:pPr>
        <w:pStyle w:val="TextBody"/>
        <w:bidi w:val="0"/>
        <w:spacing w:before="0" w:after="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means the Compensation, Nomination and Governance Committee of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ADS</w:t>
      </w:r>
      <w:r>
        <w:rPr>
          <w:rFonts w:ascii="Times New Roman;Times;Serif" w:hAnsi="Times New Roman;Times;Serif"/>
          <w:b w:val="false"/>
          <w:i w:val="false"/>
          <w:caps w:val="false"/>
          <w:smallCaps w:val="false"/>
          <w:sz w:val="20"/>
        </w:rPr>
        <w:t>” means American Depositary Shares, each representing one ordinary share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Clawback Measurement Date</w:t>
      </w:r>
      <w:r>
        <w:rPr>
          <w:rFonts w:ascii="Times New Roman;Times;Serif" w:hAnsi="Times New Roman;Times;Serif"/>
          <w:b w:val="false"/>
          <w:i w:val="false"/>
          <w:caps w:val="false"/>
          <w:smallCaps w:val="false"/>
          <w:sz w:val="20"/>
        </w:rPr>
        <w:t>” is the earlier to occur of:</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a court, regulator, or other legally authorized body directs the Company to prepare an accounting restatement as described in this Policy.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Clawback Period</w:t>
      </w:r>
      <w:r>
        <w:rPr>
          <w:rFonts w:ascii="Times New Roman;Times;Serif" w:hAnsi="Times New Roman;Times;Serif"/>
          <w:b w:val="false"/>
          <w:i w:val="false"/>
          <w:caps w:val="false"/>
          <w:smallCaps w:val="false"/>
          <w:sz w:val="20"/>
        </w:rPr>
        <w:t>” means the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Genenta Science S.p.A., an Italian joint stock company, or any successor corporation, including its subsidiary and future subsidiaries.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means any Executive Officer (as defined in the Final Rules), including, but not limited to, those persons who are or have been determined to be “officers” of the Company within the meaning of Section 16 of Rule 16a-1(f) of the rules promulgated under the Exchange Act, and “executive officers” of the Company within the meaning of Item 401(b) of Regulation S-K, Rule 3b-7 promulgated under the Exchange Act, and Rule 405 promulgated under the Securities Act of 1933, as amended; provided that the Administrator may identify additional employees who shall be treated as Covered Persons for the purposes of this Policy with prospective effect, in accordance with the Final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means October 17, 2023, the date the Policy was adopted by the Board.</w:t>
      </w:r>
    </w:p>
    <w:p>
      <w:pPr>
        <w:pStyle w:val="TextBody"/>
        <w:bidi w:val="0"/>
        <w:spacing w:before="0" w:after="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3 of 9</w:t>
            </w:r>
          </w:p>
        </w:tc>
      </w:tr>
    </w:tbl>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ind w:left="0" w:right="0" w:firstLine="720"/>
              <w:jc w:val="left"/>
              <w:rPr/>
            </w:pPr>
            <w:r>
              <w:rPr/>
              <w:t>Effective Date: 2023.10.17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Exchange</w:t>
      </w:r>
      <w:r>
        <w:rPr>
          <w:rFonts w:ascii="Times New Roman;Times;Serif" w:hAnsi="Times New Roman;Times;Serif"/>
          <w:b w:val="false"/>
          <w:i w:val="false"/>
          <w:caps w:val="false"/>
          <w:smallCaps w:val="false"/>
          <w:sz w:val="20"/>
        </w:rPr>
        <w:t>” means the Nasdaq Stock Market or any other national securities exchange or national securities association in the United States on which the Company has listed its securities for trading.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Final Rules</w:t>
      </w:r>
      <w:r>
        <w:rPr>
          <w:rFonts w:ascii="Times New Roman;Times;Serif" w:hAnsi="Times New Roman;Times;Serif"/>
          <w:b w:val="false"/>
          <w:i w:val="false"/>
          <w:caps w:val="false"/>
          <w:smallCaps w:val="false"/>
          <w:sz w:val="20"/>
        </w:rPr>
        <w:t>” means the final rules promulgated by the SEC under Section 954 of the Dodd-Frank Act, Rule 10D-1 and Exchange listing standards, as may be amended from time to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Financial Reporting Measure</w:t>
      </w:r>
      <w:r>
        <w:rPr>
          <w:rFonts w:ascii="Times New Roman;Times;Serif" w:hAnsi="Times New Roman;Times;Serif"/>
          <w:b w:val="false"/>
          <w:i w:val="false"/>
          <w:caps w:val="false"/>
          <w:smallCaps w:val="false"/>
          <w:sz w:val="20"/>
        </w:rPr>
        <w:t>” are measures that are determined and presented in accordance with the accounting principles used in preparing the Company’s financial statements, and any measures that are derived wholly or in part from such measures. Share (or ADS) price and TSR are also financial reporting measures. A financial reporting measure need not be presented within the financial statements or included in a filing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Incentive-Based Compensation</w:t>
      </w:r>
      <w:r>
        <w:rPr>
          <w:rFonts w:ascii="Times New Roman;Times;Serif" w:hAnsi="Times New Roman;Times;Serif"/>
          <w:b w:val="false"/>
          <w:i w:val="false"/>
          <w:caps w:val="false"/>
          <w:smallCaps w:val="false"/>
          <w:sz w:val="20"/>
        </w:rPr>
        <w:t xml:space="preserve">” means compensation that is granted, earned, or vested based wholly or in part on the attainment of any Financial Reporting Measure. Examples of “Incentive-Based Compensation” include, but are not limited to: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share, restricted share units, performance share units, stock options, and SARs that are granted or become vested based wholly or in part on satisfying a Financial Reporting Measure goal; and proceeds received upon the sale of shares acquired through an incentive plan that were granted or vested based wholly or in part on satisfying a Financial Reporting Measure goal. “Incentive-Based Compensation” excludes, for example, time-based awards such as stock options or restricted share units that are granted or vest </w:t>
      </w:r>
      <w:r>
        <w:rPr>
          <w:rFonts w:ascii="Times New Roman;Times;Serif" w:hAnsi="Times New Roman;Times;Serif"/>
          <w:b w:val="false"/>
          <w:i/>
          <w:caps w:val="false"/>
          <w:smallCaps w:val="false"/>
          <w:sz w:val="20"/>
        </w:rPr>
        <w:t>solely</w:t>
      </w:r>
      <w:r>
        <w:rPr>
          <w:rFonts w:ascii="Times New Roman;Times;Serif" w:hAnsi="Times New Roman;Times;Serif"/>
          <w:b w:val="false"/>
          <w:i w:val="false"/>
          <w:caps w:val="false"/>
          <w:smallCaps w:val="false"/>
          <w:sz w:val="20"/>
        </w:rPr>
        <w:t xml:space="preserve"> upon completion of a service period; awards based on non-financial strategic or operating metrics such as the consummation of a merger or achievement of non-financial business goals; service-based retention bonuses; discretionary compensation; and salary.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Listing Rule Effective Date</w:t>
      </w:r>
      <w:r>
        <w:rPr>
          <w:rFonts w:ascii="Times New Roman;Times;Serif" w:hAnsi="Times New Roman;Times;Serif"/>
          <w:b w:val="false"/>
          <w:i w:val="false"/>
          <w:caps w:val="false"/>
          <w:smallCaps w:val="false"/>
          <w:sz w:val="20"/>
        </w:rPr>
        <w:t>” means the effective date of the listing standards of the Exchange on which the Company’s securities are listed, i.e., October 2,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means this Compensation Recovery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Incentive-Based Compensation is deemed “</w:t>
      </w:r>
      <w:r>
        <w:rPr>
          <w:rFonts w:ascii="Times New Roman;Times;Serif" w:hAnsi="Times New Roman;Times;Serif"/>
          <w:b/>
          <w:i/>
          <w:caps w:val="false"/>
          <w:smallCaps w:val="false"/>
          <w:sz w:val="20"/>
        </w:rPr>
        <w:t>Received</w:t>
      </w:r>
      <w:r>
        <w:rPr>
          <w:rFonts w:ascii="Times New Roman;Times;Serif" w:hAnsi="Times New Roman;Times;Serif"/>
          <w:b w:val="false"/>
          <w:i w:val="false"/>
          <w:caps w:val="false"/>
          <w:smallCaps w:val="false"/>
          <w:sz w:val="20"/>
        </w:rPr>
        <w:t>” 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Nomination and Governance Committee or Board, that have not yet been satisfied.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Recoupment Amount</w:t>
      </w:r>
      <w:r>
        <w:rPr>
          <w:rFonts w:ascii="Times New Roman;Times;Serif" w:hAnsi="Times New Roman;Times;Serif"/>
          <w:b w:val="false"/>
          <w:i w:val="false"/>
          <w:caps w:val="false"/>
          <w:smallCaps w:val="false"/>
          <w:sz w:val="20"/>
        </w:rPr>
        <w:t>” 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gross of taxes withheld).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SARs</w:t>
      </w:r>
      <w:r>
        <w:rPr>
          <w:rFonts w:ascii="Times New Roman;Times;Serif" w:hAnsi="Times New Roman;Times;Serif"/>
          <w:b w:val="false"/>
          <w:i w:val="false"/>
          <w:caps w:val="false"/>
          <w:smallCaps w:val="false"/>
          <w:sz w:val="20"/>
        </w:rPr>
        <w:t>” means share appreciation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SOX 304</w:t>
      </w:r>
      <w:r>
        <w:rPr>
          <w:rFonts w:ascii="Times New Roman;Times;Serif" w:hAnsi="Times New Roman;Times;Serif"/>
          <w:b w:val="false"/>
          <w:i w:val="false"/>
          <w:caps w:val="false"/>
          <w:smallCaps w:val="false"/>
          <w:sz w:val="20"/>
        </w:rPr>
        <w:t>” means Section 304 of the Sarbanes-Oxley Act of 2002.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Triggering Event</w:t>
      </w:r>
      <w:r>
        <w:rPr>
          <w:rFonts w:ascii="Times New Roman;Times;Serif" w:hAnsi="Times New Roman;Times;Serif"/>
          <w:b w:val="false"/>
          <w:i w:val="false"/>
          <w:caps w:val="false"/>
          <w:smallCaps w:val="false"/>
          <w:sz w:val="20"/>
        </w:rPr>
        <w:t>” 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4 of 9</w:t>
            </w:r>
          </w:p>
        </w:tc>
      </w:tr>
    </w:tbl>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ind w:left="0" w:right="0" w:firstLine="720"/>
              <w:jc w:val="left"/>
              <w:rPr/>
            </w:pPr>
            <w:r>
              <w:rPr/>
              <w:t>Effective Date: 2023.10.17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caps w:val="false"/>
          <w:smallCaps w:val="false"/>
          <w:sz w:val="20"/>
        </w:rPr>
        <w:t>TSR</w:t>
      </w:r>
      <w:r>
        <w:rPr>
          <w:rFonts w:ascii="Times New Roman;Times;Serif" w:hAnsi="Times New Roman;Times;Serif"/>
          <w:b w:val="false"/>
          <w:i w:val="false"/>
          <w:caps w:val="false"/>
          <w:smallCaps w:val="false"/>
          <w:sz w:val="20"/>
        </w:rPr>
        <w:t>” means total stockholder return.</w:t>
      </w:r>
    </w:p>
    <w:p>
      <w:pPr>
        <w:pStyle w:val="TextBody"/>
        <w:bidi w:val="0"/>
        <w:spacing w:before="0" w:after="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0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ROLES AND RESPONSIBILITIES</w:t>
            </w:r>
          </w:p>
        </w:tc>
      </w:tr>
    </w:tbl>
    <w:p>
      <w:pPr>
        <w:pStyle w:val="TextBody"/>
        <w:bidi w:val="0"/>
        <w:spacing w:before="0" w:after="0"/>
        <w:ind w:left="1372" w:right="0" w:hanging="115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Who is subject to the Compensation Recovery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Covered Persons are subject to the policy.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Who administers this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Nomination and Governance Committee of the Board.</w:t>
      </w:r>
    </w:p>
    <w:p>
      <w:pPr>
        <w:pStyle w:val="TextBody"/>
        <w:bidi w:val="0"/>
        <w:spacing w:before="0" w:after="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ROLES AND RESPONSIBILITIES CHART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of roles and responsibilities by legal entities is provided following:</w:t>
      </w:r>
    </w:p>
    <w:p>
      <w:pPr>
        <w:pStyle w:val="TextBody"/>
        <w:bidi w:val="0"/>
        <w:spacing w:before="0" w:after="0"/>
        <w:jc w:val="center"/>
        <w:rPr>
          <w:caps w:val="false"/>
          <w:smallCaps w:val="false"/>
        </w:rPr>
      </w:pPr>
      <w:r>
        <w:rPr>
          <w:caps w:val="false"/>
          <w:smallCaps w:val="false"/>
        </w:rPr>
        <w:t> </w:t>
      </w:r>
    </w:p>
    <w:tbl>
      <w:tblPr>
        <w:tblW w:w="2330" w:type="dxa"/>
        <w:jc w:val="left"/>
        <w:tblInd w:w="-15" w:type="dxa"/>
        <w:tblLayout w:type="fixed"/>
        <w:tblCellMar>
          <w:top w:w="28" w:type="dxa"/>
          <w:left w:w="28" w:type="dxa"/>
          <w:bottom w:w="28" w:type="dxa"/>
          <w:right w:w="28" w:type="dxa"/>
        </w:tblCellMar>
      </w:tblPr>
      <w:tblGrid>
        <w:gridCol w:w="2330"/>
      </w:tblGrid>
      <w:tr>
        <w:trPr/>
        <w:tc>
          <w:tcPr>
            <w:tcW w:w="233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aps w:val="false"/>
                <w:smallCaps w:val="false"/>
                <w:color w:val="000000"/>
              </w:rPr>
            </w:pPr>
            <w:r>
              <w:rPr>
                <w:caps w:val="false"/>
                <w:smallCaps w:val="false"/>
                <w:color w:val="000000"/>
              </w:rPr>
              <w:t> </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GENENTA SCIENCE S.p.A.</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GENNETA SCIENCE, INC.</w:t>
            </w:r>
          </w:p>
          <w:p>
            <w:pPr>
              <w:pStyle w:val="TableContents"/>
              <w:bidi w:val="0"/>
              <w:spacing w:before="0" w:after="0"/>
              <w:jc w:val="center"/>
              <w:rPr>
                <w:caps w:val="false"/>
                <w:smallCaps w:val="false"/>
                <w:color w:val="000000"/>
              </w:rPr>
            </w:pPr>
            <w:r>
              <w:rPr>
                <w:caps w:val="false"/>
                <w:smallCaps w:val="false"/>
                <w:color w:val="000000"/>
              </w:rPr>
              <w:t> </w:t>
            </w:r>
          </w:p>
        </w:tc>
      </w:tr>
    </w:tbl>
    <w:p>
      <w:pPr>
        <w:pStyle w:val="TextBody"/>
        <w:bidi w:val="0"/>
        <w:spacing w:before="0" w:after="0"/>
        <w:jc w:val="center"/>
        <w:rPr>
          <w:caps w:val="false"/>
          <w:smallCaps w:val="false"/>
        </w:rPr>
      </w:pPr>
      <w:r>
        <w:rPr>
          <w:caps w:val="false"/>
          <w:smallCaps w:val="false"/>
        </w:rPr>
        <w:t> </w:t>
      </w:r>
    </w:p>
    <w:tbl>
      <w:tblPr>
        <w:tblW w:w="6620" w:type="dxa"/>
        <w:jc w:val="left"/>
        <w:tblInd w:w="-15" w:type="dxa"/>
        <w:tblLayout w:type="fixed"/>
        <w:tblCellMar>
          <w:top w:w="28" w:type="dxa"/>
          <w:left w:w="28" w:type="dxa"/>
          <w:bottom w:w="28" w:type="dxa"/>
          <w:right w:w="28" w:type="dxa"/>
        </w:tblCellMar>
      </w:tblPr>
      <w:tblGrid>
        <w:gridCol w:w="6620"/>
      </w:tblGrid>
      <w:tr>
        <w:trPr/>
        <w:tc>
          <w:tcPr>
            <w:tcW w:w="66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jc w:val="center"/>
              <w:rPr/>
            </w:pPr>
            <w:r>
              <w:rPr/>
              <w:t> </w:t>
            </w:r>
          </w:p>
          <w:p>
            <w:pPr>
              <w:pStyle w:val="TableContents"/>
              <w:bidi w:val="0"/>
              <w:jc w:val="center"/>
              <w:rPr>
                <w:rFonts w:ascii="Times New Roman;Times;Serif" w:hAnsi="Times New Roman;Times;Serif"/>
              </w:rPr>
            </w:pPr>
            <w:r>
              <w:rPr>
                <w:rFonts w:ascii="Times New Roman;Times;Serif" w:hAnsi="Times New Roman;Times;Serif"/>
              </w:rPr>
              <w:t>Administrator:</w:t>
            </w:r>
          </w:p>
          <w:p>
            <w:pPr>
              <w:pStyle w:val="TableContents"/>
              <w:bidi w:val="0"/>
              <w:jc w:val="center"/>
              <w:rPr>
                <w:rFonts w:ascii="Times New Roman;Times;Serif" w:hAnsi="Times New Roman;Times;Serif"/>
              </w:rPr>
            </w:pPr>
            <w:r>
              <w:rPr>
                <w:rFonts w:ascii="Times New Roman;Times;Serif" w:hAnsi="Times New Roman;Times;Serif"/>
              </w:rPr>
              <w:t>Compensation, Nomination and Governance Committee of the Board</w:t>
            </w:r>
          </w:p>
          <w:p>
            <w:pPr>
              <w:pStyle w:val="TableContents"/>
              <w:bidi w:val="0"/>
              <w:spacing w:before="0" w:after="283"/>
              <w:jc w:val="center"/>
              <w:rPr/>
            </w:pPr>
            <w:r>
              <w:rPr/>
              <w:t> </w:t>
            </w:r>
          </w:p>
        </w:tc>
      </w:tr>
    </w:tbl>
    <w:p>
      <w:pPr>
        <w:pStyle w:val="TextBody"/>
        <w:bidi w:val="0"/>
        <w:spacing w:before="0" w:after="0"/>
        <w:jc w:val="center"/>
        <w:rPr>
          <w:caps w:val="false"/>
          <w:smallCaps w:val="false"/>
          <w:color w:val="000000"/>
        </w:rPr>
      </w:pPr>
      <w:r>
        <w:rPr>
          <w:caps w:val="false"/>
          <w:smallCaps w:val="false"/>
          <w:color w:val="000000"/>
        </w:rPr>
        <w:t> </w:t>
      </w:r>
    </w:p>
    <w:tbl>
      <w:tblPr>
        <w:tblW w:w="10205" w:type="dxa"/>
        <w:jc w:val="left"/>
        <w:tblInd w:w="-15" w:type="dxa"/>
        <w:tblLayout w:type="fixed"/>
        <w:tblCellMar>
          <w:top w:w="28" w:type="dxa"/>
          <w:left w:w="28" w:type="dxa"/>
          <w:bottom w:w="28"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jc w:val="center"/>
              <w:rPr/>
            </w:pPr>
            <w:r>
              <w:rPr/>
              <w:t> </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Person: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(as defined in the Final Rules), including, but not limited to, those persons who are or have been determined to be “officers” of the Company within the meaning of Section 16 of Rule 16a-1(f) of the rules promulgated under the Exchange Act, and “executive officers” of the Company within the meaning of Item 401(b) of Regulation S-K, Rule 3b-7 promulgated under the Exchange Act, and Rule 405 promulgated under the Securities Act of 1933, as amended; provided that the Administrator may identify additional employees who shall be treated as Covered Persons for the purposes of this Policy with prospective effect, in accordance with the Final Rules.</w:t>
            </w:r>
          </w:p>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purposes of administering this Policy.</w:t>
      </w:r>
    </w:p>
    <w:p>
      <w:pPr>
        <w:pStyle w:val="TextBody"/>
        <w:bidi w:val="0"/>
        <w:spacing w:before="0" w:after="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53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COVERED PERSONS AND APPLICABLE COMPENSATION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any Incentive-Based Compensation Received by a person (a) after beginning service as a Covered Person; (b) who served as a Covered Person at any time during the performance period for that Incentive-Based Compensation; and (c) was a Covered Person during the Clawback Period.</w:t>
      </w:r>
    </w:p>
    <w:p>
      <w:pPr>
        <w:pStyle w:val="TextBody"/>
        <w:bidi w:val="0"/>
        <w:spacing w:before="0" w:after="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5 of 9</w:t>
            </w:r>
          </w:p>
        </w:tc>
      </w:tr>
    </w:tbl>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ind w:left="0" w:right="0" w:firstLine="720"/>
              <w:jc w:val="left"/>
              <w:rPr/>
            </w:pPr>
            <w:r>
              <w:rPr/>
              <w:t>Effective Date: 2023.10.17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83" w:right="0" w:hanging="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recovery is not required with respect to:</w:t>
      </w:r>
    </w:p>
    <w:p>
      <w:pPr>
        <w:pStyle w:val="TextBody"/>
        <w:bidi w:val="0"/>
        <w:spacing w:before="0" w:after="0"/>
        <w:ind w:left="283" w:right="0" w:hanging="2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Incentive-Based Compensation Received prior to an individual becoming a Covered Person, even if the individual served as a Covered Person during the Clawback Period. </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Incentive-Based Compensation Received prior to the Listing Rule Effective Date. </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Incentive-Based Compensation Received prior to the Clawback Period.</w:t>
            </w:r>
          </w:p>
        </w:tc>
      </w:tr>
    </w:tbl>
    <w:p>
      <w:pPr>
        <w:pStyle w:val="TextBody"/>
        <w:bidi w:val="0"/>
        <w:spacing w:before="0" w:after="0"/>
        <w:ind w:left="288" w:right="0" w:hanging="28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will not consider the Covered Person’s responsibility or fault or lack thereof in enforcing this Policy with respect to recoupment under the Final Rules. “Suitable supporting documents” for requesting reimbursement of expenses incurred are considered those represented by invoice or receipt.</w:t>
      </w:r>
    </w:p>
    <w:p>
      <w:pPr>
        <w:pStyle w:val="TextBody"/>
        <w:bidi w:val="0"/>
        <w:spacing w:before="0" w:after="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0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TRIGGERING EVENT</w:t>
            </w:r>
          </w:p>
        </w:tc>
      </w:tr>
    </w:tbl>
    <w:p>
      <w:pPr>
        <w:pStyle w:val="TextBody"/>
        <w:bidi w:val="0"/>
        <w:spacing w:before="0" w:after="0"/>
        <w:ind w:left="1368" w:right="0" w:hanging="115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and in accordance with the provisions of this Policy, if there is a Triggering Event, the Administrator shall require a Covered Person to reimburse or forfeit to the Company the Recoupment Amount applicable to such Covered Person. A Company’s obligation to recover the Recoupment Amount is not dependent on if or when the restated financial statements are filed. </w:t>
      </w:r>
    </w:p>
    <w:p>
      <w:pPr>
        <w:pStyle w:val="TextBody"/>
        <w:bidi w:val="0"/>
        <w:spacing w:before="0" w:after="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RECOUPMENT AMOUNT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Recoupment Amount will be calculated in accordance with the Final Rules, as provided in the Calculation Guidelines attached hereto as </w:t>
      </w:r>
      <w:r>
        <w:rPr>
          <w:rFonts w:ascii="Times New Roman;Times;Serif" w:hAnsi="Times New Roman;Times;Serif"/>
          <w:b w:val="false"/>
          <w:i w:val="false"/>
          <w:caps w:val="false"/>
          <w:smallCaps w:val="false"/>
          <w:sz w:val="20"/>
          <w:u w:val="single"/>
        </w:rPr>
        <w:t>Annex</w:t>
      </w:r>
      <w:r>
        <w:rPr>
          <w:rFonts w:ascii="Times New Roman;Times;Serif" w:hAnsi="Times New Roman;Times;Serif"/>
          <w:b w:val="false"/>
          <w:i w:val="false"/>
          <w:caps w:val="false"/>
          <w:smallCaps w:val="false"/>
          <w:sz w:val="20"/>
        </w:rPr>
        <w:t xml:space="preserve"> A.</w:t>
      </w:r>
    </w:p>
    <w:p>
      <w:pPr>
        <w:pStyle w:val="TextBody"/>
        <w:bidi w:val="0"/>
        <w:spacing w:before="0" w:after="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170"/>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RECOUPMENT</w:t>
            </w:r>
          </w:p>
        </w:tc>
      </w:tr>
    </w:tbl>
    <w:p>
      <w:pPr>
        <w:pStyle w:val="TextBody"/>
        <w:bidi w:val="0"/>
        <w:spacing w:before="0" w:after="0"/>
        <w:ind w:left="1372" w:right="0" w:hanging="115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the Final Rules and applicable law, the Administrator will determine, in its sole discretion, the method for recouping the Recoupment Amount.</w:t>
      </w:r>
    </w:p>
    <w:p>
      <w:pPr>
        <w:pStyle w:val="TextBody"/>
        <w:bidi w:val="0"/>
        <w:spacing w:before="0" w:after="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75"/>
        <w:gridCol w:w="4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41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RECOVERY PROCESS; IMPRACTICABILITY</w:t>
            </w:r>
          </w:p>
        </w:tc>
      </w:tr>
    </w:tbl>
    <w:p>
      <w:pPr>
        <w:pStyle w:val="TextBody"/>
        <w:bidi w:val="0"/>
        <w:spacing w:before="0" w:after="0"/>
        <w:ind w:left="1372" w:right="0" w:hanging="115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Actions by the Administrator to recover the Recoupment Amount will be reasonably prompt.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must cause the Company to recover the Recoupment Amount unless the Administrator shall have previously determined that recovery is impracticable and one of the following conditions is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direct expense paid to a third party to assist in enforcing this Policy would exceed the amount to be recovered; before concluding that it would be impracticable to recover any amount of erroneously awarded Incentive-Based Compensation based on expense of enforcement, the Company must make a reasonable attempt to recover such erroneously awarded Incentive-Based Compensation, document such reasonable attempt(s) to recover, and provide that documentation to the Exchange;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Recovery would violate home country law where that law was adopted prior to November 28, 2022; before concluding that it would be impracticable to recover any amount of erroneously awarded Incentive-Based Compensation based on violation of home country law, the Company must obtain an opinion of home country counsel, acceptable to the Exchange, that recovery would result in such a violation, and must provide such opinion to the Exchange; or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6 of 9</w:t>
            </w:r>
          </w:p>
        </w:tc>
      </w:tr>
    </w:tbl>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ind w:left="0" w:right="0" w:firstLine="720"/>
              <w:jc w:val="left"/>
              <w:rPr/>
            </w:pPr>
            <w:r>
              <w:rPr/>
              <w:t>Effective Date: 2023.10.17</w:t>
            </w:r>
          </w:p>
        </w:tc>
      </w:tr>
    </w:tbl>
    <w:p>
      <w:pPr>
        <w:pStyle w:val="TextBody"/>
        <w:bidi w:val="0"/>
        <w:spacing w:before="0" w:after="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75"/>
        <w:gridCol w:w="1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NON-EXCLUSIVITY</w:t>
            </w:r>
          </w:p>
        </w:tc>
      </w:tr>
    </w:tbl>
    <w:p>
      <w:pPr>
        <w:pStyle w:val="TextBody"/>
        <w:bidi w:val="0"/>
        <w:spacing w:before="0" w:after="0"/>
        <w:ind w:left="1368" w:right="0" w:hanging="115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 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other clawback policy of the Company as then in effect, or any similar policy in any employment agreement, equity award agreement, or similar agreement and any other legal remedies or regulations available or applicable to the Company (including SOX 304). If recovery is required under both SOX 304 and this Policy, any amounts recovered pursuant to SOX 304 may, in the Administrator’s discretion, be credited toward the amount recovered under this Policy, or vice versa.</w:t>
      </w:r>
    </w:p>
    <w:p>
      <w:pPr>
        <w:pStyle w:val="TextBody"/>
        <w:bidi w:val="0"/>
        <w:spacing w:before="0" w:after="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275"/>
        <w:gridCol w:w="2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1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INDEMNIFICATION</w:t>
            </w:r>
          </w:p>
        </w:tc>
      </w:tr>
    </w:tbl>
    <w:p>
      <w:pPr>
        <w:pStyle w:val="TextBody"/>
        <w:bidi w:val="0"/>
        <w:spacing w:before="0" w:after="0"/>
        <w:ind w:left="21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any Covered Persons against (i) the loss of erroneously awarded Incentive-Based Compensation or any adverse tax consequences associated with any incorrectly awarded Incentive-Based Compensation or any recoupment hereunder, or (ii) any claims relating to the Company enforcement of its rights under this Policy. For the avoidance of doubt, this prohibition on indemnification will also prohibit the Company from reimbursing or paying any premium or payment of any third-party insurance policy to fund potential recovery obligations obtained by the Covered Person directly. No Covered Person will seek or retain any such prohibited indemnification or reimbursement.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Company shall not enter into any agreement that exempts any Incentive-Based Compensation from the application of this Policy or that waives the Company’s right to recovery of any erroneously awarded Incentive-Based Compensation and this Policy shall supersede any such agreement (whether entered into before, on or after the Effective Date).</w:t>
      </w:r>
    </w:p>
    <w:p>
      <w:pPr>
        <w:pStyle w:val="TextBody"/>
        <w:bidi w:val="0"/>
        <w:spacing w:before="0" w:after="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275"/>
        <w:gridCol w:w="5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5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COVERED PERSON ACKNOWLEDGEMENT AND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Covered Persons subject to this Policy must acknowledge their understanding of, and agreement to comply with, the Policy by executing the certification attached hereto as </w:t>
      </w:r>
      <w:r>
        <w:rPr>
          <w:rFonts w:ascii="Times New Roman;Times;Serif" w:hAnsi="Times New Roman;Times;Serif"/>
          <w:b w:val="false"/>
          <w:i w:val="false"/>
          <w:caps w:val="false"/>
          <w:smallCaps w:val="false"/>
          <w:sz w:val="20"/>
          <w:u w:val="single"/>
        </w:rPr>
        <w:t>Annex</w:t>
      </w:r>
      <w:r>
        <w:rPr>
          <w:rFonts w:ascii="Times New Roman;Times;Serif" w:hAnsi="Times New Roman;Times;Serif"/>
          <w:b w:val="false"/>
          <w:i w:val="false"/>
          <w:caps w:val="false"/>
          <w:smallCaps w:val="false"/>
          <w:sz w:val="20"/>
        </w:rPr>
        <w:t xml:space="preserve"> B. </w:t>
      </w:r>
      <w:r>
        <w:rPr>
          <w:rFonts w:ascii="Times New Roman;Times;Serif" w:hAnsi="Times New Roman;Times;Serif"/>
          <w:b/>
          <w:i w:val="false"/>
          <w:caps w:val="false"/>
          <w:smallCaps w:val="false"/>
          <w:sz w:val="20"/>
          <w:u w:val="single"/>
        </w:rPr>
        <w:t>Notwithstanding the foregoing, this Policy will apply to Covered Persons whether or not they execute such certification.</w:t>
      </w:r>
    </w:p>
    <w:p>
      <w:pPr>
        <w:pStyle w:val="TextBody"/>
        <w:bidi w:val="0"/>
        <w:spacing w:before="0" w:after="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5"/>
        <w:gridCol w:w="275"/>
        <w:gridCol w:w="1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SUCCESSORS</w:t>
            </w:r>
          </w:p>
        </w:tc>
      </w:tr>
    </w:tbl>
    <w:p>
      <w:pPr>
        <w:pStyle w:val="TextBody"/>
        <w:bidi w:val="0"/>
        <w:spacing w:before="0" w:after="0"/>
        <w:ind w:left="1372" w:right="0" w:hanging="115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Covered Persons and their beneficiaries, heirs, executors, administrators, or other legal representatives and shall inure to the benefit of any successor to the Company.</w:t>
      </w:r>
    </w:p>
    <w:p>
      <w:pPr>
        <w:pStyle w:val="TextBody"/>
        <w:bidi w:val="0"/>
        <w:spacing w:before="0" w:after="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275"/>
        <w:gridCol w:w="2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 OF POLICY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any provision of this Policy is inconsistent with any requirement of any Final Rules, the Administrator, in its sole discretion, shall amend and administer this Policy and bring it into compliance with such rules.</w:t>
      </w:r>
    </w:p>
    <w:p>
      <w:pPr>
        <w:pStyle w:val="TextBody"/>
        <w:bidi w:val="0"/>
        <w:spacing w:before="0" w:after="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7 of 9</w:t>
            </w:r>
          </w:p>
        </w:tc>
      </w:tr>
    </w:tbl>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ind w:left="0" w:right="0" w:firstLine="720"/>
              <w:jc w:val="left"/>
              <w:rPr/>
            </w:pPr>
            <w:r>
              <w:rPr/>
              <w:t>Effective Date: 2023.10.17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under this Policy by the Administrator shall be conclusive and binding on the applicable Covered Person. Determinations of the Administrator need not be uniform with respect to Covered Persons or from one payment or grant to another.</w:t>
      </w:r>
    </w:p>
    <w:p>
      <w:pPr>
        <w:pStyle w:val="TextBody"/>
        <w:bidi w:val="0"/>
        <w:spacing w:before="0" w:after="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275"/>
        <w:gridCol w:w="2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29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TERMINATION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make any amendments to this Policy as required under applicable law, rules and regulations, or as otherwise determined by the Administrator in its sole discretion. The Administrator may terminate this Policy at any time.</w:t>
      </w:r>
    </w:p>
    <w:p>
      <w:pPr>
        <w:pStyle w:val="TextBody"/>
        <w:bidi w:val="0"/>
        <w:spacing w:before="0" w:after="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275"/>
        <w:gridCol w:w="3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CALCULATION GUIDELINES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calculating the Recoupment Amount: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cash awards not paid from bonus pools, the erroneously awarded compensation is the difference between the amount of the cash award (whether payable as a lump sum or over time) that was received and the amount that should have been received applying the restated Financial Reporting Measure.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cash awards paid from bonus pools, the erroneously awarded compensation is the pro rata portion of any deficiency that results from the aggregate bonus pool that is reduced based on applying the restated Financial Reporting Measure.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equity awards, if the shares, options, restricted share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Incentive-Based Compensation based on share (or ADS) price or TSR, where the amount of erroneously awarded compensation is not subject to mathematical recalculation directly from the information in an accounting restatement:</w:t>
            </w:r>
          </w:p>
        </w:tc>
      </w:tr>
    </w:tbl>
    <w:p>
      <w:pPr>
        <w:pStyle w:val="TextBody"/>
        <w:bidi w:val="0"/>
        <w:spacing w:before="0" w:after="0"/>
        <w:ind w:left="1440" w:right="0" w:hanging="115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must be based on a reasonable estimate of the effect of the accounting restatement on the share (or ADS) price or TSR upon which the Incentive-Based Compensation was Received; and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maintain documentation of the determination of that reasonable estimate and the Company must provide such documentation to the Exchange in all cases.</w:t>
      </w:r>
    </w:p>
    <w:p>
      <w:pPr>
        <w:pStyle w:val="TextBody"/>
        <w:bidi w:val="0"/>
        <w:spacing w:before="0" w:after="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8 of 9</w:t>
            </w:r>
          </w:p>
        </w:tc>
      </w:tr>
    </w:tbl>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ind w:left="0" w:right="0" w:firstLine="720"/>
              <w:jc w:val="left"/>
              <w:rPr/>
            </w:pPr>
            <w:r>
              <w:rPr/>
              <w:t>Effective Date: 2023.10.17</w:t>
            </w:r>
          </w:p>
        </w:tc>
      </w:tr>
    </w:tbl>
    <w:p>
      <w:pPr>
        <w:pStyle w:val="TextBody"/>
        <w:bidi w:val="0"/>
        <w:spacing w:before="0" w:after="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275"/>
        <w:gridCol w:w="2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 CERTIFICATION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certify that: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read and understand the Company’s Compensation Recovery Policy (the “Policy”). I understand that the Company and/or its Outside Counsel is/are available to answer any questions I have regarding the Policy. Furthermore,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understand that the Policy applies to all of my existing and future compensation-related agreements with the Company, whether or not explicitly stated therein. </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 provided that, in accordance with Section 7 of the Policy, nothing herein limits any other remedies or rights of recoupment that may be available to the Company. </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agree to abide by the terms of the Policy, including, without limitation, by returning any erroneously awarded Incentive-Based Compensation to the Company to the extent required by, and in a manner permitted by, the Policy.</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w:t>
      </w:r>
    </w:p>
    <w:p>
      <w:pPr>
        <w:pStyle w:val="TextBody"/>
        <w:bidi w:val="0"/>
        <w:spacing w:before="0" w:after="0"/>
        <w:ind w:left="1372"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9 of 9</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1838716/000149315222011671/ex2-4.htm" TargetMode="External"/><Relationship Id="rId17" Type="http://schemas.openxmlformats.org/officeDocument/2006/relationships/hyperlink" Target="https://www.sec.gov/Archives/edgar/data/1838716/000149315221027683/ex3-1.htm" TargetMode="External"/><Relationship Id="rId18" Type="http://schemas.openxmlformats.org/officeDocument/2006/relationships/hyperlink" Target="https://www.sec.gov/Archives/edgar/data/1838716/000149315223013272/ex3-2.htm" TargetMode="External"/><Relationship Id="rId19" Type="http://schemas.openxmlformats.org/officeDocument/2006/relationships/hyperlink" Target="https://www.sec.gov/Archives/edgar/data/1838716/000149315223013272/ex3-2.htm" TargetMode="External"/><Relationship Id="rId20" Type="http://schemas.openxmlformats.org/officeDocument/2006/relationships/hyperlink" Target="https://www.sec.gov/Archives/edgar/data/1838716/000149315221027683/ex4-1.htm" TargetMode="External"/><Relationship Id="rId21" Type="http://schemas.openxmlformats.org/officeDocument/2006/relationships/hyperlink" Target="https://www.sec.gov/Archives/edgar/data/1838716/000149315221027683/ex4-1.htm" TargetMode="External"/><Relationship Id="rId22" Type="http://schemas.openxmlformats.org/officeDocument/2006/relationships/hyperlink" Target="https://www.sec.gov/Archives/edgar/data/1838716/000149315222011671/ex4-3.htm" TargetMode="External"/><Relationship Id="rId23" Type="http://schemas.openxmlformats.org/officeDocument/2006/relationships/hyperlink" Target="https://www.sec.gov/Archives/edgar/data/1838716/000149315223013272/ex10-17.htm" TargetMode="External"/><Relationship Id="rId24" Type="http://schemas.openxmlformats.org/officeDocument/2006/relationships/hyperlink" Target="https://www.sec.gov/Archives/edgar/data/1838716/000149315223037845/ex10-2.htm" TargetMode="External"/><Relationship Id="rId25" Type="http://schemas.openxmlformats.org/officeDocument/2006/relationships/hyperlink" Target="https://www.sec.gov/Archives/edgar/data/1838716/000149315223037845/ex10-1.htm" TargetMode="External"/><Relationship Id="rId26" Type="http://schemas.openxmlformats.org/officeDocument/2006/relationships/hyperlink" Target="https://www.sec.gov/Archives/edgar/data/1838716/000149315221027683/ex10-5.htm" TargetMode="External"/><Relationship Id="rId27" Type="http://schemas.openxmlformats.org/officeDocument/2006/relationships/hyperlink" Target="https://www.sec.gov/Archives/edgar/data/1838716/000149315221027683/ex10-6.htm" TargetMode="External"/><Relationship Id="rId28" Type="http://schemas.openxmlformats.org/officeDocument/2006/relationships/hyperlink" Target="https://www.sec.gov/Archives/edgar/data/1838716/000149315221027683/ex10-7.htm" TargetMode="External"/><Relationship Id="rId29" Type="http://schemas.openxmlformats.org/officeDocument/2006/relationships/hyperlink" Target="https://www.sec.gov/Archives/edgar/data/1838716/000149315221027683/ex10-8.htm" TargetMode="External"/><Relationship Id="rId30" Type="http://schemas.openxmlformats.org/officeDocument/2006/relationships/hyperlink" Target="https://www.sec.gov/Archives/edgar/data/1838716/000149315221027683/ex10-9.htm" TargetMode="External"/><Relationship Id="rId31" Type="http://schemas.openxmlformats.org/officeDocument/2006/relationships/hyperlink" Target="https://www.sec.gov/Archives/edgar/data/1838716/000149315221027683/ex10-10.htm" TargetMode="External"/><Relationship Id="rId32" Type="http://schemas.openxmlformats.org/officeDocument/2006/relationships/hyperlink" Target="https://www.sec.gov/Archives/edgar/data/1838716/000149315221027683/ex10-11.htm" TargetMode="External"/><Relationship Id="rId33" Type="http://schemas.openxmlformats.org/officeDocument/2006/relationships/hyperlink" Target="https://www.sec.gov/Archives/edgar/data/1838716/000149315223003331/ex10-1.htm" TargetMode="External"/><Relationship Id="rId34" Type="http://schemas.openxmlformats.org/officeDocument/2006/relationships/hyperlink" Target="https://www.sec.gov/Archives/edgar/data/1838716/000149315222011671/ex11-1.htm" TargetMode="External"/><Relationship Id="rId35" Type="http://schemas.openxmlformats.org/officeDocument/2006/relationships/image" Target="media/image15.jpeg"/><Relationship Id="rId36" Type="http://schemas.openxmlformats.org/officeDocument/2006/relationships/image" Target="media/image15.jpeg"/><Relationship Id="rId37" Type="http://schemas.openxmlformats.org/officeDocument/2006/relationships/image" Target="media/image15.jpeg"/><Relationship Id="rId38" Type="http://schemas.openxmlformats.org/officeDocument/2006/relationships/image" Target="media/image15.jpeg"/><Relationship Id="rId39" Type="http://schemas.openxmlformats.org/officeDocument/2006/relationships/image" Target="media/image15.jpeg"/><Relationship Id="rId40" Type="http://schemas.openxmlformats.org/officeDocument/2006/relationships/image" Target="media/image15.jpeg"/><Relationship Id="rId41" Type="http://schemas.openxmlformats.org/officeDocument/2006/relationships/image" Target="media/image15.jpeg"/><Relationship Id="rId42" Type="http://schemas.openxmlformats.org/officeDocument/2006/relationships/image" Target="media/image15.jpeg"/><Relationship Id="rId43" Type="http://schemas.openxmlformats.org/officeDocument/2006/relationships/image" Target="media/image15.jpeg"/><Relationship Id="rId44" Type="http://schemas.openxmlformats.org/officeDocument/2006/relationships/image" Target="media/image15.jpeg"/><Relationship Id="rId45" Type="http://schemas.openxmlformats.org/officeDocument/2006/relationships/image" Target="media/image15.jpeg"/><Relationship Id="rId46" Type="http://schemas.openxmlformats.org/officeDocument/2006/relationships/image" Target="media/image15.jpeg"/><Relationship Id="rId47" Type="http://schemas.openxmlformats.org/officeDocument/2006/relationships/image" Target="media/image15.jpeg"/><Relationship Id="rId48" Type="http://schemas.openxmlformats.org/officeDocument/2006/relationships/image" Target="media/image15.jpeg"/><Relationship Id="rId49" Type="http://schemas.openxmlformats.org/officeDocument/2006/relationships/image" Target="media/image16.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129986</Words>
  <Characters>716847</Characters>
  <CharactersWithSpaces>848510</CharactersWithSpaces>
  <Paragraphs>12180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